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1FCCD" w14:textId="77777777" w:rsidR="00E9752B" w:rsidRDefault="00E9752B" w:rsidP="00E9752B">
      <w:pPr>
        <w:jc w:val="right"/>
        <w:rPr>
          <w:rFonts w:ascii="Arial" w:hAnsi="Arial" w:cs="Arial"/>
          <w:sz w:val="22"/>
          <w:szCs w:val="22"/>
          <w:u w:val="single"/>
        </w:rPr>
      </w:pPr>
    </w:p>
    <w:p w14:paraId="6E7337EC" w14:textId="3E17D563" w:rsidR="00E9752B" w:rsidRDefault="00E9752B" w:rsidP="00E9752B">
      <w:pPr>
        <w:jc w:val="right"/>
        <w:rPr>
          <w:rFonts w:ascii="Arial" w:hAnsi="Arial" w:cs="Arial"/>
          <w:sz w:val="22"/>
          <w:szCs w:val="22"/>
        </w:rPr>
      </w:pPr>
      <w:r w:rsidRPr="00224513">
        <w:rPr>
          <w:rFonts w:ascii="Arial" w:hAnsi="Arial" w:cs="Arial"/>
          <w:sz w:val="22"/>
          <w:szCs w:val="22"/>
        </w:rPr>
        <w:t>IV.</w:t>
      </w:r>
    </w:p>
    <w:p w14:paraId="486C2BD9" w14:textId="77777777" w:rsidR="00224513" w:rsidRPr="00224513" w:rsidRDefault="00224513" w:rsidP="00E9752B">
      <w:pPr>
        <w:jc w:val="right"/>
        <w:rPr>
          <w:rFonts w:ascii="Arial" w:hAnsi="Arial" w:cs="Arial"/>
          <w:sz w:val="22"/>
          <w:szCs w:val="22"/>
        </w:rPr>
      </w:pPr>
    </w:p>
    <w:p w14:paraId="6ED6062F" w14:textId="61B817BA" w:rsidR="00E03D3A" w:rsidRPr="0030358C" w:rsidRDefault="00000000" w:rsidP="00E03D3A">
      <w:pPr>
        <w:rPr>
          <w:rFonts w:ascii="Arial" w:hAnsi="Arial" w:cs="Arial"/>
          <w:b/>
          <w:bCs/>
          <w:sz w:val="22"/>
          <w:szCs w:val="22"/>
          <w:u w:val="single"/>
        </w:rPr>
      </w:pPr>
      <w:r w:rsidRPr="0030358C">
        <w:rPr>
          <w:rFonts w:ascii="Arial" w:hAnsi="Arial" w:cs="Arial"/>
          <w:b/>
          <w:bCs/>
          <w:sz w:val="22"/>
          <w:szCs w:val="22"/>
          <w:u w:val="single"/>
        </w:rPr>
        <w:t>Platné znění dotčených ustanovení vyhlášky č. 415/2012 Sb., o přípustné úrovni znečišťování a jejím zjišťování a o provedení některých dalších ustanovení zákona o ochraně ovzduší, ve znění pozdějších předpisů, s vyznačením navrhovaných změn</w:t>
      </w:r>
    </w:p>
    <w:p w14:paraId="23B81C6E" w14:textId="77777777" w:rsidR="00A77B3E" w:rsidRPr="0030358C" w:rsidRDefault="00A77B3E">
      <w:pPr>
        <w:rPr>
          <w:rFonts w:ascii="Arial" w:hAnsi="Arial" w:cs="Arial"/>
          <w:sz w:val="22"/>
          <w:szCs w:val="22"/>
        </w:rPr>
      </w:pPr>
    </w:p>
    <w:p w14:paraId="69277C67" w14:textId="77777777" w:rsidR="00A77B3E" w:rsidRPr="0030358C" w:rsidRDefault="00A77B3E">
      <w:pPr>
        <w:pStyle w:val="1"/>
        <w:rPr>
          <w:rFonts w:ascii="Arial" w:hAnsi="Arial" w:cs="Arial"/>
          <w:sz w:val="22"/>
          <w:szCs w:val="22"/>
        </w:rPr>
      </w:pPr>
    </w:p>
    <w:p w14:paraId="2ADC7075" w14:textId="77777777" w:rsidR="00A77B3E" w:rsidRPr="0030358C" w:rsidRDefault="00A77B3E">
      <w:pPr>
        <w:pStyle w:val="1"/>
        <w:rPr>
          <w:rFonts w:ascii="Arial" w:hAnsi="Arial" w:cs="Arial"/>
          <w:sz w:val="22"/>
          <w:szCs w:val="22"/>
        </w:rPr>
      </w:pPr>
    </w:p>
    <w:p w14:paraId="65D307B3" w14:textId="77777777" w:rsidR="00A77B3E" w:rsidRPr="0030358C" w:rsidRDefault="00000000">
      <w:pPr>
        <w:pStyle w:val="9"/>
        <w:rPr>
          <w:rFonts w:ascii="Arial" w:hAnsi="Arial" w:cs="Arial"/>
          <w:sz w:val="22"/>
          <w:szCs w:val="22"/>
        </w:rPr>
      </w:pPr>
      <w:r w:rsidRPr="0030358C">
        <w:rPr>
          <w:rFonts w:ascii="Arial" w:hAnsi="Arial" w:cs="Arial"/>
          <w:sz w:val="22"/>
          <w:szCs w:val="22"/>
        </w:rPr>
        <w:t>§ 1</w:t>
      </w:r>
    </w:p>
    <w:p w14:paraId="6BDB5E01" w14:textId="77777777" w:rsidR="00A77B3E" w:rsidRPr="0030358C" w:rsidRDefault="00000000">
      <w:pPr>
        <w:pStyle w:val="10"/>
        <w:rPr>
          <w:rFonts w:ascii="Arial" w:hAnsi="Arial" w:cs="Arial"/>
          <w:sz w:val="22"/>
          <w:szCs w:val="22"/>
        </w:rPr>
      </w:pPr>
      <w:r w:rsidRPr="0030358C">
        <w:rPr>
          <w:rFonts w:ascii="Arial" w:hAnsi="Arial" w:cs="Arial"/>
          <w:sz w:val="22"/>
          <w:szCs w:val="22"/>
        </w:rPr>
        <w:t>Předmět úpravy</w:t>
      </w:r>
    </w:p>
    <w:p w14:paraId="59B22F7E" w14:textId="77777777" w:rsidR="00A77B3E" w:rsidRPr="0030358C" w:rsidRDefault="00000000">
      <w:pPr>
        <w:pStyle w:val="11"/>
        <w:rPr>
          <w:rFonts w:ascii="Arial" w:hAnsi="Arial" w:cs="Arial"/>
          <w:sz w:val="22"/>
          <w:szCs w:val="22"/>
        </w:rPr>
      </w:pPr>
      <w:r w:rsidRPr="0030358C">
        <w:rPr>
          <w:rFonts w:ascii="Arial" w:hAnsi="Arial" w:cs="Arial"/>
          <w:sz w:val="22"/>
          <w:szCs w:val="22"/>
        </w:rPr>
        <w:t>(1)    Tato vyhláška zapracovává příslušné předpisy Evropské unie</w:t>
      </w:r>
      <w:hyperlink w:history="1">
        <w:r w:rsidR="00A77B3E" w:rsidRPr="0030358C">
          <w:rPr>
            <w:rFonts w:ascii="Arial" w:hAnsi="Arial" w:cs="Arial"/>
            <w:sz w:val="22"/>
            <w:szCs w:val="22"/>
            <w:vertAlign w:val="superscript"/>
          </w:rPr>
          <w:t>1</w:t>
        </w:r>
        <w:r w:rsidR="00A77B3E" w:rsidRPr="0030358C">
          <w:rPr>
            <w:rFonts w:ascii="Arial" w:hAnsi="Arial" w:cs="Arial"/>
            <w:sz w:val="22"/>
            <w:szCs w:val="22"/>
          </w:rPr>
          <w:t>)</w:t>
        </w:r>
      </w:hyperlink>
      <w:r w:rsidRPr="0030358C">
        <w:rPr>
          <w:rFonts w:ascii="Arial" w:hAnsi="Arial" w:cs="Arial"/>
          <w:sz w:val="22"/>
          <w:szCs w:val="22"/>
        </w:rPr>
        <w:t xml:space="preserve"> a stanovuje</w:t>
      </w:r>
    </w:p>
    <w:p w14:paraId="23D4DA9A" w14:textId="77777777" w:rsidR="00A77B3E" w:rsidRPr="0030358C" w:rsidRDefault="00000000">
      <w:pPr>
        <w:pStyle w:val="12"/>
        <w:rPr>
          <w:rFonts w:ascii="Arial" w:hAnsi="Arial" w:cs="Arial"/>
          <w:sz w:val="22"/>
          <w:szCs w:val="22"/>
        </w:rPr>
      </w:pPr>
      <w:r w:rsidRPr="0030358C">
        <w:rPr>
          <w:rFonts w:ascii="Arial" w:hAnsi="Arial" w:cs="Arial"/>
          <w:sz w:val="22"/>
          <w:szCs w:val="22"/>
        </w:rPr>
        <w:t>a)    intervaly, způsob a podmínky zjišťování úrovně znečišťování měřením a výpočtem, způsob vyhodnocení výsledků zjišťování úrovně znečišťování a způsob zjišťování a vyhodnocení plnění tmavosti kouře,</w:t>
      </w:r>
    </w:p>
    <w:p w14:paraId="37D31A04" w14:textId="77777777" w:rsidR="00A77B3E" w:rsidRPr="0030358C" w:rsidRDefault="00000000">
      <w:pPr>
        <w:pStyle w:val="13"/>
        <w:rPr>
          <w:rFonts w:ascii="Arial" w:hAnsi="Arial" w:cs="Arial"/>
          <w:sz w:val="22"/>
          <w:szCs w:val="22"/>
        </w:rPr>
      </w:pPr>
      <w:r w:rsidRPr="0030358C">
        <w:rPr>
          <w:rFonts w:ascii="Arial" w:hAnsi="Arial" w:cs="Arial"/>
          <w:sz w:val="22"/>
          <w:szCs w:val="22"/>
        </w:rPr>
        <w:t xml:space="preserve">b)    obecné emisní limity, specifické emisní limity, způsob stanovení emisních limitů </w:t>
      </w:r>
      <w:bookmarkStart w:id="0" w:name="_Hlk180658302"/>
      <w:r w:rsidRPr="0030358C">
        <w:rPr>
          <w:rFonts w:ascii="Arial" w:hAnsi="Arial" w:cs="Arial"/>
          <w:strike/>
          <w:sz w:val="22"/>
          <w:szCs w:val="22"/>
        </w:rPr>
        <w:t>pro látky obtěžující zápachem</w:t>
      </w:r>
      <w:bookmarkEnd w:id="0"/>
      <w:r w:rsidRPr="0030358C">
        <w:rPr>
          <w:rFonts w:ascii="Arial" w:hAnsi="Arial" w:cs="Arial"/>
          <w:sz w:val="22"/>
          <w:szCs w:val="22"/>
        </w:rPr>
        <w:t>, způsob výpočtu emisních stropů a technické podmínky provozu stacionárních zdrojů a způsob vyhodnocování jejich plnění</w:t>
      </w:r>
      <w:r w:rsidR="009709AF" w:rsidRPr="0030358C">
        <w:rPr>
          <w:rFonts w:ascii="Arial" w:hAnsi="Arial" w:cs="Arial"/>
          <w:b/>
          <w:bCs/>
          <w:sz w:val="22"/>
          <w:szCs w:val="22"/>
        </w:rPr>
        <w:t>,</w:t>
      </w:r>
      <w:r w:rsidR="009709AF" w:rsidRPr="0030358C">
        <w:rPr>
          <w:rFonts w:ascii="Arial" w:hAnsi="Arial" w:cs="Arial"/>
          <w:sz w:val="22"/>
          <w:szCs w:val="22"/>
        </w:rPr>
        <w:t xml:space="preserve"> </w:t>
      </w:r>
      <w:r w:rsidR="009709AF" w:rsidRPr="0030358C">
        <w:rPr>
          <w:rFonts w:ascii="Arial" w:hAnsi="Arial" w:cs="Arial"/>
          <w:b/>
          <w:bCs/>
          <w:sz w:val="22"/>
          <w:szCs w:val="22"/>
        </w:rPr>
        <w:t>stacionární zdroje, pro které se vyžaduje stanovení nepřetržitého sledování a zaznamenávání provozního parametru v povolení provozu, a rozsah, způsob a podmínky stanovení provozního parametru</w:t>
      </w:r>
      <w:r w:rsidRPr="0030358C">
        <w:rPr>
          <w:rFonts w:ascii="Arial" w:hAnsi="Arial" w:cs="Arial"/>
          <w:sz w:val="22"/>
          <w:szCs w:val="22"/>
        </w:rPr>
        <w:t>,</w:t>
      </w:r>
    </w:p>
    <w:p w14:paraId="3899DDA6" w14:textId="77777777" w:rsidR="00A77B3E" w:rsidRPr="0030358C" w:rsidRDefault="00000000">
      <w:pPr>
        <w:pStyle w:val="13"/>
        <w:rPr>
          <w:rFonts w:ascii="Arial" w:hAnsi="Arial" w:cs="Arial"/>
          <w:sz w:val="22"/>
          <w:szCs w:val="22"/>
        </w:rPr>
      </w:pPr>
      <w:r w:rsidRPr="0030358C">
        <w:rPr>
          <w:rFonts w:ascii="Arial" w:hAnsi="Arial" w:cs="Arial"/>
          <w:sz w:val="22"/>
          <w:szCs w:val="22"/>
        </w:rPr>
        <w:t>c)    způsob stanovení počtu provozních hodin,</w:t>
      </w:r>
    </w:p>
    <w:p w14:paraId="01D90D1D" w14:textId="77777777" w:rsidR="00A77B3E" w:rsidRPr="0030358C" w:rsidRDefault="00000000">
      <w:pPr>
        <w:pStyle w:val="13"/>
        <w:rPr>
          <w:rFonts w:ascii="Arial" w:hAnsi="Arial" w:cs="Arial"/>
          <w:sz w:val="22"/>
          <w:szCs w:val="22"/>
        </w:rPr>
      </w:pPr>
      <w:r w:rsidRPr="0030358C">
        <w:rPr>
          <w:rFonts w:ascii="Arial" w:hAnsi="Arial" w:cs="Arial"/>
          <w:sz w:val="22"/>
          <w:szCs w:val="22"/>
        </w:rPr>
        <w:t>d)    požadavky na kvalitu paliv, požadavky na způsob prokazování jejich plnění a formát a rozsah ohlašování splnění těchto požadavků,</w:t>
      </w:r>
    </w:p>
    <w:p w14:paraId="7ED8C2E9" w14:textId="77777777" w:rsidR="00A77B3E" w:rsidRPr="0030358C" w:rsidRDefault="00000000">
      <w:pPr>
        <w:pStyle w:val="13"/>
        <w:rPr>
          <w:rFonts w:ascii="Arial" w:hAnsi="Arial" w:cs="Arial"/>
          <w:sz w:val="22"/>
          <w:szCs w:val="22"/>
        </w:rPr>
      </w:pPr>
      <w:r w:rsidRPr="0030358C">
        <w:rPr>
          <w:rFonts w:ascii="Arial" w:hAnsi="Arial" w:cs="Arial"/>
          <w:sz w:val="22"/>
          <w:szCs w:val="22"/>
        </w:rPr>
        <w:t>e)    požadavky na výrobky s obsahem těkavých organických látek,</w:t>
      </w:r>
    </w:p>
    <w:p w14:paraId="5CBA5962" w14:textId="77777777" w:rsidR="00A77B3E" w:rsidRPr="0030358C" w:rsidRDefault="00000000">
      <w:pPr>
        <w:pStyle w:val="13"/>
        <w:rPr>
          <w:rFonts w:ascii="Arial" w:hAnsi="Arial" w:cs="Arial"/>
          <w:b/>
          <w:bCs/>
          <w:sz w:val="22"/>
          <w:szCs w:val="22"/>
        </w:rPr>
      </w:pPr>
      <w:r w:rsidRPr="0030358C">
        <w:rPr>
          <w:rFonts w:ascii="Arial" w:hAnsi="Arial" w:cs="Arial"/>
          <w:sz w:val="22"/>
          <w:szCs w:val="22"/>
        </w:rPr>
        <w:t xml:space="preserve">f)    náležitosti provozní evidence a souhrnné provozní evidence, provozního řádu, odborného posudku, rozptylové studie, </w:t>
      </w:r>
      <w:bookmarkStart w:id="1" w:name="_Hlk180658365"/>
      <w:r w:rsidRPr="0030358C">
        <w:rPr>
          <w:rFonts w:ascii="Arial" w:hAnsi="Arial" w:cs="Arial"/>
          <w:strike/>
          <w:sz w:val="22"/>
          <w:szCs w:val="22"/>
        </w:rPr>
        <w:t>protokolu</w:t>
      </w:r>
      <w:r w:rsidRPr="0030358C">
        <w:rPr>
          <w:rFonts w:ascii="Arial" w:hAnsi="Arial" w:cs="Arial"/>
          <w:sz w:val="22"/>
          <w:szCs w:val="22"/>
        </w:rPr>
        <w:t xml:space="preserve"> </w:t>
      </w:r>
      <w:r w:rsidR="00053454" w:rsidRPr="0030358C">
        <w:rPr>
          <w:rFonts w:ascii="Arial" w:hAnsi="Arial" w:cs="Arial"/>
          <w:b/>
          <w:bCs/>
          <w:sz w:val="22"/>
          <w:szCs w:val="22"/>
        </w:rPr>
        <w:t>dokumentů</w:t>
      </w:r>
      <w:bookmarkEnd w:id="1"/>
      <w:r w:rsidR="00053454" w:rsidRPr="0030358C">
        <w:rPr>
          <w:rFonts w:ascii="Arial" w:hAnsi="Arial" w:cs="Arial"/>
          <w:sz w:val="22"/>
          <w:szCs w:val="22"/>
        </w:rPr>
        <w:t xml:space="preserve"> </w:t>
      </w:r>
      <w:r w:rsidRPr="0030358C">
        <w:rPr>
          <w:rFonts w:ascii="Arial" w:hAnsi="Arial" w:cs="Arial"/>
          <w:sz w:val="22"/>
          <w:szCs w:val="22"/>
        </w:rPr>
        <w:t xml:space="preserve">o jednorázovém měření emisí, dokladu o kontrole technického stavu a provozu spalovacího stacionárního zdroje na pevná paliva o celkovém jmenovitém tepelném příkonu od 10 do 300 kW včetně, který slouží jako zdroj tepla pro teplovodní soustavu ústředního vytápění, </w:t>
      </w:r>
      <w:bookmarkStart w:id="2" w:name="_Hlk180658403"/>
      <w:r w:rsidRPr="0030358C">
        <w:rPr>
          <w:rFonts w:ascii="Arial" w:hAnsi="Arial" w:cs="Arial"/>
          <w:strike/>
          <w:sz w:val="22"/>
          <w:szCs w:val="22"/>
        </w:rPr>
        <w:t>a rozsah</w:t>
      </w:r>
      <w:r w:rsidRPr="0030358C">
        <w:rPr>
          <w:rFonts w:ascii="Arial" w:hAnsi="Arial" w:cs="Arial"/>
          <w:sz w:val="22"/>
          <w:szCs w:val="22"/>
        </w:rPr>
        <w:t xml:space="preserve"> </w:t>
      </w:r>
      <w:r w:rsidR="00053454" w:rsidRPr="0030358C">
        <w:rPr>
          <w:rFonts w:ascii="Arial" w:hAnsi="Arial" w:cs="Arial"/>
          <w:b/>
          <w:bCs/>
          <w:sz w:val="22"/>
          <w:szCs w:val="22"/>
        </w:rPr>
        <w:t>rozsah</w:t>
      </w:r>
      <w:r w:rsidR="00053454" w:rsidRPr="0030358C">
        <w:rPr>
          <w:rFonts w:ascii="Arial" w:hAnsi="Arial" w:cs="Arial"/>
          <w:sz w:val="22"/>
          <w:szCs w:val="22"/>
        </w:rPr>
        <w:t xml:space="preserve"> </w:t>
      </w:r>
      <w:bookmarkEnd w:id="2"/>
      <w:r w:rsidRPr="0030358C">
        <w:rPr>
          <w:rFonts w:ascii="Arial" w:hAnsi="Arial" w:cs="Arial"/>
          <w:sz w:val="22"/>
          <w:szCs w:val="22"/>
        </w:rPr>
        <w:t>údajů ohlašovaných odborně způsobilou osobou prostřednictvím integrovaného systému plnění ohlašovacích povinností</w:t>
      </w:r>
      <w:bookmarkStart w:id="3" w:name="_Hlk180658438"/>
      <w:r w:rsidR="00DB52FC" w:rsidRPr="0030358C">
        <w:rPr>
          <w:rFonts w:ascii="Arial" w:hAnsi="Arial" w:cs="Arial"/>
          <w:b/>
          <w:bCs/>
          <w:sz w:val="22"/>
          <w:szCs w:val="22"/>
        </w:rPr>
        <w:t>,</w:t>
      </w:r>
      <w:r w:rsidR="00DB52FC" w:rsidRPr="0030358C">
        <w:rPr>
          <w:rFonts w:ascii="Arial" w:hAnsi="Arial" w:cs="Arial"/>
          <w:sz w:val="22"/>
          <w:szCs w:val="22"/>
        </w:rPr>
        <w:t xml:space="preserve"> </w:t>
      </w:r>
      <w:bookmarkStart w:id="4" w:name="_Hlk181783424"/>
      <w:r w:rsidR="00053454" w:rsidRPr="0030358C">
        <w:rPr>
          <w:rFonts w:ascii="Arial" w:hAnsi="Arial" w:cs="Arial"/>
          <w:b/>
          <w:bCs/>
          <w:sz w:val="22"/>
          <w:szCs w:val="22"/>
        </w:rPr>
        <w:t>náležitosti hlášení o plnění opatření programu zlepšování kvality ovzduší a časového plánu provádění opatření programu zlepšování kvality ovzduší</w:t>
      </w:r>
      <w:bookmarkEnd w:id="3"/>
      <w:r w:rsidR="00DB52FC" w:rsidRPr="0030358C">
        <w:rPr>
          <w:rFonts w:ascii="Arial" w:hAnsi="Arial" w:cs="Arial"/>
          <w:b/>
          <w:bCs/>
          <w:sz w:val="22"/>
          <w:szCs w:val="22"/>
        </w:rPr>
        <w:t xml:space="preserve"> a formát a struktur</w:t>
      </w:r>
      <w:r w:rsidR="006F7E06" w:rsidRPr="0030358C">
        <w:rPr>
          <w:rFonts w:ascii="Arial" w:hAnsi="Arial" w:cs="Arial"/>
          <w:b/>
          <w:bCs/>
          <w:sz w:val="22"/>
          <w:szCs w:val="22"/>
        </w:rPr>
        <w:t>u</w:t>
      </w:r>
      <w:r w:rsidR="00DB52FC" w:rsidRPr="0030358C">
        <w:rPr>
          <w:rFonts w:ascii="Arial" w:hAnsi="Arial" w:cs="Arial"/>
          <w:b/>
          <w:bCs/>
          <w:sz w:val="22"/>
          <w:szCs w:val="22"/>
        </w:rPr>
        <w:t xml:space="preserve"> řádného a dodatečného poplatkového přiznání</w:t>
      </w:r>
      <w:bookmarkEnd w:id="4"/>
      <w:r w:rsidR="00053454" w:rsidRPr="0030358C">
        <w:rPr>
          <w:rFonts w:ascii="Arial" w:hAnsi="Arial" w:cs="Arial"/>
          <w:sz w:val="22"/>
          <w:szCs w:val="22"/>
        </w:rPr>
        <w:t>,</w:t>
      </w:r>
    </w:p>
    <w:p w14:paraId="7403F55E" w14:textId="77777777" w:rsidR="00A77B3E" w:rsidRPr="0030358C" w:rsidRDefault="00000000">
      <w:pPr>
        <w:pStyle w:val="13"/>
        <w:rPr>
          <w:rFonts w:ascii="Arial" w:hAnsi="Arial" w:cs="Arial"/>
          <w:sz w:val="22"/>
          <w:szCs w:val="22"/>
        </w:rPr>
      </w:pPr>
      <w:r w:rsidRPr="0030358C">
        <w:rPr>
          <w:rFonts w:ascii="Arial" w:hAnsi="Arial" w:cs="Arial"/>
          <w:sz w:val="22"/>
          <w:szCs w:val="22"/>
        </w:rPr>
        <w:t>g)    způsob uplatnění kompenzačních opatření a minimální hodnoty příspěvku stacionárního zdroje k úrovni znečištění,</w:t>
      </w:r>
    </w:p>
    <w:p w14:paraId="56E8FF26" w14:textId="77777777" w:rsidR="005E4D28" w:rsidRPr="0030358C" w:rsidRDefault="00000000" w:rsidP="009709AF">
      <w:pPr>
        <w:pStyle w:val="14"/>
        <w:rPr>
          <w:rFonts w:ascii="Arial" w:hAnsi="Arial" w:cs="Arial"/>
          <w:b/>
          <w:bCs/>
          <w:sz w:val="22"/>
          <w:szCs w:val="22"/>
        </w:rPr>
      </w:pPr>
      <w:r w:rsidRPr="0030358C">
        <w:rPr>
          <w:rFonts w:ascii="Arial" w:hAnsi="Arial" w:cs="Arial"/>
          <w:sz w:val="22"/>
          <w:szCs w:val="22"/>
        </w:rPr>
        <w:t>h)    referenční finanční limit pro provedení kontroly technického stavu a provozu spalovacího stacionárního zdroje na pevná paliva o celkovém jmenovitém tepelném příkonu od 10 do 300 kW včetně, který slouží jako zdroj tepla pro teplovodní soustavu ústředního vytápění</w:t>
      </w:r>
      <w:r w:rsidRPr="0030358C">
        <w:rPr>
          <w:rFonts w:ascii="Arial" w:hAnsi="Arial" w:cs="Arial"/>
          <w:strike/>
          <w:sz w:val="22"/>
          <w:szCs w:val="22"/>
        </w:rPr>
        <w:t>.</w:t>
      </w:r>
      <w:r w:rsidR="00053454" w:rsidRPr="0030358C">
        <w:rPr>
          <w:rFonts w:ascii="Arial" w:hAnsi="Arial" w:cs="Arial"/>
          <w:b/>
          <w:bCs/>
          <w:sz w:val="22"/>
          <w:szCs w:val="22"/>
        </w:rPr>
        <w:t>,</w:t>
      </w:r>
    </w:p>
    <w:p w14:paraId="43913324" w14:textId="77777777" w:rsidR="00053454" w:rsidRPr="0030358C" w:rsidRDefault="00000000" w:rsidP="00053454">
      <w:pPr>
        <w:pStyle w:val="14"/>
        <w:rPr>
          <w:rFonts w:ascii="Arial" w:hAnsi="Arial" w:cs="Arial"/>
          <w:b/>
          <w:bCs/>
          <w:sz w:val="22"/>
          <w:szCs w:val="22"/>
        </w:rPr>
      </w:pPr>
      <w:bookmarkStart w:id="5" w:name="_Hlk180659255"/>
      <w:r w:rsidRPr="0030358C">
        <w:rPr>
          <w:rFonts w:ascii="Arial" w:hAnsi="Arial" w:cs="Arial"/>
          <w:b/>
          <w:bCs/>
          <w:sz w:val="22"/>
          <w:szCs w:val="22"/>
        </w:rPr>
        <w:t>i) rozsah kontroly technického stavu a provozu spalovacího stacionárního zdroje na pevná paliva o celkovém jmenovitém tepelném příkonu od 10 do 300 kW včetně, který slouží jako zdroj tepla pro teplovodní soustavu ústředního vytápění,</w:t>
      </w:r>
    </w:p>
    <w:p w14:paraId="3463B9DB" w14:textId="77777777" w:rsidR="00053454" w:rsidRPr="0030358C" w:rsidRDefault="00000000" w:rsidP="00053454">
      <w:pPr>
        <w:pStyle w:val="14"/>
        <w:rPr>
          <w:rFonts w:ascii="Arial" w:hAnsi="Arial" w:cs="Arial"/>
          <w:b/>
          <w:bCs/>
          <w:sz w:val="22"/>
          <w:szCs w:val="22"/>
        </w:rPr>
      </w:pPr>
      <w:r w:rsidRPr="0030358C">
        <w:rPr>
          <w:rFonts w:ascii="Arial" w:hAnsi="Arial" w:cs="Arial"/>
          <w:b/>
          <w:bCs/>
          <w:sz w:val="22"/>
          <w:szCs w:val="22"/>
        </w:rPr>
        <w:t xml:space="preserve">j) </w:t>
      </w:r>
      <w:r w:rsidR="005E4D28" w:rsidRPr="0030358C">
        <w:rPr>
          <w:rFonts w:ascii="Arial" w:hAnsi="Arial" w:cs="Arial"/>
          <w:b/>
          <w:bCs/>
          <w:sz w:val="22"/>
          <w:szCs w:val="22"/>
        </w:rPr>
        <w:t>postup prokazování tepelného zpracování odpadu ve spalovacím stacionárním zdroji o celkovém jmenovitém tepelném příkonu do 300 kW včetně</w:t>
      </w:r>
      <w:r w:rsidR="009709AF" w:rsidRPr="0030358C">
        <w:rPr>
          <w:rFonts w:ascii="Arial" w:hAnsi="Arial" w:cs="Arial"/>
          <w:b/>
          <w:bCs/>
          <w:sz w:val="22"/>
          <w:szCs w:val="22"/>
        </w:rPr>
        <w:t>,</w:t>
      </w:r>
    </w:p>
    <w:p w14:paraId="70DDCEDD" w14:textId="77777777" w:rsidR="009709AF" w:rsidRPr="0030358C" w:rsidRDefault="00000000" w:rsidP="00053454">
      <w:pPr>
        <w:pStyle w:val="14"/>
        <w:rPr>
          <w:rFonts w:ascii="Arial" w:hAnsi="Arial" w:cs="Arial"/>
          <w:b/>
          <w:bCs/>
          <w:sz w:val="22"/>
          <w:szCs w:val="22"/>
        </w:rPr>
      </w:pPr>
      <w:r w:rsidRPr="0030358C">
        <w:rPr>
          <w:rFonts w:ascii="Arial" w:hAnsi="Arial" w:cs="Arial"/>
          <w:b/>
          <w:bCs/>
          <w:sz w:val="22"/>
          <w:szCs w:val="22"/>
        </w:rPr>
        <w:t xml:space="preserve">k) </w:t>
      </w:r>
      <w:r w:rsidR="00607AC9" w:rsidRPr="0030358C">
        <w:rPr>
          <w:rFonts w:ascii="Arial" w:hAnsi="Arial" w:cs="Arial"/>
          <w:b/>
          <w:bCs/>
          <w:sz w:val="22"/>
          <w:szCs w:val="22"/>
        </w:rPr>
        <w:t>m</w:t>
      </w:r>
      <w:r w:rsidRPr="0030358C">
        <w:rPr>
          <w:rFonts w:ascii="Arial" w:hAnsi="Arial" w:cs="Arial"/>
          <w:b/>
          <w:bCs/>
          <w:sz w:val="22"/>
          <w:szCs w:val="22"/>
        </w:rPr>
        <w:t>inimální vzdálenosti a způsob jejich použití</w:t>
      </w:r>
      <w:r w:rsidR="00607AC9" w:rsidRPr="0030358C">
        <w:rPr>
          <w:rFonts w:ascii="Arial" w:hAnsi="Arial" w:cs="Arial"/>
          <w:b/>
          <w:bCs/>
          <w:sz w:val="22"/>
          <w:szCs w:val="22"/>
        </w:rPr>
        <w:t>.</w:t>
      </w:r>
    </w:p>
    <w:bookmarkEnd w:id="5"/>
    <w:p w14:paraId="0855D8FE" w14:textId="77777777" w:rsidR="00A77B3E" w:rsidRPr="0030358C" w:rsidRDefault="00000000">
      <w:pPr>
        <w:pStyle w:val="11"/>
        <w:rPr>
          <w:rFonts w:ascii="Arial" w:hAnsi="Arial" w:cs="Arial"/>
          <w:sz w:val="22"/>
          <w:szCs w:val="22"/>
        </w:rPr>
      </w:pPr>
      <w:r w:rsidRPr="0030358C">
        <w:rPr>
          <w:rFonts w:ascii="Arial" w:hAnsi="Arial" w:cs="Arial"/>
          <w:sz w:val="22"/>
          <w:szCs w:val="22"/>
        </w:rPr>
        <w:lastRenderedPageBreak/>
        <w:t xml:space="preserve">(2)    Tato vyhláška byla oznámena v souladu se směrnicí Evropského parlamentu a Rady </w:t>
      </w:r>
      <w:hyperlink w:history="1">
        <w:r w:rsidR="00A77B3E" w:rsidRPr="0030358C">
          <w:rPr>
            <w:rFonts w:ascii="Arial" w:hAnsi="Arial" w:cs="Arial"/>
            <w:sz w:val="22"/>
            <w:szCs w:val="22"/>
          </w:rPr>
          <w:t>98/34/ES</w:t>
        </w:r>
      </w:hyperlink>
      <w:r w:rsidRPr="0030358C">
        <w:rPr>
          <w:rFonts w:ascii="Arial" w:hAnsi="Arial" w:cs="Arial"/>
          <w:sz w:val="22"/>
          <w:szCs w:val="22"/>
        </w:rPr>
        <w:t xml:space="preserve"> ze dne 22. června 1998 o postupu při poskytování informací v oblasti technických norem a předpisů a pravidel pro služby informační společnosti, ve znění směrnice </w:t>
      </w:r>
      <w:hyperlink w:history="1">
        <w:r w:rsidR="00A77B3E" w:rsidRPr="0030358C">
          <w:rPr>
            <w:rFonts w:ascii="Arial" w:hAnsi="Arial" w:cs="Arial"/>
            <w:sz w:val="22"/>
            <w:szCs w:val="22"/>
          </w:rPr>
          <w:t>98/48/ES</w:t>
        </w:r>
      </w:hyperlink>
      <w:r w:rsidRPr="0030358C">
        <w:rPr>
          <w:rFonts w:ascii="Arial" w:hAnsi="Arial" w:cs="Arial"/>
          <w:sz w:val="22"/>
          <w:szCs w:val="22"/>
        </w:rPr>
        <w:t>.</w:t>
      </w:r>
    </w:p>
    <w:p w14:paraId="6072408B" w14:textId="77777777" w:rsidR="00A77B3E" w:rsidRPr="0030358C" w:rsidRDefault="00000000">
      <w:pPr>
        <w:pStyle w:val="15"/>
        <w:rPr>
          <w:rFonts w:ascii="Arial" w:hAnsi="Arial" w:cs="Arial"/>
          <w:sz w:val="22"/>
          <w:szCs w:val="22"/>
        </w:rPr>
      </w:pPr>
      <w:r w:rsidRPr="0030358C">
        <w:rPr>
          <w:rFonts w:ascii="Arial" w:hAnsi="Arial" w:cs="Arial"/>
          <w:sz w:val="22"/>
          <w:szCs w:val="22"/>
        </w:rPr>
        <w:t>§ 2</w:t>
      </w:r>
    </w:p>
    <w:p w14:paraId="1A22FE26" w14:textId="77777777" w:rsidR="00A77B3E" w:rsidRPr="0030358C" w:rsidRDefault="00000000">
      <w:pPr>
        <w:pStyle w:val="10"/>
        <w:rPr>
          <w:rFonts w:ascii="Arial" w:hAnsi="Arial" w:cs="Arial"/>
          <w:sz w:val="22"/>
          <w:szCs w:val="22"/>
        </w:rPr>
      </w:pPr>
      <w:r w:rsidRPr="0030358C">
        <w:rPr>
          <w:rFonts w:ascii="Arial" w:hAnsi="Arial" w:cs="Arial"/>
          <w:sz w:val="22"/>
          <w:szCs w:val="22"/>
        </w:rPr>
        <w:t>Základní pojmy</w:t>
      </w:r>
    </w:p>
    <w:p w14:paraId="4B7CAFA0" w14:textId="77777777" w:rsidR="00A77B3E" w:rsidRPr="0030358C" w:rsidRDefault="00000000">
      <w:pPr>
        <w:pStyle w:val="16"/>
        <w:rPr>
          <w:rFonts w:ascii="Arial" w:hAnsi="Arial" w:cs="Arial"/>
          <w:sz w:val="22"/>
          <w:szCs w:val="22"/>
        </w:rPr>
      </w:pPr>
      <w:r w:rsidRPr="0030358C">
        <w:rPr>
          <w:rFonts w:ascii="Arial" w:hAnsi="Arial" w:cs="Arial"/>
          <w:sz w:val="22"/>
          <w:szCs w:val="22"/>
        </w:rPr>
        <w:t>Pro účely této vyhlášky se rozumí</w:t>
      </w:r>
    </w:p>
    <w:p w14:paraId="096A7355" w14:textId="77777777" w:rsidR="00A77B3E" w:rsidRPr="0030358C" w:rsidRDefault="00000000">
      <w:pPr>
        <w:pStyle w:val="17"/>
        <w:rPr>
          <w:rFonts w:ascii="Arial" w:hAnsi="Arial" w:cs="Arial"/>
          <w:sz w:val="22"/>
          <w:szCs w:val="22"/>
        </w:rPr>
      </w:pPr>
      <w:r w:rsidRPr="0030358C">
        <w:rPr>
          <w:rFonts w:ascii="Arial" w:hAnsi="Arial" w:cs="Arial"/>
          <w:sz w:val="22"/>
          <w:szCs w:val="22"/>
        </w:rPr>
        <w:t>a)    biomasou ke spalování ve stacionárních zdrojích produkt, který je tvořen z rostlinného materiálu pocházejícího ze zemědělství nebo lesnictví a který lze použít jako palivo za účelem získání jeho energetického obsahu, a dále následující odpad použitý jako palivo:</w:t>
      </w:r>
    </w:p>
    <w:p w14:paraId="53D72E10" w14:textId="77777777" w:rsidR="00A77B3E" w:rsidRPr="0030358C" w:rsidRDefault="00000000">
      <w:pPr>
        <w:pStyle w:val="18"/>
        <w:rPr>
          <w:rFonts w:ascii="Arial" w:hAnsi="Arial" w:cs="Arial"/>
          <w:szCs w:val="22"/>
        </w:rPr>
      </w:pPr>
      <w:r w:rsidRPr="0030358C">
        <w:rPr>
          <w:rFonts w:ascii="Arial" w:hAnsi="Arial" w:cs="Arial"/>
          <w:szCs w:val="22"/>
        </w:rPr>
        <w:t>1.    rostlinný odpad ze zemědělství nebo lesnictví,</w:t>
      </w:r>
    </w:p>
    <w:p w14:paraId="010EFFC5" w14:textId="77777777" w:rsidR="00A77B3E" w:rsidRPr="0030358C" w:rsidRDefault="00000000">
      <w:pPr>
        <w:pStyle w:val="19"/>
        <w:rPr>
          <w:rFonts w:ascii="Arial" w:hAnsi="Arial" w:cs="Arial"/>
          <w:szCs w:val="22"/>
        </w:rPr>
      </w:pPr>
      <w:r w:rsidRPr="0030358C">
        <w:rPr>
          <w:rFonts w:ascii="Arial" w:hAnsi="Arial" w:cs="Arial"/>
          <w:szCs w:val="22"/>
        </w:rPr>
        <w:t>2.    rostlinný odpad z potravinářského průmyslu, pokud se využije vyrobené teplo,</w:t>
      </w:r>
    </w:p>
    <w:p w14:paraId="3776E7E2" w14:textId="77777777" w:rsidR="00A77B3E" w:rsidRPr="0030358C" w:rsidRDefault="00000000">
      <w:pPr>
        <w:pStyle w:val="19"/>
        <w:rPr>
          <w:rFonts w:ascii="Arial" w:hAnsi="Arial" w:cs="Arial"/>
          <w:szCs w:val="22"/>
        </w:rPr>
      </w:pPr>
      <w:r w:rsidRPr="0030358C">
        <w:rPr>
          <w:rFonts w:ascii="Arial" w:hAnsi="Arial" w:cs="Arial"/>
          <w:szCs w:val="22"/>
        </w:rPr>
        <w:t>3.    rostlinný odpad z výroby čerstvé vlákniny a z výroby papíru z buničiny, pokud se spoluspaluje v místě výroby a vzniklé teplo se využije,</w:t>
      </w:r>
    </w:p>
    <w:p w14:paraId="67AA8F3C" w14:textId="77777777" w:rsidR="00A77B3E" w:rsidRPr="0030358C" w:rsidRDefault="00000000">
      <w:pPr>
        <w:pStyle w:val="19"/>
        <w:rPr>
          <w:rFonts w:ascii="Arial" w:hAnsi="Arial" w:cs="Arial"/>
          <w:szCs w:val="22"/>
        </w:rPr>
      </w:pPr>
      <w:r w:rsidRPr="0030358C">
        <w:rPr>
          <w:rFonts w:ascii="Arial" w:hAnsi="Arial" w:cs="Arial"/>
          <w:szCs w:val="22"/>
        </w:rPr>
        <w:t>4.    korkový odpad,</w:t>
      </w:r>
    </w:p>
    <w:p w14:paraId="1545D6B4" w14:textId="77777777" w:rsidR="00A77B3E" w:rsidRPr="0030358C" w:rsidRDefault="00000000">
      <w:pPr>
        <w:pStyle w:val="20"/>
        <w:rPr>
          <w:rFonts w:ascii="Arial" w:hAnsi="Arial" w:cs="Arial"/>
          <w:szCs w:val="22"/>
        </w:rPr>
      </w:pPr>
      <w:r w:rsidRPr="0030358C">
        <w:rPr>
          <w:rFonts w:ascii="Arial" w:hAnsi="Arial" w:cs="Arial"/>
          <w:szCs w:val="22"/>
        </w:rPr>
        <w:t xml:space="preserve">5.    dřevný odpad s výjimkou dřevného odpadu, který může obsahovat halogenované organické sloučeniny </w:t>
      </w:r>
      <w:bookmarkStart w:id="6" w:name="_Hlk178530927"/>
      <w:r w:rsidRPr="0030358C">
        <w:rPr>
          <w:rFonts w:ascii="Arial" w:hAnsi="Arial" w:cs="Arial"/>
          <w:strike/>
          <w:szCs w:val="22"/>
        </w:rPr>
        <w:t>nebo těžké kovy</w:t>
      </w:r>
      <w:r w:rsidRPr="0030358C">
        <w:rPr>
          <w:rFonts w:ascii="Arial" w:hAnsi="Arial" w:cs="Arial"/>
          <w:szCs w:val="22"/>
        </w:rPr>
        <w:t xml:space="preserve"> </w:t>
      </w:r>
      <w:r w:rsidR="0035063A" w:rsidRPr="0030358C">
        <w:rPr>
          <w:rFonts w:ascii="Arial" w:hAnsi="Arial" w:cs="Arial"/>
          <w:b/>
          <w:bCs/>
          <w:szCs w:val="22"/>
        </w:rPr>
        <w:t>, těžké kovy nebo polycyklické aromatické uhlovodíky</w:t>
      </w:r>
      <w:r w:rsidR="0035063A" w:rsidRPr="0030358C">
        <w:rPr>
          <w:rFonts w:ascii="Arial" w:hAnsi="Arial" w:cs="Arial"/>
          <w:szCs w:val="22"/>
        </w:rPr>
        <w:t xml:space="preserve"> </w:t>
      </w:r>
      <w:bookmarkEnd w:id="6"/>
      <w:r w:rsidRPr="0030358C">
        <w:rPr>
          <w:rFonts w:ascii="Arial" w:hAnsi="Arial" w:cs="Arial"/>
          <w:szCs w:val="22"/>
        </w:rPr>
        <w:t>v důsledku ošetření látkami na ochranu dřeva nebo nátěrovými hmotami, zahrnující především takovéto dřevné odpady pocházející ze stavebnictví a z demolic,</w:t>
      </w:r>
    </w:p>
    <w:p w14:paraId="334A6C11" w14:textId="77777777" w:rsidR="00A77B3E" w:rsidRPr="0030358C" w:rsidRDefault="00000000">
      <w:pPr>
        <w:pStyle w:val="21"/>
        <w:rPr>
          <w:rFonts w:ascii="Arial" w:hAnsi="Arial" w:cs="Arial"/>
          <w:sz w:val="22"/>
          <w:szCs w:val="22"/>
        </w:rPr>
      </w:pPr>
      <w:r w:rsidRPr="0030358C">
        <w:rPr>
          <w:rFonts w:ascii="Arial" w:hAnsi="Arial" w:cs="Arial"/>
          <w:sz w:val="22"/>
          <w:szCs w:val="22"/>
        </w:rPr>
        <w:t>b)    emisním faktorem měrná výrobní emise typická pro určitou skupinu stacionárních zdrojů,</w:t>
      </w:r>
    </w:p>
    <w:p w14:paraId="49209640" w14:textId="77777777" w:rsidR="00A77B3E" w:rsidRPr="0030358C" w:rsidRDefault="00000000">
      <w:pPr>
        <w:pStyle w:val="22"/>
        <w:rPr>
          <w:rFonts w:ascii="Arial" w:hAnsi="Arial" w:cs="Arial"/>
          <w:sz w:val="22"/>
          <w:szCs w:val="22"/>
        </w:rPr>
      </w:pPr>
      <w:r w:rsidRPr="0030358C">
        <w:rPr>
          <w:rFonts w:ascii="Arial" w:hAnsi="Arial" w:cs="Arial"/>
          <w:sz w:val="22"/>
          <w:szCs w:val="22"/>
        </w:rPr>
        <w:t>c)    měrnou výrobní emisí podíl hmotnosti znečišťující látky nebo stanovené skupiny látek vnášených ze stacionárního zdroje do ovzduší a vztažné veličiny,</w:t>
      </w:r>
    </w:p>
    <w:p w14:paraId="0230F96F" w14:textId="77777777" w:rsidR="00A77B3E" w:rsidRPr="0030358C" w:rsidRDefault="00000000">
      <w:pPr>
        <w:pStyle w:val="22"/>
        <w:rPr>
          <w:rFonts w:ascii="Arial" w:hAnsi="Arial" w:cs="Arial"/>
          <w:sz w:val="22"/>
          <w:szCs w:val="22"/>
        </w:rPr>
      </w:pPr>
      <w:r w:rsidRPr="0030358C">
        <w:rPr>
          <w:rFonts w:ascii="Arial" w:hAnsi="Arial" w:cs="Arial"/>
          <w:sz w:val="22"/>
          <w:szCs w:val="22"/>
        </w:rPr>
        <w:t>d)    plynovým olejem jakékoliv kapalné palivo vyrobené z ropy s výjimkou lodního paliva</w:t>
      </w:r>
      <w:hyperlink w:history="1">
        <w:r w:rsidR="00A77B3E" w:rsidRPr="0030358C">
          <w:rPr>
            <w:rFonts w:ascii="Arial" w:hAnsi="Arial" w:cs="Arial"/>
            <w:sz w:val="22"/>
            <w:szCs w:val="22"/>
            <w:vertAlign w:val="superscript"/>
          </w:rPr>
          <w:t>5</w:t>
        </w:r>
        <w:r w:rsidR="00A77B3E" w:rsidRPr="0030358C">
          <w:rPr>
            <w:rFonts w:ascii="Arial" w:hAnsi="Arial" w:cs="Arial"/>
            <w:sz w:val="22"/>
            <w:szCs w:val="22"/>
          </w:rPr>
          <w:t>)</w:t>
        </w:r>
      </w:hyperlink>
      <w:r w:rsidRPr="0030358C">
        <w:rPr>
          <w:rFonts w:ascii="Arial" w:hAnsi="Arial" w:cs="Arial"/>
          <w:sz w:val="22"/>
          <w:szCs w:val="22"/>
        </w:rPr>
        <w:t xml:space="preserve"> uvedené pod kódy 2710 19 25, 2710 19 29, 2710 19 47, 2710 19 48, 2710 20 17 nebo 2710 20 19 kombinované nomenklatury v příloze I nařízení Rady (EHS) č. </w:t>
      </w:r>
      <w:hyperlink w:history="1">
        <w:r w:rsidR="00A77B3E" w:rsidRPr="0030358C">
          <w:rPr>
            <w:rFonts w:ascii="Arial" w:hAnsi="Arial" w:cs="Arial"/>
            <w:sz w:val="22"/>
            <w:szCs w:val="22"/>
          </w:rPr>
          <w:t>2658/87</w:t>
        </w:r>
      </w:hyperlink>
      <w:hyperlink w:history="1">
        <w:r w:rsidR="00A77B3E" w:rsidRPr="0030358C">
          <w:rPr>
            <w:rFonts w:ascii="Arial" w:hAnsi="Arial" w:cs="Arial"/>
            <w:sz w:val="22"/>
            <w:szCs w:val="22"/>
            <w:vertAlign w:val="superscript"/>
          </w:rPr>
          <w:t>3</w:t>
        </w:r>
        <w:r w:rsidR="00A77B3E" w:rsidRPr="0030358C">
          <w:rPr>
            <w:rFonts w:ascii="Arial" w:hAnsi="Arial" w:cs="Arial"/>
            <w:sz w:val="22"/>
            <w:szCs w:val="22"/>
          </w:rPr>
          <w:t>)</w:t>
        </w:r>
      </w:hyperlink>
      <w:r w:rsidRPr="0030358C">
        <w:rPr>
          <w:rFonts w:ascii="Arial" w:hAnsi="Arial" w:cs="Arial"/>
          <w:sz w:val="22"/>
          <w:szCs w:val="22"/>
        </w:rPr>
        <w:t>, nebo jakékoliv kapalné palivo s výjimkou lodního paliva</w:t>
      </w:r>
      <w:hyperlink w:history="1">
        <w:r w:rsidR="00A77B3E" w:rsidRPr="0030358C">
          <w:rPr>
            <w:rFonts w:ascii="Arial" w:hAnsi="Arial" w:cs="Arial"/>
            <w:sz w:val="22"/>
            <w:szCs w:val="22"/>
            <w:vertAlign w:val="superscript"/>
          </w:rPr>
          <w:t>5</w:t>
        </w:r>
        <w:r w:rsidR="00A77B3E" w:rsidRPr="0030358C">
          <w:rPr>
            <w:rFonts w:ascii="Arial" w:hAnsi="Arial" w:cs="Arial"/>
            <w:sz w:val="22"/>
            <w:szCs w:val="22"/>
          </w:rPr>
          <w:t>)</w:t>
        </w:r>
      </w:hyperlink>
      <w:r w:rsidRPr="0030358C">
        <w:rPr>
          <w:rFonts w:ascii="Arial" w:hAnsi="Arial" w:cs="Arial"/>
          <w:sz w:val="22"/>
          <w:szCs w:val="22"/>
        </w:rPr>
        <w:t xml:space="preserve">, z něhož se při teplotě 250 °C vydestiluje s použitím metody podle určené technické normy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 xml:space="preserve"> méně než 65 % objemových včetně ztrát a do teploty 350 °C se vydestiluje nejméně 85 % objemových včetně ztrát,</w:t>
      </w:r>
    </w:p>
    <w:p w14:paraId="2BDDC52F" w14:textId="77777777" w:rsidR="00A77B3E" w:rsidRPr="0030358C" w:rsidRDefault="00000000">
      <w:pPr>
        <w:pStyle w:val="22"/>
        <w:rPr>
          <w:rFonts w:ascii="Arial" w:hAnsi="Arial" w:cs="Arial"/>
          <w:sz w:val="22"/>
          <w:szCs w:val="22"/>
        </w:rPr>
      </w:pPr>
      <w:r w:rsidRPr="0030358C">
        <w:rPr>
          <w:rFonts w:ascii="Arial" w:hAnsi="Arial" w:cs="Arial"/>
          <w:sz w:val="22"/>
          <w:szCs w:val="22"/>
        </w:rPr>
        <w:t>e)    těžkým topným olejem jakékoli kapalné palivo vyrobené z ropy s výjimkou lodního paliva</w:t>
      </w:r>
      <w:hyperlink w:history="1">
        <w:r w:rsidR="00A77B3E" w:rsidRPr="0030358C">
          <w:rPr>
            <w:rFonts w:ascii="Arial" w:hAnsi="Arial" w:cs="Arial"/>
            <w:sz w:val="22"/>
            <w:szCs w:val="22"/>
            <w:vertAlign w:val="superscript"/>
          </w:rPr>
          <w:t>5</w:t>
        </w:r>
        <w:r w:rsidR="00A77B3E" w:rsidRPr="0030358C">
          <w:rPr>
            <w:rFonts w:ascii="Arial" w:hAnsi="Arial" w:cs="Arial"/>
            <w:sz w:val="22"/>
            <w:szCs w:val="22"/>
          </w:rPr>
          <w:t>)</w:t>
        </w:r>
      </w:hyperlink>
      <w:r w:rsidRPr="0030358C">
        <w:rPr>
          <w:rFonts w:ascii="Arial" w:hAnsi="Arial" w:cs="Arial"/>
          <w:sz w:val="22"/>
          <w:szCs w:val="22"/>
        </w:rPr>
        <w:t xml:space="preserve"> a plynového oleje uvedené pod kódy 2710 19 51 až 2710 19 68, 2710 20 31, 2710 20 35 nebo 2710 20 39 kombinované nomenklatury v příloze I nařízení Rady (EHS) č. </w:t>
      </w:r>
      <w:bookmarkStart w:id="7" w:name="_Hlk180659496"/>
      <w:r w:rsidR="00A77B3E">
        <w:fldChar w:fldCharType="begin"/>
      </w:r>
      <w:r w:rsidR="00A77B3E">
        <w:instrText>HYPERLINK</w:instrText>
      </w:r>
      <w:r w:rsidR="00A77B3E">
        <w:fldChar w:fldCharType="separate"/>
      </w:r>
      <w:r w:rsidR="00A77B3E" w:rsidRPr="0030358C">
        <w:rPr>
          <w:rFonts w:ascii="Arial" w:hAnsi="Arial" w:cs="Arial"/>
          <w:sz w:val="22"/>
          <w:szCs w:val="22"/>
        </w:rPr>
        <w:t>2658/87</w:t>
      </w:r>
      <w:r w:rsidR="00A77B3E">
        <w:fldChar w:fldCharType="end"/>
      </w:r>
      <w:hyperlink w:history="1">
        <w:r w:rsidR="00A77B3E" w:rsidRPr="0030358C">
          <w:rPr>
            <w:rFonts w:ascii="Arial" w:hAnsi="Arial" w:cs="Arial"/>
            <w:sz w:val="22"/>
            <w:szCs w:val="22"/>
            <w:vertAlign w:val="superscript"/>
          </w:rPr>
          <w:t>3)</w:t>
        </w:r>
      </w:hyperlink>
      <w:bookmarkEnd w:id="7"/>
      <w:r w:rsidR="00B5345B" w:rsidRPr="0030358C">
        <w:rPr>
          <w:rFonts w:ascii="Arial" w:hAnsi="Arial" w:cs="Arial"/>
          <w:sz w:val="22"/>
          <w:szCs w:val="22"/>
        </w:rPr>
        <w:t xml:space="preserve"> </w:t>
      </w:r>
      <w:r w:rsidR="00B5345B" w:rsidRPr="0030358C">
        <w:rPr>
          <w:rFonts w:ascii="Arial" w:hAnsi="Arial" w:cs="Arial"/>
          <w:b/>
          <w:bCs/>
          <w:sz w:val="22"/>
          <w:szCs w:val="22"/>
        </w:rPr>
        <w:t>nebo jakékoliv kapalné palivo vyrobené z ropy s výjimkou lodního paliva a plynového oleje</w:t>
      </w:r>
      <w:r w:rsidRPr="0030358C">
        <w:rPr>
          <w:rFonts w:ascii="Arial" w:hAnsi="Arial" w:cs="Arial"/>
          <w:sz w:val="22"/>
          <w:szCs w:val="22"/>
        </w:rPr>
        <w:t xml:space="preserve">, </w:t>
      </w:r>
      <w:bookmarkStart w:id="8" w:name="_Hlk178531634"/>
      <w:r w:rsidRPr="0030358C">
        <w:rPr>
          <w:rFonts w:ascii="Arial" w:hAnsi="Arial" w:cs="Arial"/>
          <w:sz w:val="22"/>
          <w:szCs w:val="22"/>
        </w:rPr>
        <w:t>které</w:t>
      </w:r>
      <w:r w:rsidR="00E828C8" w:rsidRPr="0030358C">
        <w:rPr>
          <w:rFonts w:ascii="Arial" w:hAnsi="Arial" w:cs="Arial"/>
          <w:sz w:val="22"/>
          <w:szCs w:val="22"/>
        </w:rPr>
        <w:t xml:space="preserve"> </w:t>
      </w:r>
      <w:bookmarkEnd w:id="8"/>
      <w:r w:rsidRPr="0030358C">
        <w:rPr>
          <w:rFonts w:ascii="Arial" w:hAnsi="Arial" w:cs="Arial"/>
          <w:sz w:val="22"/>
          <w:szCs w:val="22"/>
        </w:rPr>
        <w:t xml:space="preserve">v důsledku svého destilačního rozmezí náleží do kategorie těžkých olejů určených k použití jako palivo, z něhož se při teplotě 250 °C vydestiluje s použitím metody podle určené technické normy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 xml:space="preserve"> méně než 65 % objemových včetně ztrát; pokud není možno provést destilaci podle této metody, produkt je pokládán za těžký topný olej,</w:t>
      </w:r>
    </w:p>
    <w:p w14:paraId="75E255D8" w14:textId="77777777" w:rsidR="00A77B3E" w:rsidRPr="0030358C" w:rsidRDefault="00000000">
      <w:pPr>
        <w:pStyle w:val="23"/>
        <w:rPr>
          <w:rFonts w:ascii="Arial" w:hAnsi="Arial" w:cs="Arial"/>
          <w:sz w:val="22"/>
          <w:szCs w:val="22"/>
        </w:rPr>
      </w:pPr>
      <w:r w:rsidRPr="0030358C">
        <w:rPr>
          <w:rFonts w:ascii="Arial" w:hAnsi="Arial" w:cs="Arial"/>
          <w:sz w:val="22"/>
          <w:szCs w:val="22"/>
        </w:rPr>
        <w:t>f)    oxidy dusíku (NO</w:t>
      </w:r>
      <w:r w:rsidRPr="0030358C">
        <w:rPr>
          <w:rFonts w:ascii="Arial" w:hAnsi="Arial" w:cs="Arial"/>
          <w:sz w:val="22"/>
          <w:szCs w:val="22"/>
          <w:vertAlign w:val="subscript"/>
        </w:rPr>
        <w:t>x</w:t>
      </w:r>
      <w:r w:rsidRPr="0030358C">
        <w:rPr>
          <w:rFonts w:ascii="Arial" w:hAnsi="Arial" w:cs="Arial"/>
          <w:sz w:val="22"/>
          <w:szCs w:val="22"/>
        </w:rPr>
        <w:t>) oxid dusnatý a oxid dusičitý vyjádřené jako oxid dusičitý.</w:t>
      </w:r>
    </w:p>
    <w:p w14:paraId="0704320A" w14:textId="77777777" w:rsidR="00A77B3E" w:rsidRPr="0030358C" w:rsidRDefault="00000000">
      <w:pPr>
        <w:pStyle w:val="7"/>
        <w:rPr>
          <w:rFonts w:ascii="Arial" w:hAnsi="Arial" w:cs="Arial"/>
          <w:sz w:val="22"/>
          <w:szCs w:val="22"/>
        </w:rPr>
      </w:pPr>
      <w:r w:rsidRPr="0030358C">
        <w:rPr>
          <w:rFonts w:ascii="Arial" w:hAnsi="Arial" w:cs="Arial"/>
          <w:sz w:val="22"/>
          <w:szCs w:val="22"/>
        </w:rPr>
        <w:t>ČÁST DRUHÁ</w:t>
      </w:r>
    </w:p>
    <w:p w14:paraId="470052C5" w14:textId="77777777" w:rsidR="00A77B3E" w:rsidRPr="0030358C" w:rsidRDefault="00000000">
      <w:pPr>
        <w:pStyle w:val="8"/>
        <w:rPr>
          <w:rFonts w:ascii="Arial" w:hAnsi="Arial" w:cs="Arial"/>
          <w:sz w:val="22"/>
          <w:szCs w:val="22"/>
        </w:rPr>
      </w:pPr>
      <w:r w:rsidRPr="0030358C">
        <w:rPr>
          <w:rFonts w:ascii="Arial" w:hAnsi="Arial" w:cs="Arial"/>
          <w:sz w:val="22"/>
          <w:szCs w:val="22"/>
        </w:rPr>
        <w:t>ZJIŠŤOVÁNÍ ÚROVNĚ ZNEČIŠŤOVÁNÍ A VYHODNOCENÍ PLNĚNÍ EMISNÍCH LIMITŮ</w:t>
      </w:r>
    </w:p>
    <w:p w14:paraId="72741EB0" w14:textId="77777777" w:rsidR="00A77B3E" w:rsidRPr="0030358C" w:rsidRDefault="00000000">
      <w:pPr>
        <w:pStyle w:val="9"/>
        <w:rPr>
          <w:rFonts w:ascii="Arial" w:hAnsi="Arial" w:cs="Arial"/>
          <w:sz w:val="22"/>
          <w:szCs w:val="22"/>
        </w:rPr>
      </w:pPr>
      <w:r w:rsidRPr="0030358C">
        <w:rPr>
          <w:rFonts w:ascii="Arial" w:hAnsi="Arial" w:cs="Arial"/>
          <w:sz w:val="22"/>
          <w:szCs w:val="22"/>
        </w:rPr>
        <w:t>§ 3</w:t>
      </w:r>
    </w:p>
    <w:p w14:paraId="6BCA3EF2" w14:textId="77777777" w:rsidR="00A77B3E" w:rsidRPr="0030358C" w:rsidRDefault="00000000">
      <w:pPr>
        <w:pStyle w:val="10"/>
        <w:rPr>
          <w:rFonts w:ascii="Arial" w:hAnsi="Arial" w:cs="Arial"/>
          <w:sz w:val="22"/>
          <w:szCs w:val="22"/>
        </w:rPr>
      </w:pPr>
      <w:r w:rsidRPr="0030358C">
        <w:rPr>
          <w:rFonts w:ascii="Arial" w:hAnsi="Arial" w:cs="Arial"/>
          <w:sz w:val="22"/>
          <w:szCs w:val="22"/>
        </w:rPr>
        <w:lastRenderedPageBreak/>
        <w:t>Intervaly jednorázového měření</w:t>
      </w:r>
    </w:p>
    <w:p w14:paraId="48DDB13D"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6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0744FA" w:rsidRPr="0030358C">
        <w:rPr>
          <w:rFonts w:ascii="Arial" w:hAnsi="Arial" w:cs="Arial"/>
          <w:sz w:val="22"/>
          <w:szCs w:val="22"/>
          <w:highlight w:val="yellow"/>
        </w:rPr>
        <w:t>10</w:t>
      </w:r>
      <w:r w:rsidR="000744FA"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7BE55D94" w14:textId="77777777" w:rsidR="00A77B3E" w:rsidRPr="0030358C" w:rsidRDefault="00000000">
      <w:pPr>
        <w:pStyle w:val="11"/>
        <w:rPr>
          <w:rFonts w:ascii="Arial" w:hAnsi="Arial" w:cs="Arial"/>
          <w:sz w:val="22"/>
          <w:szCs w:val="22"/>
        </w:rPr>
      </w:pPr>
      <w:r w:rsidRPr="0030358C">
        <w:rPr>
          <w:rFonts w:ascii="Arial" w:hAnsi="Arial" w:cs="Arial"/>
          <w:sz w:val="22"/>
          <w:szCs w:val="22"/>
        </w:rPr>
        <w:t>(1)    Jednorázové měření emisí se provádí nejpozději do 4 měsíců po</w:t>
      </w:r>
    </w:p>
    <w:p w14:paraId="2943F09A" w14:textId="77777777" w:rsidR="00A77B3E" w:rsidRPr="0030358C" w:rsidRDefault="00000000">
      <w:pPr>
        <w:pStyle w:val="12"/>
        <w:rPr>
          <w:rFonts w:ascii="Arial" w:hAnsi="Arial" w:cs="Arial"/>
          <w:sz w:val="22"/>
          <w:szCs w:val="22"/>
        </w:rPr>
      </w:pPr>
      <w:r w:rsidRPr="0030358C">
        <w:rPr>
          <w:rFonts w:ascii="Arial" w:hAnsi="Arial" w:cs="Arial"/>
          <w:sz w:val="22"/>
          <w:szCs w:val="22"/>
        </w:rPr>
        <w:t>a)    prvním uvedení stacionárního zdroje do provozu,</w:t>
      </w:r>
    </w:p>
    <w:p w14:paraId="2E7204E9" w14:textId="77777777" w:rsidR="00A77B3E" w:rsidRPr="0030358C" w:rsidRDefault="00000000">
      <w:pPr>
        <w:pStyle w:val="13"/>
        <w:rPr>
          <w:rFonts w:ascii="Arial" w:hAnsi="Arial" w:cs="Arial"/>
          <w:sz w:val="22"/>
          <w:szCs w:val="22"/>
        </w:rPr>
      </w:pPr>
      <w:r w:rsidRPr="0030358C">
        <w:rPr>
          <w:rFonts w:ascii="Arial" w:hAnsi="Arial" w:cs="Arial"/>
          <w:sz w:val="22"/>
          <w:szCs w:val="22"/>
        </w:rPr>
        <w:t>b)    každé změně paliva, suroviny nebo tepelně zpracovávaného odpadu v povolení provozu, nebo</w:t>
      </w:r>
    </w:p>
    <w:p w14:paraId="673324A0" w14:textId="77777777" w:rsidR="00A77B3E" w:rsidRPr="0030358C" w:rsidRDefault="00000000">
      <w:pPr>
        <w:pStyle w:val="14"/>
        <w:rPr>
          <w:rFonts w:ascii="Arial" w:hAnsi="Arial" w:cs="Arial"/>
          <w:sz w:val="22"/>
          <w:szCs w:val="22"/>
        </w:rPr>
      </w:pPr>
      <w:r w:rsidRPr="0030358C">
        <w:rPr>
          <w:rFonts w:ascii="Arial" w:hAnsi="Arial" w:cs="Arial"/>
          <w:sz w:val="22"/>
          <w:szCs w:val="22"/>
        </w:rPr>
        <w:t>c)    každém zásahu do konstrukce nebo vybavení stacionárního zdroje, který by mohl vést ke změně emisí.</w:t>
      </w:r>
    </w:p>
    <w:p w14:paraId="301100FE"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(2)    V případě tepelného zpracování odpadu činí lhůta podle </w:t>
      </w:r>
      <w:hyperlink w:history="1">
        <w:r w:rsidR="00A77B3E" w:rsidRPr="0030358C">
          <w:rPr>
            <w:rFonts w:ascii="Arial" w:hAnsi="Arial" w:cs="Arial"/>
            <w:sz w:val="22"/>
            <w:szCs w:val="22"/>
          </w:rPr>
          <w:t>odstavce 1</w:t>
        </w:r>
      </w:hyperlink>
      <w:r w:rsidRPr="0030358C">
        <w:rPr>
          <w:rFonts w:ascii="Arial" w:hAnsi="Arial" w:cs="Arial"/>
          <w:sz w:val="22"/>
          <w:szCs w:val="22"/>
        </w:rPr>
        <w:t xml:space="preserve"> pouze 3 měsíce.</w:t>
      </w:r>
    </w:p>
    <w:p w14:paraId="175FD536"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(3)    Kromě měření podle </w:t>
      </w:r>
      <w:hyperlink w:history="1">
        <w:r w:rsidR="00A77B3E" w:rsidRPr="0030358C">
          <w:rPr>
            <w:rFonts w:ascii="Arial" w:hAnsi="Arial" w:cs="Arial"/>
            <w:sz w:val="22"/>
            <w:szCs w:val="22"/>
          </w:rPr>
          <w:t>odstavců 1</w:t>
        </w:r>
      </w:hyperlink>
      <w:r w:rsidRPr="0030358C">
        <w:rPr>
          <w:rFonts w:ascii="Arial" w:hAnsi="Arial" w:cs="Arial"/>
          <w:sz w:val="22"/>
          <w:szCs w:val="22"/>
        </w:rPr>
        <w:t xml:space="preserve"> a </w:t>
      </w:r>
      <w:hyperlink w:history="1">
        <w:r w:rsidR="00A77B3E" w:rsidRPr="0030358C">
          <w:rPr>
            <w:rFonts w:ascii="Arial" w:hAnsi="Arial" w:cs="Arial"/>
            <w:sz w:val="22"/>
            <w:szCs w:val="22"/>
          </w:rPr>
          <w:t>2</w:t>
        </w:r>
      </w:hyperlink>
      <w:r w:rsidRPr="0030358C">
        <w:rPr>
          <w:rFonts w:ascii="Arial" w:hAnsi="Arial" w:cs="Arial"/>
          <w:sz w:val="22"/>
          <w:szCs w:val="22"/>
        </w:rPr>
        <w:t xml:space="preserve"> se dále provádí jednorázové měření emisí v následujících intervalech:</w:t>
      </w:r>
    </w:p>
    <w:p w14:paraId="5283304A" w14:textId="77777777" w:rsidR="00A77B3E" w:rsidRPr="0030358C" w:rsidRDefault="00000000">
      <w:pPr>
        <w:pStyle w:val="12"/>
        <w:rPr>
          <w:rFonts w:ascii="Arial" w:hAnsi="Arial" w:cs="Arial"/>
          <w:sz w:val="22"/>
          <w:szCs w:val="22"/>
        </w:rPr>
      </w:pPr>
      <w:r w:rsidRPr="0030358C">
        <w:rPr>
          <w:rFonts w:ascii="Arial" w:hAnsi="Arial" w:cs="Arial"/>
          <w:sz w:val="22"/>
          <w:szCs w:val="22"/>
        </w:rPr>
        <w:t xml:space="preserve">a)    jedenkrát za kalendářní rok u stacionárních zdrojů neuvedených v </w:t>
      </w:r>
      <w:hyperlink w:history="1">
        <w:r w:rsidR="00A77B3E" w:rsidRPr="0030358C">
          <w:rPr>
            <w:rFonts w:ascii="Arial" w:hAnsi="Arial" w:cs="Arial"/>
            <w:sz w:val="22"/>
            <w:szCs w:val="22"/>
          </w:rPr>
          <w:t>písmenech b)</w:t>
        </w:r>
      </w:hyperlink>
      <w:r w:rsidRPr="0030358C">
        <w:rPr>
          <w:rFonts w:ascii="Arial" w:hAnsi="Arial" w:cs="Arial"/>
          <w:sz w:val="22"/>
          <w:szCs w:val="22"/>
        </w:rPr>
        <w:t xml:space="preserve"> a </w:t>
      </w:r>
      <w:hyperlink w:history="1">
        <w:r w:rsidR="00A77B3E" w:rsidRPr="0030358C">
          <w:rPr>
            <w:rFonts w:ascii="Arial" w:hAnsi="Arial" w:cs="Arial"/>
            <w:sz w:val="22"/>
            <w:szCs w:val="22"/>
          </w:rPr>
          <w:t>c)</w:t>
        </w:r>
      </w:hyperlink>
      <w:r w:rsidRPr="0030358C">
        <w:rPr>
          <w:rFonts w:ascii="Arial" w:hAnsi="Arial" w:cs="Arial"/>
          <w:sz w:val="22"/>
          <w:szCs w:val="22"/>
        </w:rPr>
        <w:t>,</w:t>
      </w:r>
    </w:p>
    <w:p w14:paraId="0DE05F27" w14:textId="77777777" w:rsidR="00A77B3E" w:rsidRPr="0030358C" w:rsidRDefault="00000000">
      <w:pPr>
        <w:pStyle w:val="14"/>
        <w:rPr>
          <w:rFonts w:ascii="Arial" w:hAnsi="Arial" w:cs="Arial"/>
          <w:sz w:val="22"/>
          <w:szCs w:val="22"/>
        </w:rPr>
      </w:pPr>
      <w:r w:rsidRPr="0030358C">
        <w:rPr>
          <w:rFonts w:ascii="Arial" w:hAnsi="Arial" w:cs="Arial"/>
          <w:sz w:val="22"/>
          <w:szCs w:val="22"/>
        </w:rPr>
        <w:t>b)    jedenkrát za 3 kalendářní roky</w:t>
      </w:r>
    </w:p>
    <w:p w14:paraId="73AF0D98" w14:textId="77777777" w:rsidR="00A77B3E" w:rsidRPr="00634A3E" w:rsidRDefault="00000000">
      <w:pPr>
        <w:pStyle w:val="26"/>
        <w:rPr>
          <w:rFonts w:ascii="Arial" w:hAnsi="Arial" w:cs="Arial"/>
          <w:strike/>
          <w:szCs w:val="22"/>
        </w:rPr>
      </w:pPr>
      <w:r w:rsidRPr="00634A3E">
        <w:rPr>
          <w:rFonts w:ascii="Arial" w:hAnsi="Arial" w:cs="Arial"/>
          <w:strike/>
          <w:szCs w:val="22"/>
        </w:rPr>
        <w:t xml:space="preserve">1.    u spalovacích stacionárních zdrojů podle </w:t>
      </w:r>
      <w:hyperlink w:history="1">
        <w:r w:rsidR="00A77B3E" w:rsidRPr="00634A3E">
          <w:rPr>
            <w:rFonts w:ascii="Arial" w:hAnsi="Arial" w:cs="Arial"/>
            <w:strike/>
            <w:szCs w:val="22"/>
          </w:rPr>
          <w:t>§ 13</w:t>
        </w:r>
      </w:hyperlink>
      <w:r w:rsidRPr="00634A3E">
        <w:rPr>
          <w:rFonts w:ascii="Arial" w:hAnsi="Arial" w:cs="Arial"/>
          <w:strike/>
          <w:szCs w:val="22"/>
        </w:rPr>
        <w:t xml:space="preserve"> o celkovém jmenovitém tepelném příkonu od 1 MW do 5 MW spalujících plynná nebo kapalná paliva a u spalovacích stacionárních zdrojů podle </w:t>
      </w:r>
      <w:hyperlink w:history="1">
        <w:r w:rsidR="00A77B3E" w:rsidRPr="00634A3E">
          <w:rPr>
            <w:rFonts w:ascii="Arial" w:hAnsi="Arial" w:cs="Arial"/>
            <w:strike/>
            <w:szCs w:val="22"/>
          </w:rPr>
          <w:t>§ 13</w:t>
        </w:r>
      </w:hyperlink>
      <w:r w:rsidRPr="00634A3E">
        <w:rPr>
          <w:rFonts w:ascii="Arial" w:hAnsi="Arial" w:cs="Arial"/>
          <w:strike/>
          <w:szCs w:val="22"/>
        </w:rPr>
        <w:t xml:space="preserve"> o celkovém jmenovitém tepelném příkonu od 0,3 MW do 1 MW spalujících pevná paliva,</w:t>
      </w:r>
    </w:p>
    <w:p w14:paraId="1DA9636D" w14:textId="77777777" w:rsidR="00A77B3E" w:rsidRPr="0030358C" w:rsidRDefault="00000000">
      <w:pPr>
        <w:pStyle w:val="27"/>
        <w:rPr>
          <w:rFonts w:ascii="Arial" w:hAnsi="Arial" w:cs="Arial"/>
          <w:strike/>
          <w:szCs w:val="22"/>
        </w:rPr>
      </w:pPr>
      <w:r w:rsidRPr="0030358C">
        <w:rPr>
          <w:rFonts w:ascii="Arial" w:hAnsi="Arial" w:cs="Arial"/>
          <w:strike/>
          <w:szCs w:val="22"/>
        </w:rPr>
        <w:t xml:space="preserve">2.    u stacionárních zdrojů uvedených v </w:t>
      </w:r>
      <w:hyperlink w:history="1">
        <w:r w:rsidR="00A77B3E" w:rsidRPr="0030358C">
          <w:rPr>
            <w:rFonts w:ascii="Arial" w:hAnsi="Arial" w:cs="Arial"/>
            <w:strike/>
            <w:szCs w:val="22"/>
          </w:rPr>
          <w:t>příloze č. 5</w:t>
        </w:r>
      </w:hyperlink>
      <w:r w:rsidRPr="0030358C">
        <w:rPr>
          <w:rFonts w:ascii="Arial" w:hAnsi="Arial" w:cs="Arial"/>
          <w:strike/>
          <w:szCs w:val="22"/>
        </w:rPr>
        <w:t xml:space="preserve"> v </w:t>
      </w:r>
      <w:hyperlink w:history="1">
        <w:r w:rsidR="00A77B3E" w:rsidRPr="0030358C">
          <w:rPr>
            <w:rFonts w:ascii="Arial" w:hAnsi="Arial" w:cs="Arial"/>
            <w:strike/>
            <w:szCs w:val="22"/>
          </w:rPr>
          <w:t>části II bodech 1.1.</w:t>
        </w:r>
      </w:hyperlink>
      <w:r w:rsidRPr="0030358C">
        <w:rPr>
          <w:rFonts w:ascii="Arial" w:hAnsi="Arial" w:cs="Arial"/>
          <w:strike/>
          <w:szCs w:val="22"/>
        </w:rPr>
        <w:t xml:space="preserve">, </w:t>
      </w:r>
      <w:hyperlink w:history="1">
        <w:r w:rsidR="00A77B3E" w:rsidRPr="0030358C">
          <w:rPr>
            <w:rFonts w:ascii="Arial" w:hAnsi="Arial" w:cs="Arial"/>
            <w:strike/>
            <w:szCs w:val="22"/>
          </w:rPr>
          <w:t>1.2.</w:t>
        </w:r>
      </w:hyperlink>
      <w:r w:rsidRPr="0030358C">
        <w:rPr>
          <w:rFonts w:ascii="Arial" w:hAnsi="Arial" w:cs="Arial"/>
          <w:strike/>
          <w:szCs w:val="22"/>
        </w:rPr>
        <w:t xml:space="preserve">, </w:t>
      </w:r>
      <w:hyperlink w:history="1">
        <w:r w:rsidR="00A77B3E" w:rsidRPr="0030358C">
          <w:rPr>
            <w:rFonts w:ascii="Arial" w:hAnsi="Arial" w:cs="Arial"/>
            <w:strike/>
            <w:szCs w:val="22"/>
          </w:rPr>
          <w:t>1.3.</w:t>
        </w:r>
      </w:hyperlink>
      <w:r w:rsidRPr="0030358C">
        <w:rPr>
          <w:rFonts w:ascii="Arial" w:hAnsi="Arial" w:cs="Arial"/>
          <w:strike/>
          <w:szCs w:val="22"/>
        </w:rPr>
        <w:t xml:space="preserve"> a </w:t>
      </w:r>
      <w:hyperlink w:history="1">
        <w:r w:rsidR="00A77B3E" w:rsidRPr="0030358C">
          <w:rPr>
            <w:rFonts w:ascii="Arial" w:hAnsi="Arial" w:cs="Arial"/>
            <w:strike/>
            <w:szCs w:val="22"/>
          </w:rPr>
          <w:t>1.4.</w:t>
        </w:r>
      </w:hyperlink>
      <w:r w:rsidRPr="0030358C">
        <w:rPr>
          <w:rFonts w:ascii="Arial" w:hAnsi="Arial" w:cs="Arial"/>
          <w:strike/>
          <w:szCs w:val="22"/>
        </w:rPr>
        <w:t xml:space="preserve"> s projektovanou spotřebou organických rozpouštědel v rozmezí 0,6–15 t/rok,</w:t>
      </w:r>
    </w:p>
    <w:p w14:paraId="065812F6" w14:textId="77777777" w:rsidR="00A77B3E" w:rsidRPr="0030358C" w:rsidRDefault="00000000">
      <w:pPr>
        <w:pStyle w:val="27"/>
        <w:rPr>
          <w:rFonts w:ascii="Arial" w:hAnsi="Arial" w:cs="Arial"/>
          <w:strike/>
          <w:szCs w:val="22"/>
        </w:rPr>
      </w:pPr>
      <w:r w:rsidRPr="0030358C">
        <w:rPr>
          <w:rFonts w:ascii="Arial" w:hAnsi="Arial" w:cs="Arial"/>
          <w:strike/>
          <w:szCs w:val="22"/>
        </w:rPr>
        <w:t xml:space="preserve">3.    u stacionárních zdrojů uvedených v </w:t>
      </w:r>
      <w:hyperlink w:history="1">
        <w:r w:rsidR="00A77B3E" w:rsidRPr="0030358C">
          <w:rPr>
            <w:rFonts w:ascii="Arial" w:hAnsi="Arial" w:cs="Arial"/>
            <w:strike/>
            <w:szCs w:val="22"/>
          </w:rPr>
          <w:t>příloze č. 5</w:t>
        </w:r>
      </w:hyperlink>
      <w:r w:rsidRPr="0030358C">
        <w:rPr>
          <w:rFonts w:ascii="Arial" w:hAnsi="Arial" w:cs="Arial"/>
          <w:strike/>
          <w:szCs w:val="22"/>
        </w:rPr>
        <w:t xml:space="preserve"> v </w:t>
      </w:r>
      <w:hyperlink w:history="1">
        <w:r w:rsidR="00A77B3E" w:rsidRPr="0030358C">
          <w:rPr>
            <w:rFonts w:ascii="Arial" w:hAnsi="Arial" w:cs="Arial"/>
            <w:strike/>
            <w:szCs w:val="22"/>
          </w:rPr>
          <w:t>části II bodech 4.1.</w:t>
        </w:r>
      </w:hyperlink>
      <w:r w:rsidRPr="0030358C">
        <w:rPr>
          <w:rFonts w:ascii="Arial" w:hAnsi="Arial" w:cs="Arial"/>
          <w:strike/>
          <w:szCs w:val="22"/>
        </w:rPr>
        <w:t xml:space="preserve">, </w:t>
      </w:r>
      <w:hyperlink w:history="1">
        <w:r w:rsidR="00A77B3E" w:rsidRPr="0030358C">
          <w:rPr>
            <w:rFonts w:ascii="Arial" w:hAnsi="Arial" w:cs="Arial"/>
            <w:strike/>
            <w:szCs w:val="22"/>
          </w:rPr>
          <w:t>4.2.</w:t>
        </w:r>
      </w:hyperlink>
      <w:r w:rsidRPr="0030358C">
        <w:rPr>
          <w:rFonts w:ascii="Arial" w:hAnsi="Arial" w:cs="Arial"/>
          <w:strike/>
          <w:szCs w:val="22"/>
        </w:rPr>
        <w:t xml:space="preserve"> a </w:t>
      </w:r>
      <w:hyperlink w:history="1">
        <w:r w:rsidR="00A77B3E" w:rsidRPr="0030358C">
          <w:rPr>
            <w:rFonts w:ascii="Arial" w:hAnsi="Arial" w:cs="Arial"/>
            <w:strike/>
            <w:szCs w:val="22"/>
          </w:rPr>
          <w:t>7.</w:t>
        </w:r>
      </w:hyperlink>
      <w:r w:rsidRPr="0030358C">
        <w:rPr>
          <w:rFonts w:ascii="Arial" w:hAnsi="Arial" w:cs="Arial"/>
          <w:strike/>
          <w:szCs w:val="22"/>
        </w:rPr>
        <w:t xml:space="preserve"> s projektovanou spotřebou organických rozpouštědel v rozmezí 0,6–5 t/rok,</w:t>
      </w:r>
    </w:p>
    <w:p w14:paraId="7BDC09FB" w14:textId="77777777" w:rsidR="00A77B3E" w:rsidRDefault="00000000">
      <w:pPr>
        <w:pStyle w:val="27"/>
        <w:rPr>
          <w:rFonts w:ascii="Arial" w:hAnsi="Arial" w:cs="Arial"/>
          <w:strike/>
          <w:szCs w:val="22"/>
        </w:rPr>
      </w:pPr>
      <w:r w:rsidRPr="0030358C">
        <w:rPr>
          <w:rFonts w:ascii="Arial" w:hAnsi="Arial" w:cs="Arial"/>
          <w:strike/>
          <w:szCs w:val="22"/>
        </w:rPr>
        <w:t xml:space="preserve">4.    u stacionárních zdrojů uvedených v </w:t>
      </w:r>
      <w:hyperlink w:history="1">
        <w:r w:rsidR="00A77B3E" w:rsidRPr="0030358C">
          <w:rPr>
            <w:rFonts w:ascii="Arial" w:hAnsi="Arial" w:cs="Arial"/>
            <w:strike/>
            <w:szCs w:val="22"/>
          </w:rPr>
          <w:t>příloze č. 5</w:t>
        </w:r>
      </w:hyperlink>
      <w:r w:rsidRPr="0030358C">
        <w:rPr>
          <w:rFonts w:ascii="Arial" w:hAnsi="Arial" w:cs="Arial"/>
          <w:strike/>
          <w:szCs w:val="22"/>
        </w:rPr>
        <w:t xml:space="preserve"> v </w:t>
      </w:r>
      <w:hyperlink w:history="1">
        <w:r w:rsidR="00A77B3E" w:rsidRPr="0030358C">
          <w:rPr>
            <w:rFonts w:ascii="Arial" w:hAnsi="Arial" w:cs="Arial"/>
            <w:strike/>
            <w:szCs w:val="22"/>
          </w:rPr>
          <w:t>části II bodu 4.3.</w:t>
        </w:r>
      </w:hyperlink>
      <w:r w:rsidRPr="0030358C">
        <w:rPr>
          <w:rFonts w:ascii="Arial" w:hAnsi="Arial" w:cs="Arial"/>
          <w:strike/>
          <w:szCs w:val="22"/>
        </w:rPr>
        <w:t xml:space="preserve"> s projektovanou spotřebou organických rozpouštědel v rozmezí 0,5–2 t/rok, </w:t>
      </w:r>
      <w:hyperlink w:history="1">
        <w:r w:rsidR="00A77B3E" w:rsidRPr="0030358C">
          <w:rPr>
            <w:rFonts w:ascii="Arial" w:hAnsi="Arial" w:cs="Arial"/>
            <w:strike/>
            <w:szCs w:val="22"/>
          </w:rPr>
          <w:t>bodu 9.</w:t>
        </w:r>
      </w:hyperlink>
      <w:r w:rsidRPr="0030358C">
        <w:rPr>
          <w:rFonts w:ascii="Arial" w:hAnsi="Arial" w:cs="Arial"/>
          <w:strike/>
          <w:szCs w:val="22"/>
        </w:rPr>
        <w:t xml:space="preserve"> s projektovanou spotřebou organických rozpouštědel v rozmezí 0,6–20 t/rok a </w:t>
      </w:r>
      <w:hyperlink w:history="1">
        <w:r w:rsidR="00A77B3E" w:rsidRPr="0030358C">
          <w:rPr>
            <w:rFonts w:ascii="Arial" w:hAnsi="Arial" w:cs="Arial"/>
            <w:strike/>
            <w:szCs w:val="22"/>
          </w:rPr>
          <w:t>bodu 4.4.</w:t>
        </w:r>
      </w:hyperlink>
      <w:r w:rsidRPr="0030358C">
        <w:rPr>
          <w:rFonts w:ascii="Arial" w:hAnsi="Arial" w:cs="Arial"/>
          <w:strike/>
          <w:szCs w:val="22"/>
        </w:rPr>
        <w:t>,</w:t>
      </w:r>
    </w:p>
    <w:p w14:paraId="4377DF3D" w14:textId="77777777" w:rsidR="00634A3E" w:rsidRPr="00634A3E" w:rsidRDefault="00000000" w:rsidP="00634A3E">
      <w:pPr>
        <w:pStyle w:val="26"/>
        <w:rPr>
          <w:rFonts w:ascii="Arial" w:hAnsi="Arial" w:cs="Arial"/>
          <w:b/>
          <w:bCs/>
          <w:szCs w:val="22"/>
        </w:rPr>
      </w:pPr>
      <w:bookmarkStart w:id="9" w:name="_Hlk192148096"/>
      <w:r w:rsidRPr="00634A3E">
        <w:rPr>
          <w:rFonts w:ascii="Arial" w:hAnsi="Arial" w:cs="Arial"/>
          <w:b/>
          <w:bCs/>
          <w:szCs w:val="22"/>
        </w:rPr>
        <w:t xml:space="preserve">1.    u spalovacích stacionárních zdrojů podle </w:t>
      </w:r>
      <w:hyperlink w:history="1">
        <w:r w:rsidR="00634A3E" w:rsidRPr="00634A3E">
          <w:rPr>
            <w:rFonts w:ascii="Arial" w:hAnsi="Arial" w:cs="Arial"/>
            <w:b/>
            <w:bCs/>
            <w:szCs w:val="22"/>
          </w:rPr>
          <w:t>§ 13</w:t>
        </w:r>
      </w:hyperlink>
      <w:r w:rsidRPr="00634A3E">
        <w:rPr>
          <w:rFonts w:ascii="Arial" w:hAnsi="Arial" w:cs="Arial"/>
          <w:b/>
          <w:bCs/>
          <w:szCs w:val="22"/>
        </w:rPr>
        <w:t xml:space="preserve"> o celkovém jmenovitém tepelném příkonu od 1 MW do 5 MW včetně spalujících plynná nebo kapalná paliva a u spalovacích stacionárních zdrojů podle </w:t>
      </w:r>
      <w:hyperlink w:history="1">
        <w:r w:rsidR="00634A3E" w:rsidRPr="00634A3E">
          <w:rPr>
            <w:rFonts w:ascii="Arial" w:hAnsi="Arial" w:cs="Arial"/>
            <w:b/>
            <w:bCs/>
            <w:szCs w:val="22"/>
          </w:rPr>
          <w:t>§ 13</w:t>
        </w:r>
      </w:hyperlink>
      <w:r w:rsidRPr="00634A3E">
        <w:rPr>
          <w:rFonts w:ascii="Arial" w:hAnsi="Arial" w:cs="Arial"/>
          <w:b/>
          <w:bCs/>
          <w:szCs w:val="22"/>
        </w:rPr>
        <w:t xml:space="preserve"> o celkovém jmenovitém tepelném příkonu od 0,3 MW do 1 MW spalujících pevná paliva,</w:t>
      </w:r>
    </w:p>
    <w:p w14:paraId="68BC0724" w14:textId="77777777" w:rsidR="002B0336" w:rsidRPr="0030358C" w:rsidRDefault="00000000" w:rsidP="002B0336">
      <w:pPr>
        <w:pStyle w:val="27"/>
        <w:rPr>
          <w:rFonts w:ascii="Arial" w:hAnsi="Arial" w:cs="Arial"/>
          <w:b/>
          <w:bCs/>
          <w:szCs w:val="22"/>
        </w:rPr>
      </w:pPr>
      <w:bookmarkStart w:id="10" w:name="_Hlk190954811"/>
      <w:bookmarkEnd w:id="9"/>
      <w:r w:rsidRPr="0030358C">
        <w:rPr>
          <w:rFonts w:ascii="Arial" w:hAnsi="Arial" w:cs="Arial"/>
          <w:b/>
          <w:bCs/>
          <w:szCs w:val="22"/>
        </w:rPr>
        <w:t xml:space="preserve">2.    u stacionárních zdrojů uvedených v </w:t>
      </w:r>
      <w:hyperlink w:history="1">
        <w:r w:rsidR="002B0336" w:rsidRPr="0030358C">
          <w:rPr>
            <w:rFonts w:ascii="Arial" w:hAnsi="Arial" w:cs="Arial"/>
            <w:b/>
            <w:bCs/>
            <w:szCs w:val="22"/>
          </w:rPr>
          <w:t>příloze č. 5</w:t>
        </w:r>
      </w:hyperlink>
      <w:r w:rsidRPr="0030358C">
        <w:rPr>
          <w:rFonts w:ascii="Arial" w:hAnsi="Arial" w:cs="Arial"/>
          <w:b/>
          <w:bCs/>
          <w:szCs w:val="22"/>
        </w:rPr>
        <w:t xml:space="preserve"> v </w:t>
      </w:r>
      <w:hyperlink w:history="1">
        <w:r w:rsidR="002B0336" w:rsidRPr="0030358C">
          <w:rPr>
            <w:rFonts w:ascii="Arial" w:hAnsi="Arial" w:cs="Arial"/>
            <w:b/>
            <w:bCs/>
            <w:szCs w:val="22"/>
          </w:rPr>
          <w:t>části II bodech 1.1.</w:t>
        </w:r>
      </w:hyperlink>
      <w:r w:rsidRPr="0030358C">
        <w:rPr>
          <w:rFonts w:ascii="Arial" w:hAnsi="Arial" w:cs="Arial"/>
          <w:b/>
          <w:bCs/>
          <w:szCs w:val="22"/>
        </w:rPr>
        <w:t xml:space="preserve">, </w:t>
      </w:r>
      <w:hyperlink w:history="1">
        <w:r w:rsidR="002B0336" w:rsidRPr="0030358C">
          <w:rPr>
            <w:rFonts w:ascii="Arial" w:hAnsi="Arial" w:cs="Arial"/>
            <w:b/>
            <w:bCs/>
            <w:szCs w:val="22"/>
          </w:rPr>
          <w:t>1.2.</w:t>
        </w:r>
      </w:hyperlink>
      <w:r w:rsidRPr="0030358C">
        <w:rPr>
          <w:rFonts w:ascii="Arial" w:hAnsi="Arial" w:cs="Arial"/>
          <w:b/>
          <w:bCs/>
          <w:szCs w:val="22"/>
        </w:rPr>
        <w:t xml:space="preserve">, </w:t>
      </w:r>
      <w:hyperlink w:history="1">
        <w:r w:rsidR="002B0336" w:rsidRPr="0030358C">
          <w:rPr>
            <w:rFonts w:ascii="Arial" w:hAnsi="Arial" w:cs="Arial"/>
            <w:b/>
            <w:bCs/>
            <w:szCs w:val="22"/>
          </w:rPr>
          <w:t>1.3.</w:t>
        </w:r>
      </w:hyperlink>
      <w:r w:rsidRPr="0030358C">
        <w:rPr>
          <w:rFonts w:ascii="Arial" w:hAnsi="Arial" w:cs="Arial"/>
          <w:b/>
          <w:bCs/>
          <w:szCs w:val="22"/>
        </w:rPr>
        <w:t xml:space="preserve"> a </w:t>
      </w:r>
      <w:hyperlink w:history="1">
        <w:r w:rsidR="002B0336" w:rsidRPr="0030358C">
          <w:rPr>
            <w:rFonts w:ascii="Arial" w:hAnsi="Arial" w:cs="Arial"/>
            <w:b/>
            <w:bCs/>
            <w:szCs w:val="22"/>
          </w:rPr>
          <w:t>1.4.</w:t>
        </w:r>
      </w:hyperlink>
      <w:r w:rsidRPr="0030358C">
        <w:rPr>
          <w:rFonts w:ascii="Arial" w:hAnsi="Arial" w:cs="Arial"/>
          <w:b/>
          <w:bCs/>
          <w:szCs w:val="22"/>
        </w:rPr>
        <w:t xml:space="preserve"> s projektovanou spotřebou organických rozpouštědel 0,6 t/rok a více a současně do 15 t/rok včetně,</w:t>
      </w:r>
    </w:p>
    <w:p w14:paraId="106AE412" w14:textId="77777777" w:rsidR="002B0336" w:rsidRPr="0030358C" w:rsidRDefault="00000000" w:rsidP="002B0336">
      <w:pPr>
        <w:pStyle w:val="27"/>
        <w:rPr>
          <w:rFonts w:ascii="Arial" w:hAnsi="Arial" w:cs="Arial"/>
          <w:b/>
          <w:bCs/>
          <w:szCs w:val="22"/>
        </w:rPr>
      </w:pPr>
      <w:r w:rsidRPr="0030358C">
        <w:rPr>
          <w:rFonts w:ascii="Arial" w:hAnsi="Arial" w:cs="Arial"/>
          <w:b/>
          <w:bCs/>
          <w:szCs w:val="22"/>
        </w:rPr>
        <w:t xml:space="preserve">3.    u stacionárních zdrojů uvedených v </w:t>
      </w:r>
      <w:hyperlink w:history="1">
        <w:r w:rsidR="002B0336" w:rsidRPr="0030358C">
          <w:rPr>
            <w:rFonts w:ascii="Arial" w:hAnsi="Arial" w:cs="Arial"/>
            <w:b/>
            <w:bCs/>
            <w:szCs w:val="22"/>
          </w:rPr>
          <w:t>příloze č. 5</w:t>
        </w:r>
      </w:hyperlink>
      <w:r w:rsidRPr="0030358C">
        <w:rPr>
          <w:rFonts w:ascii="Arial" w:hAnsi="Arial" w:cs="Arial"/>
          <w:b/>
          <w:bCs/>
          <w:szCs w:val="22"/>
        </w:rPr>
        <w:t xml:space="preserve"> v </w:t>
      </w:r>
      <w:hyperlink w:history="1">
        <w:r w:rsidR="002B0336" w:rsidRPr="0030358C">
          <w:rPr>
            <w:rFonts w:ascii="Arial" w:hAnsi="Arial" w:cs="Arial"/>
            <w:b/>
            <w:bCs/>
            <w:szCs w:val="22"/>
          </w:rPr>
          <w:t>části II bodech 4.1.</w:t>
        </w:r>
      </w:hyperlink>
      <w:r w:rsidRPr="0030358C">
        <w:rPr>
          <w:rFonts w:ascii="Arial" w:hAnsi="Arial" w:cs="Arial"/>
          <w:b/>
          <w:bCs/>
          <w:szCs w:val="22"/>
        </w:rPr>
        <w:t xml:space="preserve">, </w:t>
      </w:r>
      <w:hyperlink w:history="1">
        <w:r w:rsidR="002B0336" w:rsidRPr="0030358C">
          <w:rPr>
            <w:rFonts w:ascii="Arial" w:hAnsi="Arial" w:cs="Arial"/>
            <w:b/>
            <w:bCs/>
            <w:szCs w:val="22"/>
          </w:rPr>
          <w:t>4.2.</w:t>
        </w:r>
      </w:hyperlink>
      <w:r w:rsidRPr="0030358C">
        <w:rPr>
          <w:rFonts w:ascii="Arial" w:hAnsi="Arial" w:cs="Arial"/>
          <w:b/>
          <w:bCs/>
          <w:szCs w:val="22"/>
        </w:rPr>
        <w:t xml:space="preserve"> a </w:t>
      </w:r>
      <w:hyperlink w:history="1">
        <w:r w:rsidR="002B0336" w:rsidRPr="0030358C">
          <w:rPr>
            <w:rFonts w:ascii="Arial" w:hAnsi="Arial" w:cs="Arial"/>
            <w:b/>
            <w:bCs/>
            <w:szCs w:val="22"/>
          </w:rPr>
          <w:t>7.</w:t>
        </w:r>
      </w:hyperlink>
      <w:r w:rsidRPr="0030358C">
        <w:rPr>
          <w:rFonts w:ascii="Arial" w:hAnsi="Arial" w:cs="Arial"/>
          <w:b/>
          <w:bCs/>
          <w:szCs w:val="22"/>
        </w:rPr>
        <w:t xml:space="preserve"> s projektovanou spotřebou organických rozpouštědel 0,6 t/rok a více a současně do 5 t/rok včetně,</w:t>
      </w:r>
    </w:p>
    <w:p w14:paraId="6FBC40E8" w14:textId="77777777" w:rsidR="002B0336" w:rsidRPr="0030358C" w:rsidRDefault="00000000" w:rsidP="002B0336">
      <w:pPr>
        <w:pStyle w:val="27"/>
        <w:rPr>
          <w:rFonts w:ascii="Arial" w:hAnsi="Arial" w:cs="Arial"/>
          <w:b/>
          <w:bCs/>
          <w:szCs w:val="22"/>
        </w:rPr>
      </w:pPr>
      <w:r w:rsidRPr="0030358C">
        <w:rPr>
          <w:rFonts w:ascii="Arial" w:hAnsi="Arial" w:cs="Arial"/>
          <w:b/>
          <w:bCs/>
          <w:szCs w:val="22"/>
        </w:rPr>
        <w:t xml:space="preserve">4.    u stacionárních zdrojů uvedených v </w:t>
      </w:r>
      <w:hyperlink w:history="1">
        <w:r w:rsidR="002B0336" w:rsidRPr="0030358C">
          <w:rPr>
            <w:rFonts w:ascii="Arial" w:hAnsi="Arial" w:cs="Arial"/>
            <w:b/>
            <w:bCs/>
            <w:szCs w:val="22"/>
          </w:rPr>
          <w:t>příloze č. 5</w:t>
        </w:r>
      </w:hyperlink>
      <w:r w:rsidRPr="0030358C">
        <w:rPr>
          <w:rFonts w:ascii="Arial" w:hAnsi="Arial" w:cs="Arial"/>
          <w:b/>
          <w:bCs/>
          <w:szCs w:val="22"/>
        </w:rPr>
        <w:t xml:space="preserve"> v </w:t>
      </w:r>
      <w:hyperlink w:history="1">
        <w:r w:rsidR="002B0336" w:rsidRPr="0030358C">
          <w:rPr>
            <w:rFonts w:ascii="Arial" w:hAnsi="Arial" w:cs="Arial"/>
            <w:b/>
            <w:bCs/>
            <w:szCs w:val="22"/>
          </w:rPr>
          <w:t>části II bodu 4.3.</w:t>
        </w:r>
      </w:hyperlink>
      <w:r w:rsidRPr="0030358C">
        <w:rPr>
          <w:rFonts w:ascii="Arial" w:hAnsi="Arial" w:cs="Arial"/>
          <w:b/>
          <w:bCs/>
          <w:szCs w:val="22"/>
        </w:rPr>
        <w:t xml:space="preserve"> s projektovanou spotřebou organických rozpouštědel 0,5 t/rok a více a současně do 2 t/rok včetně, </w:t>
      </w:r>
      <w:hyperlink w:history="1">
        <w:r w:rsidR="002B0336" w:rsidRPr="0030358C">
          <w:rPr>
            <w:rFonts w:ascii="Arial" w:hAnsi="Arial" w:cs="Arial"/>
            <w:b/>
            <w:bCs/>
            <w:szCs w:val="22"/>
          </w:rPr>
          <w:t>bodu 9.</w:t>
        </w:r>
      </w:hyperlink>
      <w:r w:rsidRPr="0030358C">
        <w:rPr>
          <w:rFonts w:ascii="Arial" w:hAnsi="Arial" w:cs="Arial"/>
          <w:b/>
          <w:bCs/>
          <w:szCs w:val="22"/>
        </w:rPr>
        <w:t xml:space="preserve"> s projektovanou spotřebou organických rozpouštědel 0,6 t/rok a více a současně do 20 t/rok včetně a </w:t>
      </w:r>
      <w:hyperlink w:history="1">
        <w:r w:rsidR="002B0336" w:rsidRPr="0030358C">
          <w:rPr>
            <w:rFonts w:ascii="Arial" w:hAnsi="Arial" w:cs="Arial"/>
            <w:b/>
            <w:bCs/>
            <w:szCs w:val="22"/>
          </w:rPr>
          <w:t>bodu 4.4.</w:t>
        </w:r>
      </w:hyperlink>
      <w:r w:rsidRPr="0030358C">
        <w:rPr>
          <w:rFonts w:ascii="Arial" w:hAnsi="Arial" w:cs="Arial"/>
          <w:b/>
          <w:bCs/>
          <w:szCs w:val="22"/>
        </w:rPr>
        <w:t>,</w:t>
      </w:r>
    </w:p>
    <w:bookmarkEnd w:id="10"/>
    <w:p w14:paraId="2412F13B" w14:textId="77777777" w:rsidR="00A77B3E" w:rsidRPr="0030358C" w:rsidRDefault="00000000">
      <w:pPr>
        <w:pStyle w:val="27"/>
        <w:rPr>
          <w:rFonts w:ascii="Arial" w:hAnsi="Arial" w:cs="Arial"/>
          <w:szCs w:val="22"/>
        </w:rPr>
      </w:pPr>
      <w:r w:rsidRPr="0030358C">
        <w:rPr>
          <w:rFonts w:ascii="Arial" w:hAnsi="Arial" w:cs="Arial"/>
          <w:szCs w:val="22"/>
        </w:rPr>
        <w:t>5.    u stacionárních zdrojů uvedených v</w:t>
      </w:r>
      <w:bookmarkStart w:id="11" w:name="_Hlk181614872"/>
      <w:r w:rsidRPr="0030358C">
        <w:rPr>
          <w:rFonts w:ascii="Arial" w:hAnsi="Arial" w:cs="Arial"/>
          <w:szCs w:val="22"/>
        </w:rPr>
        <w:t xml:space="preserve"> </w:t>
      </w:r>
      <w:hyperlink w:history="1">
        <w:r w:rsidR="00A77B3E" w:rsidRPr="0030358C">
          <w:rPr>
            <w:rFonts w:ascii="Arial" w:hAnsi="Arial" w:cs="Arial"/>
            <w:szCs w:val="22"/>
          </w:rPr>
          <w:t>příloze č. 8</w:t>
        </w:r>
      </w:hyperlink>
      <w:r w:rsidRPr="0030358C">
        <w:rPr>
          <w:rFonts w:ascii="Arial" w:hAnsi="Arial" w:cs="Arial"/>
          <w:szCs w:val="22"/>
        </w:rPr>
        <w:t xml:space="preserve"> v </w:t>
      </w:r>
      <w:hyperlink w:history="1">
        <w:r w:rsidR="00A77B3E" w:rsidRPr="0030358C">
          <w:rPr>
            <w:rFonts w:ascii="Arial" w:hAnsi="Arial" w:cs="Arial"/>
            <w:szCs w:val="22"/>
          </w:rPr>
          <w:t>části II bodech 2.2.1.</w:t>
        </w:r>
      </w:hyperlink>
      <w:bookmarkEnd w:id="11"/>
      <w:r w:rsidRPr="0030358C">
        <w:rPr>
          <w:rFonts w:ascii="Arial" w:hAnsi="Arial" w:cs="Arial"/>
          <w:szCs w:val="22"/>
        </w:rPr>
        <w:t xml:space="preserve">, </w:t>
      </w:r>
      <w:hyperlink w:history="1">
        <w:r w:rsidR="00A77B3E" w:rsidRPr="0030358C">
          <w:rPr>
            <w:rFonts w:ascii="Arial" w:hAnsi="Arial" w:cs="Arial"/>
            <w:szCs w:val="22"/>
          </w:rPr>
          <w:t>3.8.1.</w:t>
        </w:r>
      </w:hyperlink>
      <w:r w:rsidRPr="0030358C">
        <w:rPr>
          <w:rFonts w:ascii="Arial" w:hAnsi="Arial" w:cs="Arial"/>
          <w:szCs w:val="22"/>
        </w:rPr>
        <w:t xml:space="preserve">, </w:t>
      </w:r>
      <w:hyperlink w:history="1">
        <w:r w:rsidR="00A77B3E" w:rsidRPr="0030358C">
          <w:rPr>
            <w:rFonts w:ascii="Arial" w:hAnsi="Arial" w:cs="Arial"/>
            <w:szCs w:val="22"/>
          </w:rPr>
          <w:t>4.1.1.</w:t>
        </w:r>
      </w:hyperlink>
      <w:bookmarkStart w:id="12" w:name="_Hlk180660265"/>
      <w:r w:rsidR="0078331B" w:rsidRPr="0030358C">
        <w:rPr>
          <w:rFonts w:ascii="Arial" w:hAnsi="Arial" w:cs="Arial"/>
          <w:szCs w:val="22"/>
        </w:rPr>
        <w:t xml:space="preserve"> </w:t>
      </w:r>
      <w:r w:rsidRPr="0030358C">
        <w:rPr>
          <w:rFonts w:ascii="Arial" w:hAnsi="Arial" w:cs="Arial"/>
          <w:strike/>
          <w:szCs w:val="22"/>
        </w:rPr>
        <w:t xml:space="preserve">, </w:t>
      </w:r>
      <w:hyperlink w:history="1">
        <w:r w:rsidR="00A77B3E" w:rsidRPr="0030358C">
          <w:rPr>
            <w:rFonts w:ascii="Arial" w:hAnsi="Arial" w:cs="Arial"/>
            <w:strike/>
            <w:szCs w:val="22"/>
          </w:rPr>
          <w:t>6.6.</w:t>
        </w:r>
      </w:hyperlink>
      <w:r w:rsidRPr="0030358C">
        <w:rPr>
          <w:rFonts w:ascii="Arial" w:hAnsi="Arial" w:cs="Arial"/>
          <w:strike/>
          <w:szCs w:val="22"/>
        </w:rPr>
        <w:t xml:space="preserve"> a </w:t>
      </w:r>
      <w:hyperlink w:history="1">
        <w:r w:rsidR="00A77B3E" w:rsidRPr="0030358C">
          <w:rPr>
            <w:rFonts w:ascii="Arial" w:hAnsi="Arial" w:cs="Arial"/>
            <w:strike/>
            <w:szCs w:val="22"/>
          </w:rPr>
          <w:t>6.13.</w:t>
        </w:r>
      </w:hyperlink>
      <w:r w:rsidR="0078331B" w:rsidRPr="0030358C">
        <w:rPr>
          <w:rFonts w:ascii="Arial" w:hAnsi="Arial" w:cs="Arial"/>
          <w:szCs w:val="22"/>
        </w:rPr>
        <w:t xml:space="preserve"> </w:t>
      </w:r>
      <w:r w:rsidR="0078331B" w:rsidRPr="0030358C">
        <w:rPr>
          <w:rFonts w:ascii="Arial" w:hAnsi="Arial" w:cs="Arial"/>
          <w:b/>
          <w:bCs/>
          <w:szCs w:val="22"/>
        </w:rPr>
        <w:t>a 6.6.</w:t>
      </w:r>
      <w:bookmarkEnd w:id="12"/>
      <w:r w:rsidRPr="0030358C">
        <w:rPr>
          <w:rFonts w:ascii="Arial" w:hAnsi="Arial" w:cs="Arial"/>
          <w:szCs w:val="22"/>
        </w:rPr>
        <w:t>,</w:t>
      </w:r>
    </w:p>
    <w:p w14:paraId="05BD1C1C" w14:textId="77777777" w:rsidR="00A77B3E" w:rsidRPr="0030358C" w:rsidRDefault="00000000">
      <w:pPr>
        <w:pStyle w:val="27"/>
        <w:rPr>
          <w:rFonts w:ascii="Arial" w:hAnsi="Arial" w:cs="Arial"/>
          <w:szCs w:val="22"/>
        </w:rPr>
      </w:pPr>
      <w:r w:rsidRPr="0030358C">
        <w:rPr>
          <w:rFonts w:ascii="Arial" w:hAnsi="Arial" w:cs="Arial"/>
          <w:szCs w:val="22"/>
        </w:rPr>
        <w:t xml:space="preserve">6.    u stacionárních zdrojů uvedených v </w:t>
      </w:r>
      <w:hyperlink w:history="1">
        <w:r w:rsidR="00A77B3E" w:rsidRPr="0030358C">
          <w:rPr>
            <w:rFonts w:ascii="Arial" w:hAnsi="Arial" w:cs="Arial"/>
            <w:szCs w:val="22"/>
          </w:rPr>
          <w:t>příloze č. 8</w:t>
        </w:r>
      </w:hyperlink>
      <w:r w:rsidRPr="0030358C">
        <w:rPr>
          <w:rFonts w:ascii="Arial" w:hAnsi="Arial" w:cs="Arial"/>
          <w:szCs w:val="22"/>
        </w:rPr>
        <w:t xml:space="preserve"> v </w:t>
      </w:r>
      <w:bookmarkStart w:id="13" w:name="_Hlk181615974"/>
      <w:r w:rsidR="00A77B3E">
        <w:fldChar w:fldCharType="begin"/>
      </w:r>
      <w:r w:rsidR="00A77B3E">
        <w:instrText>HYPERLINK</w:instrText>
      </w:r>
      <w:r w:rsidR="00A77B3E">
        <w:fldChar w:fldCharType="separate"/>
      </w:r>
      <w:r w:rsidR="00A77B3E" w:rsidRPr="0030358C">
        <w:rPr>
          <w:rFonts w:ascii="Arial" w:hAnsi="Arial" w:cs="Arial"/>
          <w:szCs w:val="22"/>
        </w:rPr>
        <w:t>části II bodech</w:t>
      </w:r>
      <w:bookmarkStart w:id="14" w:name="_Hlk181614936"/>
      <w:r w:rsidR="00A77B3E" w:rsidRPr="0030358C">
        <w:rPr>
          <w:rFonts w:ascii="Arial" w:hAnsi="Arial" w:cs="Arial"/>
          <w:szCs w:val="22"/>
        </w:rPr>
        <w:t xml:space="preserve"> </w:t>
      </w:r>
      <w:r w:rsidR="00A77B3E" w:rsidRPr="0030358C">
        <w:rPr>
          <w:rFonts w:ascii="Arial" w:hAnsi="Arial" w:cs="Arial"/>
          <w:strike/>
          <w:szCs w:val="22"/>
        </w:rPr>
        <w:t>3.5.1.</w:t>
      </w:r>
      <w:bookmarkEnd w:id="14"/>
      <w:r w:rsidR="00A77B3E">
        <w:fldChar w:fldCharType="end"/>
      </w:r>
      <w:r w:rsidRPr="0030358C">
        <w:rPr>
          <w:rFonts w:ascii="Arial" w:hAnsi="Arial" w:cs="Arial"/>
          <w:strike/>
          <w:szCs w:val="22"/>
        </w:rPr>
        <w:t>,</w:t>
      </w:r>
      <w:bookmarkEnd w:id="13"/>
      <w:r w:rsidRPr="0030358C">
        <w:rPr>
          <w:rFonts w:ascii="Arial" w:hAnsi="Arial" w:cs="Arial"/>
          <w:szCs w:val="22"/>
        </w:rPr>
        <w:t xml:space="preserve"> </w:t>
      </w:r>
      <w:hyperlink w:history="1">
        <w:r w:rsidR="00A77B3E" w:rsidRPr="0030358C">
          <w:rPr>
            <w:rFonts w:ascii="Arial" w:hAnsi="Arial" w:cs="Arial"/>
            <w:szCs w:val="22"/>
          </w:rPr>
          <w:t>3.7.1.</w:t>
        </w:r>
      </w:hyperlink>
      <w:r w:rsidRPr="0030358C">
        <w:rPr>
          <w:rFonts w:ascii="Arial" w:hAnsi="Arial" w:cs="Arial"/>
          <w:szCs w:val="22"/>
        </w:rPr>
        <w:t xml:space="preserve">, 3.8.3. a </w:t>
      </w:r>
      <w:hyperlink w:history="1">
        <w:r w:rsidR="00A77B3E" w:rsidRPr="0030358C">
          <w:rPr>
            <w:rFonts w:ascii="Arial" w:hAnsi="Arial" w:cs="Arial"/>
            <w:szCs w:val="22"/>
          </w:rPr>
          <w:t>5.2.1.</w:t>
        </w:r>
      </w:hyperlink>
      <w:r w:rsidRPr="0030358C">
        <w:rPr>
          <w:rFonts w:ascii="Arial" w:hAnsi="Arial" w:cs="Arial"/>
          <w:szCs w:val="22"/>
        </w:rPr>
        <w:t>, pokud je zdroj vybaven zařízením ke snižování emisí,</w:t>
      </w:r>
    </w:p>
    <w:p w14:paraId="42EC1013" w14:textId="77777777" w:rsidR="00A77B3E" w:rsidRPr="0030358C" w:rsidRDefault="00000000">
      <w:pPr>
        <w:pStyle w:val="27"/>
        <w:rPr>
          <w:rFonts w:ascii="Arial" w:hAnsi="Arial" w:cs="Arial"/>
          <w:szCs w:val="22"/>
        </w:rPr>
      </w:pPr>
      <w:r w:rsidRPr="0030358C">
        <w:rPr>
          <w:rFonts w:ascii="Arial" w:hAnsi="Arial" w:cs="Arial"/>
          <w:szCs w:val="22"/>
        </w:rPr>
        <w:lastRenderedPageBreak/>
        <w:t xml:space="preserve">7.    u stacionárních zdrojů uvedených v </w:t>
      </w:r>
      <w:hyperlink w:history="1">
        <w:r w:rsidR="00A77B3E" w:rsidRPr="0030358C">
          <w:rPr>
            <w:rFonts w:ascii="Arial" w:hAnsi="Arial" w:cs="Arial"/>
            <w:szCs w:val="22"/>
          </w:rPr>
          <w:t>příloze č. 8</w:t>
        </w:r>
      </w:hyperlink>
      <w:r w:rsidRPr="0030358C">
        <w:rPr>
          <w:rFonts w:ascii="Arial" w:hAnsi="Arial" w:cs="Arial"/>
          <w:szCs w:val="22"/>
        </w:rPr>
        <w:t xml:space="preserve"> v </w:t>
      </w:r>
      <w:hyperlink w:history="1">
        <w:r w:rsidR="00A77B3E" w:rsidRPr="0030358C">
          <w:rPr>
            <w:rFonts w:ascii="Arial" w:hAnsi="Arial" w:cs="Arial"/>
            <w:szCs w:val="22"/>
          </w:rPr>
          <w:t>části II bodu 3.4.2.</w:t>
        </w:r>
      </w:hyperlink>
      <w:r w:rsidRPr="0030358C">
        <w:rPr>
          <w:rFonts w:ascii="Arial" w:hAnsi="Arial" w:cs="Arial"/>
          <w:szCs w:val="22"/>
        </w:rPr>
        <w:t xml:space="preserve"> s projektovaným tepelným výkonem od 1 MW do 5 MW včetně a </w:t>
      </w:r>
      <w:hyperlink w:history="1">
        <w:r w:rsidR="00A77B3E" w:rsidRPr="0030358C">
          <w:rPr>
            <w:rFonts w:ascii="Arial" w:hAnsi="Arial" w:cs="Arial"/>
            <w:szCs w:val="22"/>
          </w:rPr>
          <w:t>bodu 3.5.2.</w:t>
        </w:r>
      </w:hyperlink>
      <w:r w:rsidRPr="0030358C">
        <w:rPr>
          <w:rFonts w:ascii="Arial" w:hAnsi="Arial" w:cs="Arial"/>
          <w:szCs w:val="22"/>
        </w:rPr>
        <w:t xml:space="preserve"> s projektovaným tepelným výkonem od 0,3 MW do 5 MW včetně,</w:t>
      </w:r>
    </w:p>
    <w:p w14:paraId="753181B0" w14:textId="77777777" w:rsidR="00A77B3E" w:rsidRPr="0030358C" w:rsidRDefault="00000000">
      <w:pPr>
        <w:pStyle w:val="27"/>
        <w:rPr>
          <w:rFonts w:ascii="Arial" w:hAnsi="Arial" w:cs="Arial"/>
          <w:szCs w:val="22"/>
        </w:rPr>
      </w:pPr>
      <w:r w:rsidRPr="0030358C">
        <w:rPr>
          <w:rFonts w:ascii="Arial" w:hAnsi="Arial" w:cs="Arial"/>
          <w:szCs w:val="22"/>
        </w:rPr>
        <w:t xml:space="preserve">8.    u stacionárních zdrojů uvedených v </w:t>
      </w:r>
      <w:hyperlink w:history="1">
        <w:r w:rsidR="00A77B3E" w:rsidRPr="0030358C">
          <w:rPr>
            <w:rFonts w:ascii="Arial" w:hAnsi="Arial" w:cs="Arial"/>
            <w:szCs w:val="22"/>
          </w:rPr>
          <w:t>příloze č. 8</w:t>
        </w:r>
      </w:hyperlink>
      <w:r w:rsidRPr="0030358C">
        <w:rPr>
          <w:rFonts w:ascii="Arial" w:hAnsi="Arial" w:cs="Arial"/>
          <w:szCs w:val="22"/>
        </w:rPr>
        <w:t xml:space="preserve"> v </w:t>
      </w:r>
      <w:hyperlink w:history="1">
        <w:r w:rsidR="00A77B3E" w:rsidRPr="0030358C">
          <w:rPr>
            <w:rFonts w:ascii="Arial" w:hAnsi="Arial" w:cs="Arial"/>
            <w:szCs w:val="22"/>
          </w:rPr>
          <w:t>části II</w:t>
        </w:r>
      </w:hyperlink>
      <w:r w:rsidRPr="0030358C">
        <w:rPr>
          <w:rFonts w:ascii="Arial" w:hAnsi="Arial" w:cs="Arial"/>
          <w:szCs w:val="22"/>
        </w:rPr>
        <w:t xml:space="preserve"> bodu 4.2.2.,</w:t>
      </w:r>
    </w:p>
    <w:p w14:paraId="07494682" w14:textId="77777777" w:rsidR="00A77B3E" w:rsidRPr="0030358C" w:rsidRDefault="00000000">
      <w:pPr>
        <w:pStyle w:val="27"/>
        <w:rPr>
          <w:rFonts w:ascii="Arial" w:hAnsi="Arial" w:cs="Arial"/>
          <w:szCs w:val="22"/>
        </w:rPr>
      </w:pPr>
      <w:r w:rsidRPr="0030358C">
        <w:rPr>
          <w:rFonts w:ascii="Arial" w:hAnsi="Arial" w:cs="Arial"/>
          <w:szCs w:val="22"/>
        </w:rPr>
        <w:t xml:space="preserve">9.    u stacionárních zdrojů uvedených v </w:t>
      </w:r>
      <w:hyperlink w:history="1">
        <w:r w:rsidR="00A77B3E" w:rsidRPr="0030358C">
          <w:rPr>
            <w:rFonts w:ascii="Arial" w:hAnsi="Arial" w:cs="Arial"/>
            <w:szCs w:val="22"/>
          </w:rPr>
          <w:t>příloze č. 8</w:t>
        </w:r>
      </w:hyperlink>
      <w:r w:rsidRPr="0030358C">
        <w:rPr>
          <w:rFonts w:ascii="Arial" w:hAnsi="Arial" w:cs="Arial"/>
          <w:szCs w:val="22"/>
        </w:rPr>
        <w:t xml:space="preserve"> v </w:t>
      </w:r>
      <w:hyperlink w:history="1">
        <w:r w:rsidR="00A77B3E" w:rsidRPr="0030358C">
          <w:rPr>
            <w:rFonts w:ascii="Arial" w:hAnsi="Arial" w:cs="Arial"/>
            <w:szCs w:val="22"/>
          </w:rPr>
          <w:t>části II</w:t>
        </w:r>
      </w:hyperlink>
      <w:r w:rsidRPr="0030358C">
        <w:rPr>
          <w:rFonts w:ascii="Arial" w:hAnsi="Arial" w:cs="Arial"/>
          <w:szCs w:val="22"/>
        </w:rPr>
        <w:t xml:space="preserve"> bodu 4.2.4.,</w:t>
      </w:r>
    </w:p>
    <w:p w14:paraId="2122AF96" w14:textId="77777777" w:rsidR="00A77B3E" w:rsidRPr="0030358C" w:rsidRDefault="00000000">
      <w:pPr>
        <w:pStyle w:val="27"/>
        <w:rPr>
          <w:rFonts w:ascii="Arial" w:hAnsi="Arial" w:cs="Arial"/>
          <w:szCs w:val="22"/>
        </w:rPr>
      </w:pPr>
      <w:r w:rsidRPr="0030358C">
        <w:rPr>
          <w:rFonts w:ascii="Arial" w:hAnsi="Arial" w:cs="Arial"/>
          <w:szCs w:val="22"/>
        </w:rPr>
        <w:t xml:space="preserve">10.    u stacionárních zdrojů uvedených v </w:t>
      </w:r>
      <w:hyperlink w:history="1">
        <w:r w:rsidR="00A77B3E" w:rsidRPr="0030358C">
          <w:rPr>
            <w:rFonts w:ascii="Arial" w:hAnsi="Arial" w:cs="Arial"/>
            <w:szCs w:val="22"/>
          </w:rPr>
          <w:t>příloze č. 8</w:t>
        </w:r>
      </w:hyperlink>
      <w:r w:rsidRPr="0030358C">
        <w:rPr>
          <w:rFonts w:ascii="Arial" w:hAnsi="Arial" w:cs="Arial"/>
          <w:szCs w:val="22"/>
        </w:rPr>
        <w:t xml:space="preserve"> v </w:t>
      </w:r>
      <w:hyperlink w:history="1">
        <w:r w:rsidR="00A77B3E" w:rsidRPr="0030358C">
          <w:rPr>
            <w:rFonts w:ascii="Arial" w:hAnsi="Arial" w:cs="Arial"/>
            <w:szCs w:val="22"/>
          </w:rPr>
          <w:t>části II bodu 4.2.5.</w:t>
        </w:r>
      </w:hyperlink>
      <w:r w:rsidRPr="0030358C">
        <w:rPr>
          <w:rFonts w:ascii="Arial" w:hAnsi="Arial" w:cs="Arial"/>
          <w:szCs w:val="22"/>
        </w:rPr>
        <w:t xml:space="preserve"> s roční projektovanou kapacitou vyšší než 50 tun hotových výrobků, </w:t>
      </w:r>
      <w:r w:rsidRPr="0030358C">
        <w:rPr>
          <w:rFonts w:ascii="Arial" w:hAnsi="Arial" w:cs="Arial"/>
          <w:strike/>
          <w:szCs w:val="22"/>
        </w:rPr>
        <w:t>nebo</w:t>
      </w:r>
    </w:p>
    <w:p w14:paraId="4AB6D679" w14:textId="77777777" w:rsidR="00E828C8" w:rsidRPr="0030358C" w:rsidRDefault="00000000" w:rsidP="00D153B1">
      <w:pPr>
        <w:pStyle w:val="28"/>
        <w:rPr>
          <w:rFonts w:ascii="Arial" w:hAnsi="Arial" w:cs="Arial"/>
          <w:b/>
          <w:bCs/>
          <w:szCs w:val="22"/>
        </w:rPr>
      </w:pPr>
      <w:r w:rsidRPr="0030358C">
        <w:rPr>
          <w:rFonts w:ascii="Arial" w:hAnsi="Arial" w:cs="Arial"/>
          <w:szCs w:val="22"/>
        </w:rPr>
        <w:t>11.    u stacionárních zdrojů, u nichž je stanovená úroveň znečišťování dosahována úpravou technologického řízení výrobního procesu nebo použitím technologie ke snižování emisí, pokud je současně v povolení provozu stanovena povinnost kontinuálního měření a zaznamenávání jednoho nebo více provozních parametrů určujících úroveň znečišťování; tato četnost měření se nevztahuje na spalovací stacionární zdroje o celkovém jmenovitém tepelném příkonu 50 MW a vyšším a na stacionární zdroje tepelně zpracovávající odpad,</w:t>
      </w:r>
      <w:r w:rsidR="00D153B1" w:rsidRPr="0030358C">
        <w:rPr>
          <w:rFonts w:ascii="Arial" w:hAnsi="Arial" w:cs="Arial"/>
          <w:szCs w:val="22"/>
        </w:rPr>
        <w:t xml:space="preserve"> </w:t>
      </w:r>
      <w:r w:rsidR="00D153B1" w:rsidRPr="0030358C">
        <w:rPr>
          <w:rFonts w:ascii="Arial" w:hAnsi="Arial" w:cs="Arial"/>
          <w:b/>
          <w:bCs/>
          <w:szCs w:val="22"/>
        </w:rPr>
        <w:t>nebo</w:t>
      </w:r>
    </w:p>
    <w:p w14:paraId="634EB6A6" w14:textId="77777777" w:rsidR="00E828C8" w:rsidRPr="0030358C" w:rsidRDefault="00000000" w:rsidP="00D153B1">
      <w:pPr>
        <w:pStyle w:val="28"/>
        <w:rPr>
          <w:rFonts w:ascii="Arial" w:hAnsi="Arial" w:cs="Arial"/>
          <w:b/>
          <w:bCs/>
          <w:szCs w:val="22"/>
        </w:rPr>
      </w:pPr>
      <w:r w:rsidRPr="0030358C">
        <w:rPr>
          <w:rFonts w:ascii="Arial" w:hAnsi="Arial" w:cs="Arial"/>
          <w:b/>
          <w:bCs/>
          <w:szCs w:val="22"/>
        </w:rPr>
        <w:t xml:space="preserve">12. u stacionárních zdrojů tepelně zpracovávajících odpad při plánovaném uvádění stacionárního zdroje do provozu a při jeho plánovaném odstavování, </w:t>
      </w:r>
      <w:bookmarkStart w:id="15" w:name="_Hlk178585250"/>
      <w:bookmarkStart w:id="16" w:name="_Hlk178532306"/>
      <w:r w:rsidR="005D47D6" w:rsidRPr="0030358C">
        <w:rPr>
          <w:rFonts w:ascii="Arial" w:hAnsi="Arial" w:cs="Arial"/>
          <w:b/>
          <w:bCs/>
          <w:szCs w:val="22"/>
        </w:rPr>
        <w:t>při kterých</w:t>
      </w:r>
      <w:r w:rsidRPr="0030358C">
        <w:rPr>
          <w:rFonts w:ascii="Arial" w:hAnsi="Arial" w:cs="Arial"/>
          <w:b/>
          <w:bCs/>
          <w:szCs w:val="22"/>
        </w:rPr>
        <w:t xml:space="preserve"> </w:t>
      </w:r>
      <w:bookmarkEnd w:id="15"/>
      <w:r w:rsidRPr="0030358C">
        <w:rPr>
          <w:rFonts w:ascii="Arial" w:hAnsi="Arial" w:cs="Arial"/>
          <w:b/>
          <w:bCs/>
          <w:szCs w:val="22"/>
        </w:rPr>
        <w:t>nedochází ke spalování žádného odpadu</w:t>
      </w:r>
      <w:bookmarkEnd w:id="16"/>
      <w:r w:rsidRPr="0030358C">
        <w:rPr>
          <w:rFonts w:ascii="Arial" w:hAnsi="Arial" w:cs="Arial"/>
          <w:b/>
          <w:bCs/>
          <w:szCs w:val="22"/>
        </w:rPr>
        <w:t>,</w:t>
      </w:r>
    </w:p>
    <w:p w14:paraId="5DC1DE36" w14:textId="77777777" w:rsidR="00A77B3E" w:rsidRPr="0030358C" w:rsidRDefault="00000000">
      <w:pPr>
        <w:pStyle w:val="29"/>
        <w:rPr>
          <w:rFonts w:ascii="Arial" w:hAnsi="Arial" w:cs="Arial"/>
          <w:sz w:val="22"/>
          <w:szCs w:val="22"/>
        </w:rPr>
      </w:pPr>
      <w:r w:rsidRPr="0030358C">
        <w:rPr>
          <w:rFonts w:ascii="Arial" w:hAnsi="Arial" w:cs="Arial"/>
          <w:sz w:val="22"/>
          <w:szCs w:val="22"/>
        </w:rPr>
        <w:t>c)    dvakrát za kalendářní rok</w:t>
      </w:r>
    </w:p>
    <w:p w14:paraId="7176AAA3" w14:textId="77777777" w:rsidR="00A77B3E" w:rsidRPr="0030358C" w:rsidRDefault="00000000">
      <w:pPr>
        <w:pStyle w:val="26"/>
        <w:rPr>
          <w:rFonts w:ascii="Arial" w:hAnsi="Arial" w:cs="Arial"/>
          <w:szCs w:val="22"/>
        </w:rPr>
      </w:pPr>
      <w:r w:rsidRPr="0030358C">
        <w:rPr>
          <w:rFonts w:ascii="Arial" w:hAnsi="Arial" w:cs="Arial"/>
          <w:szCs w:val="22"/>
        </w:rPr>
        <w:t xml:space="preserve">1.    u stacionárních zdrojů tepelně zpracovávajících odpad, pokud jde o měření těžkých kovů, polychlorovaných dibenzodioxinů (PCDD), polychlorovaných dibenzofuranů (PCDF) a dále o měření plynných anorganických sloučenin fluoru vyjádřených jako fluorovodík, plynných anorganických sloučenin chloru vyjádřených jako chlorovodík a oxidu siřičitého při uplatnění </w:t>
      </w:r>
      <w:hyperlink w:history="1">
        <w:r w:rsidR="00A77B3E" w:rsidRPr="0030358C">
          <w:rPr>
            <w:rFonts w:ascii="Arial" w:hAnsi="Arial" w:cs="Arial"/>
            <w:szCs w:val="22"/>
          </w:rPr>
          <w:t>bodu 4</w:t>
        </w:r>
      </w:hyperlink>
      <w:r w:rsidRPr="0030358C">
        <w:rPr>
          <w:rFonts w:ascii="Arial" w:hAnsi="Arial" w:cs="Arial"/>
          <w:szCs w:val="22"/>
        </w:rPr>
        <w:t xml:space="preserve"> nebo </w:t>
      </w:r>
      <w:hyperlink w:history="1">
        <w:r w:rsidR="00A77B3E" w:rsidRPr="0030358C">
          <w:rPr>
            <w:rFonts w:ascii="Arial" w:hAnsi="Arial" w:cs="Arial"/>
            <w:szCs w:val="22"/>
          </w:rPr>
          <w:t>5 části B přílohy č. 4</w:t>
        </w:r>
      </w:hyperlink>
      <w:r w:rsidRPr="0030358C">
        <w:rPr>
          <w:rFonts w:ascii="Arial" w:hAnsi="Arial" w:cs="Arial"/>
          <w:szCs w:val="22"/>
        </w:rPr>
        <w:t xml:space="preserve"> </w:t>
      </w:r>
      <w:hyperlink w:history="1">
        <w:r w:rsidR="00A77B3E" w:rsidRPr="0030358C">
          <w:rPr>
            <w:rFonts w:ascii="Arial" w:hAnsi="Arial" w:cs="Arial"/>
            <w:szCs w:val="22"/>
          </w:rPr>
          <w:t>zákona</w:t>
        </w:r>
      </w:hyperlink>
      <w:r w:rsidRPr="0030358C">
        <w:rPr>
          <w:rFonts w:ascii="Arial" w:hAnsi="Arial" w:cs="Arial"/>
          <w:szCs w:val="22"/>
        </w:rPr>
        <w:t>; během prvních 12 měsíců provozu se však provedou 4 měření,</w:t>
      </w:r>
    </w:p>
    <w:p w14:paraId="707D1411" w14:textId="77777777" w:rsidR="00D153B1" w:rsidRPr="0030358C" w:rsidRDefault="00000000" w:rsidP="00D153B1">
      <w:pPr>
        <w:pStyle w:val="28"/>
        <w:rPr>
          <w:rFonts w:ascii="Arial" w:hAnsi="Arial" w:cs="Arial"/>
          <w:szCs w:val="22"/>
        </w:rPr>
      </w:pPr>
      <w:r w:rsidRPr="0030358C">
        <w:rPr>
          <w:rFonts w:ascii="Arial" w:hAnsi="Arial" w:cs="Arial"/>
          <w:szCs w:val="22"/>
        </w:rPr>
        <w:t>2.    u spalovacích stacionárních zdrojů o celkovém jmenovitém tepleném příkonu 50 MW a vyšším.</w:t>
      </w:r>
    </w:p>
    <w:p w14:paraId="0977BCE7" w14:textId="77777777" w:rsidR="00A77B3E" w:rsidRPr="0030358C" w:rsidRDefault="00000000">
      <w:pPr>
        <w:pStyle w:val="11"/>
        <w:rPr>
          <w:rFonts w:ascii="Arial" w:hAnsi="Arial" w:cs="Arial"/>
          <w:sz w:val="22"/>
          <w:szCs w:val="22"/>
        </w:rPr>
      </w:pPr>
      <w:r w:rsidRPr="0030358C">
        <w:rPr>
          <w:rFonts w:ascii="Arial" w:hAnsi="Arial" w:cs="Arial"/>
          <w:sz w:val="22"/>
          <w:szCs w:val="22"/>
        </w:rPr>
        <w:t xml:space="preserve">(4)    Jednorázové měření emisí podle </w:t>
      </w:r>
      <w:hyperlink w:history="1">
        <w:r w:rsidR="00A77B3E" w:rsidRPr="0030358C">
          <w:rPr>
            <w:rFonts w:ascii="Arial" w:hAnsi="Arial" w:cs="Arial"/>
            <w:sz w:val="22"/>
            <w:szCs w:val="22"/>
          </w:rPr>
          <w:t>odstavce 3</w:t>
        </w:r>
      </w:hyperlink>
      <w:r w:rsidRPr="0030358C">
        <w:rPr>
          <w:rFonts w:ascii="Arial" w:hAnsi="Arial" w:cs="Arial"/>
          <w:sz w:val="22"/>
          <w:szCs w:val="22"/>
        </w:rPr>
        <w:t xml:space="preserve"> se provádí v případech uvedených</w:t>
      </w:r>
    </w:p>
    <w:p w14:paraId="51968C9C" w14:textId="77777777" w:rsidR="00A77B3E" w:rsidRPr="0030358C" w:rsidRDefault="00000000">
      <w:pPr>
        <w:pStyle w:val="12"/>
        <w:rPr>
          <w:rFonts w:ascii="Arial" w:hAnsi="Arial" w:cs="Arial"/>
          <w:sz w:val="22"/>
          <w:szCs w:val="22"/>
        </w:rPr>
      </w:pPr>
      <w:r w:rsidRPr="0030358C">
        <w:rPr>
          <w:rFonts w:ascii="Arial" w:hAnsi="Arial" w:cs="Arial"/>
          <w:sz w:val="22"/>
          <w:szCs w:val="22"/>
        </w:rPr>
        <w:t xml:space="preserve">a)    v </w:t>
      </w:r>
      <w:hyperlink w:history="1">
        <w:r w:rsidR="00A77B3E" w:rsidRPr="0030358C">
          <w:rPr>
            <w:rFonts w:ascii="Arial" w:hAnsi="Arial" w:cs="Arial"/>
            <w:sz w:val="22"/>
            <w:szCs w:val="22"/>
          </w:rPr>
          <w:t>písmenu a)</w:t>
        </w:r>
      </w:hyperlink>
      <w:r w:rsidRPr="0030358C">
        <w:rPr>
          <w:rFonts w:ascii="Arial" w:hAnsi="Arial" w:cs="Arial"/>
          <w:sz w:val="22"/>
          <w:szCs w:val="22"/>
        </w:rPr>
        <w:t xml:space="preserve"> nejdříve po uplynutí 6 měsíců od data předchozího jednorázového měření,</w:t>
      </w:r>
    </w:p>
    <w:p w14:paraId="179D1A56" w14:textId="77777777" w:rsidR="00A77B3E" w:rsidRPr="0030358C" w:rsidRDefault="00000000">
      <w:pPr>
        <w:pStyle w:val="13"/>
        <w:rPr>
          <w:rFonts w:ascii="Arial" w:hAnsi="Arial" w:cs="Arial"/>
          <w:sz w:val="22"/>
          <w:szCs w:val="22"/>
        </w:rPr>
      </w:pPr>
      <w:r w:rsidRPr="0030358C">
        <w:rPr>
          <w:rFonts w:ascii="Arial" w:hAnsi="Arial" w:cs="Arial"/>
          <w:sz w:val="22"/>
          <w:szCs w:val="22"/>
        </w:rPr>
        <w:t xml:space="preserve">b)    v </w:t>
      </w:r>
      <w:hyperlink w:history="1">
        <w:r w:rsidR="00A77B3E" w:rsidRPr="0030358C">
          <w:rPr>
            <w:rFonts w:ascii="Arial" w:hAnsi="Arial" w:cs="Arial"/>
            <w:sz w:val="22"/>
            <w:szCs w:val="22"/>
          </w:rPr>
          <w:t>písmenu b)</w:t>
        </w:r>
      </w:hyperlink>
      <w:r w:rsidRPr="0030358C">
        <w:rPr>
          <w:rFonts w:ascii="Arial" w:hAnsi="Arial" w:cs="Arial"/>
          <w:sz w:val="22"/>
          <w:szCs w:val="22"/>
        </w:rPr>
        <w:t xml:space="preserve"> nejdříve po uplynutí 18 měsíců od data předchozího jednorázového měření,</w:t>
      </w:r>
    </w:p>
    <w:p w14:paraId="01080AAC" w14:textId="77777777" w:rsidR="00A77B3E" w:rsidRPr="0030358C" w:rsidRDefault="00000000">
      <w:pPr>
        <w:pStyle w:val="14"/>
        <w:rPr>
          <w:rFonts w:ascii="Arial" w:hAnsi="Arial" w:cs="Arial"/>
          <w:sz w:val="22"/>
          <w:szCs w:val="22"/>
        </w:rPr>
      </w:pPr>
      <w:r w:rsidRPr="0030358C">
        <w:rPr>
          <w:rFonts w:ascii="Arial" w:hAnsi="Arial" w:cs="Arial"/>
          <w:sz w:val="22"/>
          <w:szCs w:val="22"/>
        </w:rPr>
        <w:t xml:space="preserve">c)    v písmenu c) vždy nejméně jednou za 6 měsíců </w:t>
      </w:r>
      <w:bookmarkStart w:id="17" w:name="_Hlk178532530"/>
      <w:r w:rsidR="00D153B1" w:rsidRPr="0030358C">
        <w:rPr>
          <w:rFonts w:ascii="Arial" w:hAnsi="Arial" w:cs="Arial"/>
          <w:b/>
          <w:bCs/>
          <w:sz w:val="22"/>
          <w:szCs w:val="22"/>
        </w:rPr>
        <w:t xml:space="preserve">a </w:t>
      </w:r>
      <w:r w:rsidR="0027664C" w:rsidRPr="0030358C">
        <w:rPr>
          <w:rFonts w:ascii="Arial" w:hAnsi="Arial" w:cs="Arial"/>
          <w:b/>
          <w:bCs/>
          <w:sz w:val="22"/>
          <w:szCs w:val="22"/>
        </w:rPr>
        <w:t xml:space="preserve">současně </w:t>
      </w:r>
      <w:r w:rsidR="00D153B1" w:rsidRPr="0030358C">
        <w:rPr>
          <w:rFonts w:ascii="Arial" w:hAnsi="Arial" w:cs="Arial"/>
          <w:b/>
          <w:bCs/>
          <w:sz w:val="22"/>
          <w:szCs w:val="22"/>
        </w:rPr>
        <w:t>nejdříve po uplynutí 3 měsíců od data předchozího</w:t>
      </w:r>
      <w:r w:rsidR="0027664C" w:rsidRPr="0030358C">
        <w:rPr>
          <w:rFonts w:ascii="Arial" w:hAnsi="Arial" w:cs="Arial"/>
          <w:b/>
          <w:bCs/>
          <w:sz w:val="22"/>
          <w:szCs w:val="22"/>
        </w:rPr>
        <w:t xml:space="preserve"> provedení</w:t>
      </w:r>
      <w:r w:rsidR="00D153B1" w:rsidRPr="0030358C">
        <w:rPr>
          <w:rFonts w:ascii="Arial" w:hAnsi="Arial" w:cs="Arial"/>
          <w:b/>
          <w:bCs/>
          <w:sz w:val="22"/>
          <w:szCs w:val="22"/>
        </w:rPr>
        <w:t xml:space="preserve"> jednorázového měření,</w:t>
      </w:r>
      <w:r w:rsidR="00D153B1" w:rsidRPr="0030358C">
        <w:rPr>
          <w:rFonts w:ascii="Arial" w:hAnsi="Arial" w:cs="Arial"/>
          <w:sz w:val="22"/>
          <w:szCs w:val="22"/>
        </w:rPr>
        <w:t xml:space="preserve"> </w:t>
      </w:r>
      <w:bookmarkEnd w:id="17"/>
      <w:r w:rsidRPr="0030358C">
        <w:rPr>
          <w:rFonts w:ascii="Arial" w:hAnsi="Arial" w:cs="Arial"/>
          <w:sz w:val="22"/>
          <w:szCs w:val="22"/>
        </w:rPr>
        <w:t>s výjimkou prvních 12 měsíců provozu stacionárního zdroje tepelně zpracovávajícího odpad, kdy se provede jedno měření každé 3 měsíce.</w:t>
      </w:r>
    </w:p>
    <w:p w14:paraId="2C8E0928"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(5)    Jednorázové měření podle </w:t>
      </w:r>
      <w:hyperlink w:history="1">
        <w:r w:rsidR="00A77B3E" w:rsidRPr="0030358C">
          <w:rPr>
            <w:rFonts w:ascii="Arial" w:hAnsi="Arial" w:cs="Arial"/>
            <w:sz w:val="22"/>
            <w:szCs w:val="22"/>
          </w:rPr>
          <w:t>odstavce 3</w:t>
        </w:r>
      </w:hyperlink>
      <w:r w:rsidRPr="0030358C">
        <w:rPr>
          <w:rFonts w:ascii="Arial" w:hAnsi="Arial" w:cs="Arial"/>
          <w:sz w:val="22"/>
          <w:szCs w:val="22"/>
        </w:rPr>
        <w:t xml:space="preserve"> se neprovádí u stacionárních zdrojů vyjmenovaných v </w:t>
      </w:r>
      <w:hyperlink w:history="1">
        <w:r w:rsidR="00A77B3E" w:rsidRPr="0030358C">
          <w:rPr>
            <w:rFonts w:ascii="Arial" w:hAnsi="Arial" w:cs="Arial"/>
            <w:sz w:val="22"/>
            <w:szCs w:val="22"/>
          </w:rPr>
          <w:t>části A přílohy č. 4</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pro znečišťující látky tam uvedené; to neplatí v případě měření emisí rtuti a jejích sloučenin u spalovacích stacionárních zdrojů spalujících uhlí, které se provádí jedenkrát za kalendářní rok.</w:t>
      </w:r>
    </w:p>
    <w:p w14:paraId="6001FE80"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(6)    Namísto měření emisí znečišťujících látek podle </w:t>
      </w:r>
      <w:hyperlink w:history="1">
        <w:r w:rsidR="00A77B3E" w:rsidRPr="0030358C">
          <w:rPr>
            <w:rFonts w:ascii="Arial" w:hAnsi="Arial" w:cs="Arial"/>
            <w:sz w:val="22"/>
            <w:szCs w:val="22"/>
          </w:rPr>
          <w:t>odstavce 3</w:t>
        </w:r>
      </w:hyperlink>
      <w:r w:rsidRPr="0030358C">
        <w:rPr>
          <w:rFonts w:ascii="Arial" w:hAnsi="Arial" w:cs="Arial"/>
          <w:sz w:val="22"/>
          <w:szCs w:val="22"/>
        </w:rPr>
        <w:t xml:space="preserve"> se pro zjištění úrovně znečišťování použije výpočet</w:t>
      </w:r>
    </w:p>
    <w:p w14:paraId="478D57F8" w14:textId="77777777" w:rsidR="00A77B3E" w:rsidRPr="0030358C" w:rsidRDefault="00000000">
      <w:pPr>
        <w:pStyle w:val="12"/>
        <w:rPr>
          <w:rFonts w:ascii="Arial" w:hAnsi="Arial" w:cs="Arial"/>
          <w:sz w:val="22"/>
          <w:szCs w:val="22"/>
        </w:rPr>
      </w:pPr>
      <w:r w:rsidRPr="0030358C">
        <w:rPr>
          <w:rFonts w:ascii="Arial" w:hAnsi="Arial" w:cs="Arial"/>
          <w:sz w:val="22"/>
          <w:szCs w:val="22"/>
        </w:rPr>
        <w:t xml:space="preserve">a)    u spalovacích stacionárních zdrojů podle </w:t>
      </w:r>
      <w:hyperlink w:history="1">
        <w:r w:rsidR="00A77B3E" w:rsidRPr="0030358C">
          <w:rPr>
            <w:rFonts w:ascii="Arial" w:hAnsi="Arial" w:cs="Arial"/>
            <w:sz w:val="22"/>
            <w:szCs w:val="22"/>
          </w:rPr>
          <w:t>§ 13</w:t>
        </w:r>
      </w:hyperlink>
      <w:r w:rsidRPr="0030358C">
        <w:rPr>
          <w:rFonts w:ascii="Arial" w:hAnsi="Arial" w:cs="Arial"/>
          <w:sz w:val="22"/>
          <w:szCs w:val="22"/>
        </w:rPr>
        <w:t xml:space="preserve"> spalujících plynná a/nebo kapalná paliva do celkového jmenovitého tepelného příkonu 1 MW,</w:t>
      </w:r>
    </w:p>
    <w:p w14:paraId="147490A0" w14:textId="77777777" w:rsidR="00A77B3E" w:rsidRPr="0030358C" w:rsidRDefault="00000000">
      <w:pPr>
        <w:pStyle w:val="13"/>
        <w:rPr>
          <w:rFonts w:ascii="Arial" w:hAnsi="Arial" w:cs="Arial"/>
          <w:sz w:val="22"/>
          <w:szCs w:val="22"/>
        </w:rPr>
      </w:pPr>
      <w:r w:rsidRPr="0030358C">
        <w:rPr>
          <w:rFonts w:ascii="Arial" w:hAnsi="Arial" w:cs="Arial"/>
          <w:sz w:val="22"/>
          <w:szCs w:val="22"/>
        </w:rPr>
        <w:t xml:space="preserve">b)    u stacionárních zdrojů uvedených v </w:t>
      </w:r>
      <w:hyperlink w:history="1">
        <w:r w:rsidR="00A77B3E" w:rsidRPr="0030358C">
          <w:rPr>
            <w:rFonts w:ascii="Arial" w:hAnsi="Arial" w:cs="Arial"/>
            <w:sz w:val="22"/>
            <w:szCs w:val="22"/>
          </w:rPr>
          <w:t>příloze č. 5</w:t>
        </w:r>
      </w:hyperlink>
      <w:r w:rsidRPr="0030358C">
        <w:rPr>
          <w:rFonts w:ascii="Arial" w:hAnsi="Arial" w:cs="Arial"/>
          <w:sz w:val="22"/>
          <w:szCs w:val="22"/>
        </w:rPr>
        <w:t xml:space="preserve"> v </w:t>
      </w:r>
      <w:hyperlink w:history="1">
        <w:r w:rsidR="00A77B3E" w:rsidRPr="0030358C">
          <w:rPr>
            <w:rFonts w:ascii="Arial" w:hAnsi="Arial" w:cs="Arial"/>
            <w:sz w:val="22"/>
            <w:szCs w:val="22"/>
          </w:rPr>
          <w:t>části II bodu 3.</w:t>
        </w:r>
      </w:hyperlink>
      <w:r w:rsidRPr="0030358C">
        <w:rPr>
          <w:rFonts w:ascii="Arial" w:hAnsi="Arial" w:cs="Arial"/>
          <w:sz w:val="22"/>
          <w:szCs w:val="22"/>
        </w:rPr>
        <w:t>,</w:t>
      </w:r>
    </w:p>
    <w:p w14:paraId="56DD0132" w14:textId="77777777" w:rsidR="00A77B3E" w:rsidRPr="0030358C" w:rsidRDefault="00000000">
      <w:pPr>
        <w:pStyle w:val="13"/>
        <w:rPr>
          <w:rFonts w:ascii="Arial" w:hAnsi="Arial" w:cs="Arial"/>
          <w:sz w:val="22"/>
          <w:szCs w:val="22"/>
        </w:rPr>
      </w:pPr>
      <w:r w:rsidRPr="0030358C">
        <w:rPr>
          <w:rFonts w:ascii="Arial" w:hAnsi="Arial" w:cs="Arial"/>
          <w:sz w:val="22"/>
          <w:szCs w:val="22"/>
        </w:rPr>
        <w:t xml:space="preserve">c)    u stacionárních zdrojů uvedených v </w:t>
      </w:r>
      <w:hyperlink w:history="1">
        <w:r w:rsidR="00A77B3E" w:rsidRPr="0030358C">
          <w:rPr>
            <w:rFonts w:ascii="Arial" w:hAnsi="Arial" w:cs="Arial"/>
            <w:sz w:val="22"/>
            <w:szCs w:val="22"/>
          </w:rPr>
          <w:t>příloze č. 8</w:t>
        </w:r>
      </w:hyperlink>
      <w:r w:rsidRPr="0030358C">
        <w:rPr>
          <w:rFonts w:ascii="Arial" w:hAnsi="Arial" w:cs="Arial"/>
          <w:sz w:val="22"/>
          <w:szCs w:val="22"/>
        </w:rPr>
        <w:t xml:space="preserve"> v </w:t>
      </w:r>
      <w:hyperlink w:history="1">
        <w:r w:rsidR="00A77B3E" w:rsidRPr="0030358C">
          <w:rPr>
            <w:rFonts w:ascii="Arial" w:hAnsi="Arial" w:cs="Arial"/>
            <w:sz w:val="22"/>
            <w:szCs w:val="22"/>
          </w:rPr>
          <w:t>části II bodech 1.3.</w:t>
        </w:r>
      </w:hyperlink>
      <w:r w:rsidRPr="0030358C">
        <w:rPr>
          <w:rFonts w:ascii="Arial" w:hAnsi="Arial" w:cs="Arial"/>
          <w:sz w:val="22"/>
          <w:szCs w:val="22"/>
        </w:rPr>
        <w:t xml:space="preserve">, </w:t>
      </w:r>
      <w:hyperlink w:history="1">
        <w:r w:rsidR="00A77B3E" w:rsidRPr="0030358C">
          <w:rPr>
            <w:rFonts w:ascii="Arial" w:hAnsi="Arial" w:cs="Arial"/>
            <w:sz w:val="22"/>
            <w:szCs w:val="22"/>
          </w:rPr>
          <w:t>2.1.</w:t>
        </w:r>
      </w:hyperlink>
      <w:r w:rsidRPr="0030358C">
        <w:rPr>
          <w:rFonts w:ascii="Arial" w:hAnsi="Arial" w:cs="Arial"/>
          <w:sz w:val="22"/>
          <w:szCs w:val="22"/>
        </w:rPr>
        <w:t xml:space="preserve">, </w:t>
      </w:r>
      <w:hyperlink w:history="1">
        <w:r w:rsidR="00A77B3E" w:rsidRPr="0030358C">
          <w:rPr>
            <w:rFonts w:ascii="Arial" w:hAnsi="Arial" w:cs="Arial"/>
            <w:sz w:val="22"/>
            <w:szCs w:val="22"/>
          </w:rPr>
          <w:t>3.8.4.</w:t>
        </w:r>
      </w:hyperlink>
      <w:r w:rsidRPr="0030358C">
        <w:rPr>
          <w:rFonts w:ascii="Arial" w:hAnsi="Arial" w:cs="Arial"/>
          <w:sz w:val="22"/>
          <w:szCs w:val="22"/>
        </w:rPr>
        <w:t xml:space="preserve"> a </w:t>
      </w:r>
      <w:hyperlink w:history="1">
        <w:r w:rsidR="00A77B3E" w:rsidRPr="0030358C">
          <w:rPr>
            <w:rFonts w:ascii="Arial" w:hAnsi="Arial" w:cs="Arial"/>
            <w:sz w:val="22"/>
            <w:szCs w:val="22"/>
          </w:rPr>
          <w:t>6.15.</w:t>
        </w:r>
      </w:hyperlink>
      <w:r w:rsidRPr="0030358C">
        <w:rPr>
          <w:rFonts w:ascii="Arial" w:hAnsi="Arial" w:cs="Arial"/>
          <w:sz w:val="22"/>
          <w:szCs w:val="22"/>
        </w:rPr>
        <w:t>,</w:t>
      </w:r>
    </w:p>
    <w:p w14:paraId="7783C868" w14:textId="77777777" w:rsidR="00A77B3E" w:rsidRPr="0030358C" w:rsidRDefault="00000000">
      <w:pPr>
        <w:pStyle w:val="14"/>
        <w:rPr>
          <w:rFonts w:ascii="Arial" w:hAnsi="Arial" w:cs="Arial"/>
          <w:sz w:val="22"/>
          <w:szCs w:val="22"/>
        </w:rPr>
      </w:pPr>
      <w:r w:rsidRPr="0030358C">
        <w:rPr>
          <w:rFonts w:ascii="Arial" w:hAnsi="Arial" w:cs="Arial"/>
          <w:sz w:val="22"/>
          <w:szCs w:val="22"/>
        </w:rPr>
        <w:lastRenderedPageBreak/>
        <w:t xml:space="preserve">d)    u stacionárních zdrojů uvedených v </w:t>
      </w:r>
      <w:hyperlink w:history="1">
        <w:r w:rsidR="00A77B3E" w:rsidRPr="0030358C">
          <w:rPr>
            <w:rFonts w:ascii="Arial" w:hAnsi="Arial" w:cs="Arial"/>
            <w:sz w:val="22"/>
            <w:szCs w:val="22"/>
          </w:rPr>
          <w:t>příloze č. 8</w:t>
        </w:r>
      </w:hyperlink>
      <w:r w:rsidRPr="0030358C">
        <w:rPr>
          <w:rFonts w:ascii="Arial" w:hAnsi="Arial" w:cs="Arial"/>
          <w:sz w:val="22"/>
          <w:szCs w:val="22"/>
        </w:rPr>
        <w:t xml:space="preserve"> v </w:t>
      </w:r>
      <w:hyperlink w:history="1">
        <w:r w:rsidR="00A77B3E" w:rsidRPr="0030358C">
          <w:rPr>
            <w:rFonts w:ascii="Arial" w:hAnsi="Arial" w:cs="Arial"/>
            <w:sz w:val="22"/>
            <w:szCs w:val="22"/>
          </w:rPr>
          <w:t>části II bodech 3.5.1.</w:t>
        </w:r>
      </w:hyperlink>
      <w:r w:rsidRPr="0030358C">
        <w:rPr>
          <w:rFonts w:ascii="Arial" w:hAnsi="Arial" w:cs="Arial"/>
          <w:sz w:val="22"/>
          <w:szCs w:val="22"/>
        </w:rPr>
        <w:t xml:space="preserve">, </w:t>
      </w:r>
      <w:hyperlink w:history="1">
        <w:r w:rsidR="00A77B3E" w:rsidRPr="0030358C">
          <w:rPr>
            <w:rFonts w:ascii="Arial" w:hAnsi="Arial" w:cs="Arial"/>
            <w:sz w:val="22"/>
            <w:szCs w:val="22"/>
          </w:rPr>
          <w:t>3.7.1.</w:t>
        </w:r>
      </w:hyperlink>
      <w:r w:rsidRPr="0030358C">
        <w:rPr>
          <w:rFonts w:ascii="Arial" w:hAnsi="Arial" w:cs="Arial"/>
          <w:sz w:val="22"/>
          <w:szCs w:val="22"/>
        </w:rPr>
        <w:t xml:space="preserve">, 3.8.3., </w:t>
      </w:r>
      <w:hyperlink w:history="1">
        <w:r w:rsidR="00A77B3E" w:rsidRPr="0030358C">
          <w:rPr>
            <w:rFonts w:ascii="Arial" w:hAnsi="Arial" w:cs="Arial"/>
            <w:sz w:val="22"/>
            <w:szCs w:val="22"/>
          </w:rPr>
          <w:t>5.2.1.</w:t>
        </w:r>
      </w:hyperlink>
      <w:r w:rsidRPr="0030358C">
        <w:rPr>
          <w:rFonts w:ascii="Arial" w:hAnsi="Arial" w:cs="Arial"/>
          <w:sz w:val="22"/>
          <w:szCs w:val="22"/>
        </w:rPr>
        <w:t xml:space="preserve">, pokud tyto zdroje nejsou vybaveny zařízením ke snižování emisí, u stacionárních zdrojů uvedených v </w:t>
      </w:r>
      <w:hyperlink w:history="1">
        <w:r w:rsidR="00A77B3E" w:rsidRPr="0030358C">
          <w:rPr>
            <w:rFonts w:ascii="Arial" w:hAnsi="Arial" w:cs="Arial"/>
            <w:sz w:val="22"/>
            <w:szCs w:val="22"/>
          </w:rPr>
          <w:t>příloze č. 8</w:t>
        </w:r>
      </w:hyperlink>
      <w:r w:rsidRPr="0030358C">
        <w:rPr>
          <w:rFonts w:ascii="Arial" w:hAnsi="Arial" w:cs="Arial"/>
          <w:sz w:val="22"/>
          <w:szCs w:val="22"/>
        </w:rPr>
        <w:t xml:space="preserve"> v </w:t>
      </w:r>
      <w:hyperlink w:history="1">
        <w:r w:rsidR="00A77B3E" w:rsidRPr="0030358C">
          <w:rPr>
            <w:rFonts w:ascii="Arial" w:hAnsi="Arial" w:cs="Arial"/>
            <w:sz w:val="22"/>
            <w:szCs w:val="22"/>
          </w:rPr>
          <w:t>části II bodu 4.2.5.</w:t>
        </w:r>
      </w:hyperlink>
      <w:r w:rsidRPr="0030358C">
        <w:rPr>
          <w:rFonts w:ascii="Arial" w:hAnsi="Arial" w:cs="Arial"/>
          <w:sz w:val="22"/>
          <w:szCs w:val="22"/>
        </w:rPr>
        <w:t xml:space="preserve"> s roční projektovanou kapacitou do 50 tun hotových výrobků včetně.</w:t>
      </w:r>
    </w:p>
    <w:p w14:paraId="15AC378B"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(7)    Pokud nemá stacionární zdroj pro určitou znečišťující látku stanoven specifický emisní limit v této vyhlášce, ale pouze v povolení provozu, stanoví krajský úřad podle </w:t>
      </w:r>
      <w:hyperlink w:history="1">
        <w:r w:rsidR="00A77B3E" w:rsidRPr="0030358C">
          <w:rPr>
            <w:rFonts w:ascii="Arial" w:hAnsi="Arial" w:cs="Arial"/>
            <w:sz w:val="22"/>
            <w:szCs w:val="22"/>
          </w:rPr>
          <w:t>§ 12 odst. 4</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v povolení provozu rovněž způsob, podmínky a intervaly jednorázového měření emisí této znečišťující látky. Při stanovení četnosti měření se přihlédne k době a způsobu provozování stacionárního zdroje a jeho vlivu na kvalitu ovzduší.</w:t>
      </w:r>
    </w:p>
    <w:p w14:paraId="0ADB896B"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(8)    U spalovacího stacionárního zdroje, u něhož nelze s ohledem na jeho funkci v přenosové soustavě nebo soustavě zásobování tepelnou energií a s ohledem na způsob jeho provozování dodržet podmínky pro provedení jednorázového měření emisí stanovené v </w:t>
      </w:r>
      <w:hyperlink w:history="1">
        <w:r w:rsidR="00A77B3E" w:rsidRPr="0030358C">
          <w:rPr>
            <w:rFonts w:ascii="Arial" w:hAnsi="Arial" w:cs="Arial"/>
            <w:sz w:val="22"/>
            <w:szCs w:val="22"/>
          </w:rPr>
          <w:t>§ 6 odst. 7</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v intervalu stanoveném v </w:t>
      </w:r>
      <w:hyperlink w:history="1">
        <w:r w:rsidR="00A77B3E" w:rsidRPr="0030358C">
          <w:rPr>
            <w:rFonts w:ascii="Arial" w:hAnsi="Arial" w:cs="Arial"/>
            <w:sz w:val="22"/>
            <w:szCs w:val="22"/>
          </w:rPr>
          <w:t>odstavci 3</w:t>
        </w:r>
      </w:hyperlink>
      <w:r w:rsidRPr="0030358C">
        <w:rPr>
          <w:rFonts w:ascii="Arial" w:hAnsi="Arial" w:cs="Arial"/>
          <w:sz w:val="22"/>
          <w:szCs w:val="22"/>
        </w:rPr>
        <w:t>, se jednorázové měření emisí provede vždy při první příležitosti, kdy bude možné tyto podmínky splnit.</w:t>
      </w:r>
    </w:p>
    <w:p w14:paraId="23339102"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(9)    Od měření emisí těkavých organických látek podle </w:t>
      </w:r>
      <w:hyperlink w:history="1">
        <w:r w:rsidR="00A77B3E" w:rsidRPr="0030358C">
          <w:rPr>
            <w:rFonts w:ascii="Arial" w:hAnsi="Arial" w:cs="Arial"/>
            <w:sz w:val="22"/>
            <w:szCs w:val="22"/>
          </w:rPr>
          <w:t>odstavce 3</w:t>
        </w:r>
      </w:hyperlink>
      <w:r w:rsidRPr="0030358C">
        <w:rPr>
          <w:rFonts w:ascii="Arial" w:hAnsi="Arial" w:cs="Arial"/>
          <w:sz w:val="22"/>
          <w:szCs w:val="22"/>
        </w:rPr>
        <w:t xml:space="preserve"> lze na základě rozhodnutí krajského úřadu podle </w:t>
      </w:r>
      <w:hyperlink w:history="1">
        <w:r w:rsidR="00A77B3E" w:rsidRPr="0030358C">
          <w:rPr>
            <w:rFonts w:ascii="Arial" w:hAnsi="Arial" w:cs="Arial"/>
            <w:sz w:val="22"/>
            <w:szCs w:val="22"/>
          </w:rPr>
          <w:t>§ 6 odst. 2</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upustit a emise zjišťovat výpočtem u stacionárních zdrojů uvedených v </w:t>
      </w:r>
      <w:hyperlink w:history="1">
        <w:r w:rsidR="00A77B3E" w:rsidRPr="0030358C">
          <w:rPr>
            <w:rFonts w:ascii="Arial" w:hAnsi="Arial" w:cs="Arial"/>
            <w:sz w:val="22"/>
            <w:szCs w:val="22"/>
          </w:rPr>
          <w:t>části II přílohy č. 5</w:t>
        </w:r>
      </w:hyperlink>
      <w:r w:rsidRPr="0030358C">
        <w:rPr>
          <w:rFonts w:ascii="Arial" w:hAnsi="Arial" w:cs="Arial"/>
          <w:sz w:val="22"/>
          <w:szCs w:val="22"/>
        </w:rPr>
        <w:t>, pokud nepoužívají technologii ke snižování emisí těchto látek.</w:t>
      </w:r>
    </w:p>
    <w:p w14:paraId="0C4EC9FA" w14:textId="77777777" w:rsidR="00EF2DEA" w:rsidRPr="0030358C" w:rsidRDefault="00EF2DEA">
      <w:pPr>
        <w:pStyle w:val="25"/>
        <w:rPr>
          <w:rFonts w:ascii="Arial" w:hAnsi="Arial" w:cs="Arial"/>
          <w:sz w:val="22"/>
          <w:szCs w:val="22"/>
        </w:rPr>
      </w:pPr>
    </w:p>
    <w:p w14:paraId="45A743E7" w14:textId="77777777" w:rsidR="00A77B3E" w:rsidRPr="0030358C" w:rsidRDefault="00000000">
      <w:pPr>
        <w:pStyle w:val="15"/>
        <w:rPr>
          <w:rFonts w:ascii="Arial" w:hAnsi="Arial" w:cs="Arial"/>
          <w:sz w:val="22"/>
          <w:szCs w:val="22"/>
        </w:rPr>
      </w:pPr>
      <w:r w:rsidRPr="0030358C">
        <w:rPr>
          <w:rFonts w:ascii="Arial" w:hAnsi="Arial" w:cs="Arial"/>
          <w:sz w:val="22"/>
          <w:szCs w:val="22"/>
        </w:rPr>
        <w:t>§ 4</w:t>
      </w:r>
    </w:p>
    <w:p w14:paraId="3CE4C4B8" w14:textId="77777777" w:rsidR="00A77B3E" w:rsidRPr="0030358C" w:rsidRDefault="00000000">
      <w:pPr>
        <w:pStyle w:val="10"/>
        <w:rPr>
          <w:rFonts w:ascii="Arial" w:hAnsi="Arial" w:cs="Arial"/>
          <w:sz w:val="22"/>
          <w:szCs w:val="22"/>
        </w:rPr>
      </w:pPr>
      <w:r w:rsidRPr="0030358C">
        <w:rPr>
          <w:rFonts w:ascii="Arial" w:hAnsi="Arial" w:cs="Arial"/>
          <w:sz w:val="22"/>
          <w:szCs w:val="22"/>
        </w:rPr>
        <w:t>Způsob a podmínky zjišťování úrovně znečišťování jednorázovým měřením</w:t>
      </w:r>
    </w:p>
    <w:p w14:paraId="2F5B8B7B"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6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0744FA" w:rsidRPr="0030358C">
        <w:rPr>
          <w:rFonts w:ascii="Arial" w:hAnsi="Arial" w:cs="Arial"/>
          <w:sz w:val="22"/>
          <w:szCs w:val="22"/>
          <w:highlight w:val="yellow"/>
        </w:rPr>
        <w:t>10</w:t>
      </w:r>
      <w:r w:rsidR="000744FA"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6602AFD8"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Jednorázové měření emisí musí být reprezentativní a průkazné a použitá metoda měření a odběru vzorků musí co nejpřesněji odrážet skutečnost o úrovni znečišťování. Tyto požadavky se považují za splněné, je-li postupováno podle určených technických norem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 xml:space="preserve">. Metody a postupy odběrů a stanovení znečišťujících látek a doplňkových veličin, pro něž je vyžadováno osvědčení o akreditaci, jsou uvedeny v </w:t>
      </w:r>
      <w:hyperlink w:history="1">
        <w:r w:rsidR="00A77B3E" w:rsidRPr="0030358C">
          <w:rPr>
            <w:rFonts w:ascii="Arial" w:hAnsi="Arial" w:cs="Arial"/>
            <w:sz w:val="22"/>
            <w:szCs w:val="22"/>
          </w:rPr>
          <w:t>části I</w:t>
        </w:r>
      </w:hyperlink>
      <w:r w:rsidRPr="0030358C">
        <w:rPr>
          <w:rFonts w:ascii="Arial" w:hAnsi="Arial" w:cs="Arial"/>
          <w:sz w:val="22"/>
          <w:szCs w:val="22"/>
        </w:rPr>
        <w:t xml:space="preserve"> </w:t>
      </w:r>
      <w:hyperlink w:history="1">
        <w:r w:rsidR="00A77B3E" w:rsidRPr="0030358C">
          <w:rPr>
            <w:rFonts w:ascii="Arial" w:hAnsi="Arial" w:cs="Arial"/>
            <w:sz w:val="22"/>
            <w:szCs w:val="22"/>
          </w:rPr>
          <w:t>přílohy č. 1</w:t>
        </w:r>
      </w:hyperlink>
      <w:r w:rsidRPr="0030358C">
        <w:rPr>
          <w:rFonts w:ascii="Arial" w:hAnsi="Arial" w:cs="Arial"/>
          <w:sz w:val="22"/>
          <w:szCs w:val="22"/>
        </w:rPr>
        <w:t xml:space="preserve"> k této vyhlášce.</w:t>
      </w:r>
    </w:p>
    <w:p w14:paraId="1020DA39" w14:textId="77777777" w:rsidR="00A77B3E" w:rsidRPr="0030358C" w:rsidRDefault="00000000">
      <w:pPr>
        <w:pStyle w:val="30"/>
        <w:rPr>
          <w:rFonts w:ascii="Arial" w:hAnsi="Arial" w:cs="Arial"/>
          <w:sz w:val="22"/>
          <w:szCs w:val="22"/>
        </w:rPr>
      </w:pPr>
      <w:r w:rsidRPr="0030358C">
        <w:rPr>
          <w:rFonts w:ascii="Arial" w:hAnsi="Arial" w:cs="Arial"/>
          <w:sz w:val="22"/>
          <w:szCs w:val="22"/>
        </w:rPr>
        <w:t>(2)    Jednorázové měření emisí se provádí manuálními metodami se samostatnými odběry jednotlivých na sebe navazujících vzorků nebo přístroji pro kontinuální měření emisí. V rámci jednorázového měření emisí se za jednotlivé měření považuje odběr jednotlivého vzorku a jeho vyhodnocení. Pro jednorázové měření emisí lze použít pouze těch měřicích metod, které umožní stanovit koncentrace znečišťujících látek alespoň v intervalu od 10 % do 200 % specifického emisního limitu.</w:t>
      </w:r>
    </w:p>
    <w:p w14:paraId="57606DA2" w14:textId="77777777" w:rsidR="00A77B3E" w:rsidRPr="0030358C" w:rsidRDefault="00000000">
      <w:pPr>
        <w:pStyle w:val="25"/>
        <w:rPr>
          <w:rFonts w:ascii="Arial" w:hAnsi="Arial" w:cs="Arial"/>
          <w:sz w:val="22"/>
          <w:szCs w:val="22"/>
        </w:rPr>
      </w:pPr>
      <w:r w:rsidRPr="0030358C">
        <w:rPr>
          <w:rFonts w:ascii="Arial" w:hAnsi="Arial" w:cs="Arial"/>
          <w:sz w:val="22"/>
          <w:szCs w:val="22"/>
        </w:rPr>
        <w:t>(3)    Při jednorázovém měření manuálními metodami se provádí</w:t>
      </w:r>
    </w:p>
    <w:p w14:paraId="295AD125" w14:textId="77777777" w:rsidR="00A77B3E" w:rsidRPr="0030358C" w:rsidRDefault="00000000">
      <w:pPr>
        <w:pStyle w:val="12"/>
        <w:rPr>
          <w:rFonts w:ascii="Arial" w:hAnsi="Arial" w:cs="Arial"/>
          <w:sz w:val="22"/>
          <w:szCs w:val="22"/>
        </w:rPr>
      </w:pPr>
      <w:r w:rsidRPr="0030358C">
        <w:rPr>
          <w:rFonts w:ascii="Arial" w:hAnsi="Arial" w:cs="Arial"/>
          <w:sz w:val="22"/>
          <w:szCs w:val="22"/>
        </w:rPr>
        <w:t>a)    nejméně 3 jednotlivá měření u stacionárních zdrojů s neměnnými provozními podmínkami,</w:t>
      </w:r>
    </w:p>
    <w:p w14:paraId="1C16447F" w14:textId="77777777" w:rsidR="00A77B3E" w:rsidRPr="0030358C" w:rsidRDefault="00000000">
      <w:pPr>
        <w:pStyle w:val="13"/>
        <w:rPr>
          <w:rFonts w:ascii="Arial" w:hAnsi="Arial" w:cs="Arial"/>
          <w:sz w:val="22"/>
          <w:szCs w:val="22"/>
        </w:rPr>
      </w:pPr>
      <w:r w:rsidRPr="0030358C">
        <w:rPr>
          <w:rFonts w:ascii="Arial" w:hAnsi="Arial" w:cs="Arial"/>
          <w:sz w:val="22"/>
          <w:szCs w:val="22"/>
        </w:rPr>
        <w:t>b)    nejméně 6 jednotlivých měření u stacionárních zdrojů s proměnlivými provozními podmínkami,</w:t>
      </w:r>
    </w:p>
    <w:p w14:paraId="1D4E7DA0" w14:textId="77777777" w:rsidR="00A77B3E" w:rsidRPr="0030358C" w:rsidRDefault="00000000">
      <w:pPr>
        <w:pStyle w:val="13"/>
        <w:rPr>
          <w:rFonts w:ascii="Arial" w:hAnsi="Arial" w:cs="Arial"/>
          <w:sz w:val="22"/>
          <w:szCs w:val="22"/>
        </w:rPr>
      </w:pPr>
      <w:r w:rsidRPr="0030358C">
        <w:rPr>
          <w:rFonts w:ascii="Arial" w:hAnsi="Arial" w:cs="Arial"/>
          <w:sz w:val="22"/>
          <w:szCs w:val="22"/>
        </w:rPr>
        <w:t>c)    technickými podmínkami provozu a emisními koncentracemi znečišťujících látek určený počet jednotlivých na sebe navazujících měření u stacionárních zdrojů s periodickým, přerušovaným, šaržovitým způsobem výroby tak, aby měření postihlo celý časový interval cyklu nebo šarže; doba odběru jednotlivých na sebe navazujících měření se přizpůsobí očekávaným koncentracím v souladu s technickými postupy pro jednorázové měření a požadavky této vyhlášky, technickými normami pro jednorázové měření a podmínkami stanovenými v povolení provozu,</w:t>
      </w:r>
    </w:p>
    <w:p w14:paraId="67363385" w14:textId="77777777" w:rsidR="00A77B3E" w:rsidRPr="0030358C" w:rsidRDefault="00000000">
      <w:pPr>
        <w:pStyle w:val="13"/>
        <w:rPr>
          <w:rFonts w:ascii="Arial" w:hAnsi="Arial" w:cs="Arial"/>
          <w:sz w:val="22"/>
          <w:szCs w:val="22"/>
        </w:rPr>
      </w:pPr>
      <w:r w:rsidRPr="0030358C">
        <w:rPr>
          <w:rFonts w:ascii="Arial" w:hAnsi="Arial" w:cs="Arial"/>
          <w:sz w:val="22"/>
          <w:szCs w:val="22"/>
        </w:rPr>
        <w:lastRenderedPageBreak/>
        <w:t>d)    jednotlivé měření po dobu nejméně 30 minut a nejvýše 8 hodin v případě těžkých kovů a nejméně 6 hodin a nejvýše 8 hodin v případě PCDD a PCDF,</w:t>
      </w:r>
    </w:p>
    <w:p w14:paraId="256371B3" w14:textId="77777777" w:rsidR="00A77B3E" w:rsidRPr="0030358C" w:rsidRDefault="00000000">
      <w:pPr>
        <w:pStyle w:val="14"/>
        <w:rPr>
          <w:rFonts w:ascii="Arial" w:hAnsi="Arial" w:cs="Arial"/>
          <w:sz w:val="22"/>
          <w:szCs w:val="22"/>
        </w:rPr>
      </w:pPr>
      <w:r w:rsidRPr="0030358C">
        <w:rPr>
          <w:rFonts w:ascii="Arial" w:hAnsi="Arial" w:cs="Arial"/>
          <w:sz w:val="22"/>
          <w:szCs w:val="22"/>
        </w:rPr>
        <w:t xml:space="preserve">e)    odlišně od ustanovení v </w:t>
      </w:r>
      <w:hyperlink w:history="1">
        <w:r w:rsidR="00A77B3E" w:rsidRPr="0030358C">
          <w:rPr>
            <w:rFonts w:ascii="Arial" w:hAnsi="Arial" w:cs="Arial"/>
            <w:sz w:val="22"/>
            <w:szCs w:val="22"/>
          </w:rPr>
          <w:t>písmenech a)</w:t>
        </w:r>
      </w:hyperlink>
      <w:r w:rsidRPr="0030358C">
        <w:rPr>
          <w:rFonts w:ascii="Arial" w:hAnsi="Arial" w:cs="Arial"/>
          <w:sz w:val="22"/>
          <w:szCs w:val="22"/>
        </w:rPr>
        <w:t xml:space="preserve"> a </w:t>
      </w:r>
      <w:hyperlink w:history="1">
        <w:r w:rsidR="00A77B3E" w:rsidRPr="0030358C">
          <w:rPr>
            <w:rFonts w:ascii="Arial" w:hAnsi="Arial" w:cs="Arial"/>
            <w:sz w:val="22"/>
            <w:szCs w:val="22"/>
          </w:rPr>
          <w:t>b)</w:t>
        </w:r>
      </w:hyperlink>
      <w:r w:rsidRPr="0030358C">
        <w:rPr>
          <w:rFonts w:ascii="Arial" w:hAnsi="Arial" w:cs="Arial"/>
          <w:sz w:val="22"/>
          <w:szCs w:val="22"/>
        </w:rPr>
        <w:t xml:space="preserve"> pouze jedno jednotlivé měření PCDD, PCDF a těžkých kovů u</w:t>
      </w:r>
    </w:p>
    <w:p w14:paraId="730DA795" w14:textId="77777777" w:rsidR="00A77B3E" w:rsidRPr="0030358C" w:rsidRDefault="00000000">
      <w:pPr>
        <w:pStyle w:val="26"/>
        <w:rPr>
          <w:rFonts w:ascii="Arial" w:hAnsi="Arial" w:cs="Arial"/>
          <w:szCs w:val="22"/>
        </w:rPr>
      </w:pPr>
      <w:r w:rsidRPr="0030358C">
        <w:rPr>
          <w:rFonts w:ascii="Arial" w:hAnsi="Arial" w:cs="Arial"/>
          <w:szCs w:val="22"/>
        </w:rPr>
        <w:t>1.    stacionárních zdrojů tepelně zpracovávajících nebezpečný odpad se jmenovitou kapacitou do 1 tuny odpadu za hodinu,</w:t>
      </w:r>
    </w:p>
    <w:p w14:paraId="6DE2EAE0" w14:textId="77777777" w:rsidR="00A77B3E" w:rsidRPr="0030358C" w:rsidRDefault="00000000">
      <w:pPr>
        <w:pStyle w:val="27"/>
        <w:rPr>
          <w:rFonts w:ascii="Arial" w:hAnsi="Arial" w:cs="Arial"/>
          <w:szCs w:val="22"/>
        </w:rPr>
      </w:pPr>
      <w:r w:rsidRPr="0030358C">
        <w:rPr>
          <w:rFonts w:ascii="Arial" w:hAnsi="Arial" w:cs="Arial"/>
          <w:szCs w:val="22"/>
        </w:rPr>
        <w:t>2.    stacionárních zdrojů tepelně zpracovávajících komunální odpad se jmenovitou kapacitou do 3 tun odpadu za hodinu,</w:t>
      </w:r>
    </w:p>
    <w:p w14:paraId="35597502" w14:textId="77777777" w:rsidR="00A77B3E" w:rsidRPr="0030358C" w:rsidRDefault="00000000">
      <w:pPr>
        <w:pStyle w:val="27"/>
        <w:rPr>
          <w:rFonts w:ascii="Arial" w:hAnsi="Arial" w:cs="Arial"/>
          <w:szCs w:val="22"/>
        </w:rPr>
      </w:pPr>
      <w:r w:rsidRPr="0030358C">
        <w:rPr>
          <w:rFonts w:ascii="Arial" w:hAnsi="Arial" w:cs="Arial"/>
          <w:szCs w:val="22"/>
        </w:rPr>
        <w:t>3.    stacionárních zdrojů tepelně zpracovávajících jiný než nebezpečný odpad se jmenovitou kapacitou do 50 tun odpadu za den,</w:t>
      </w:r>
    </w:p>
    <w:p w14:paraId="43EA9B47" w14:textId="77777777" w:rsidR="00A77B3E" w:rsidRPr="0030358C" w:rsidRDefault="00000000">
      <w:pPr>
        <w:pStyle w:val="28"/>
        <w:rPr>
          <w:rFonts w:ascii="Arial" w:hAnsi="Arial" w:cs="Arial"/>
          <w:szCs w:val="22"/>
        </w:rPr>
      </w:pPr>
      <w:r w:rsidRPr="0030358C">
        <w:rPr>
          <w:rFonts w:ascii="Arial" w:hAnsi="Arial" w:cs="Arial"/>
          <w:szCs w:val="22"/>
        </w:rPr>
        <w:t>4.    stacionárních zdrojů tepelně zpracovávajících odpad, pokud nemůže při jeho tepelném zpracování docházet ke znečišťování danou znečišťující látkou.</w:t>
      </w:r>
    </w:p>
    <w:p w14:paraId="1A53CC8F" w14:textId="77777777" w:rsidR="00A77B3E" w:rsidRPr="0030358C" w:rsidRDefault="00000000">
      <w:pPr>
        <w:pStyle w:val="11"/>
        <w:rPr>
          <w:rFonts w:ascii="Arial" w:hAnsi="Arial" w:cs="Arial"/>
          <w:sz w:val="22"/>
          <w:szCs w:val="22"/>
        </w:rPr>
      </w:pPr>
      <w:r w:rsidRPr="0030358C">
        <w:rPr>
          <w:rFonts w:ascii="Arial" w:hAnsi="Arial" w:cs="Arial"/>
          <w:sz w:val="22"/>
          <w:szCs w:val="22"/>
        </w:rPr>
        <w:t xml:space="preserve">(4)    Minimální doba jednorázového měření podle </w:t>
      </w:r>
      <w:hyperlink w:history="1">
        <w:r w:rsidR="00A77B3E" w:rsidRPr="0030358C">
          <w:rPr>
            <w:rFonts w:ascii="Arial" w:hAnsi="Arial" w:cs="Arial"/>
            <w:sz w:val="22"/>
            <w:szCs w:val="22"/>
          </w:rPr>
          <w:t>§ 3 odst. 1</w:t>
        </w:r>
      </w:hyperlink>
      <w:r w:rsidRPr="0030358C">
        <w:rPr>
          <w:rFonts w:ascii="Arial" w:hAnsi="Arial" w:cs="Arial"/>
          <w:sz w:val="22"/>
          <w:szCs w:val="22"/>
        </w:rPr>
        <w:t xml:space="preserve">, s výjimkou stacionárních zdrojů uvedených v </w:t>
      </w:r>
      <w:hyperlink w:history="1">
        <w:r w:rsidR="00A77B3E" w:rsidRPr="0030358C">
          <w:rPr>
            <w:rFonts w:ascii="Arial" w:hAnsi="Arial" w:cs="Arial"/>
            <w:sz w:val="22"/>
            <w:szCs w:val="22"/>
          </w:rPr>
          <w:t>odstavcích 6</w:t>
        </w:r>
      </w:hyperlink>
      <w:r w:rsidRPr="0030358C">
        <w:rPr>
          <w:rFonts w:ascii="Arial" w:hAnsi="Arial" w:cs="Arial"/>
          <w:sz w:val="22"/>
          <w:szCs w:val="22"/>
        </w:rPr>
        <w:t xml:space="preserve"> a </w:t>
      </w:r>
      <w:hyperlink w:history="1">
        <w:r w:rsidR="00A77B3E" w:rsidRPr="0030358C">
          <w:rPr>
            <w:rFonts w:ascii="Arial" w:hAnsi="Arial" w:cs="Arial"/>
            <w:sz w:val="22"/>
            <w:szCs w:val="22"/>
          </w:rPr>
          <w:t>7</w:t>
        </w:r>
      </w:hyperlink>
      <w:r w:rsidRPr="0030358C">
        <w:rPr>
          <w:rFonts w:ascii="Arial" w:hAnsi="Arial" w:cs="Arial"/>
          <w:sz w:val="22"/>
          <w:szCs w:val="22"/>
        </w:rPr>
        <w:t>, a při jednorázovém měření za použití přístrojů pro kontinuální měření je</w:t>
      </w:r>
    </w:p>
    <w:p w14:paraId="1BDB54A8" w14:textId="77777777" w:rsidR="00A77B3E" w:rsidRPr="0030358C" w:rsidRDefault="00000000">
      <w:pPr>
        <w:pStyle w:val="12"/>
        <w:rPr>
          <w:rFonts w:ascii="Arial" w:hAnsi="Arial" w:cs="Arial"/>
          <w:sz w:val="22"/>
          <w:szCs w:val="22"/>
        </w:rPr>
      </w:pPr>
      <w:r w:rsidRPr="0030358C">
        <w:rPr>
          <w:rFonts w:ascii="Arial" w:hAnsi="Arial" w:cs="Arial"/>
          <w:sz w:val="22"/>
          <w:szCs w:val="22"/>
        </w:rPr>
        <w:t>a)    6 hodin u stacionárních zdrojů při jmenovitém výkonu stacionárního zdroje, nebo</w:t>
      </w:r>
    </w:p>
    <w:p w14:paraId="484B682E" w14:textId="77777777" w:rsidR="00A77B3E" w:rsidRPr="0030358C" w:rsidRDefault="00000000">
      <w:pPr>
        <w:pStyle w:val="14"/>
        <w:rPr>
          <w:rFonts w:ascii="Arial" w:hAnsi="Arial" w:cs="Arial"/>
          <w:sz w:val="22"/>
          <w:szCs w:val="22"/>
        </w:rPr>
      </w:pPr>
      <w:r w:rsidRPr="0030358C">
        <w:rPr>
          <w:rFonts w:ascii="Arial" w:hAnsi="Arial" w:cs="Arial"/>
          <w:sz w:val="22"/>
          <w:szCs w:val="22"/>
        </w:rPr>
        <w:t>b)    u stacionárních zdrojů s periodickým, přerušovaným nebo šaržovitým způsobem výroby stanovena tak, že se jednorázové měření provádí po celou dobu trvání jednoho nebo více cyklů nebo šarží při jmenovitém výkonu stacionárního zdroje; trvá-li jeden cyklus nebo šarže méně než 4 hodiny včetně, zahrnuje jednorázové měření nejméně měření 3 cyklů nebo šarží, pokud je tato měření možné provést během jednoho dne; trvá-li jeden cyklus nebo šarže déle než 4 hodiny nebo není-li možné provést měření 3 cyklů nebo šarží během jednoho dne, měří se emise pouze po dobu trvání jednoho cyklu nebo šarže.</w:t>
      </w:r>
    </w:p>
    <w:p w14:paraId="0FE87A91" w14:textId="77777777" w:rsidR="00A77B3E" w:rsidRPr="0030358C" w:rsidRDefault="00000000">
      <w:pPr>
        <w:pStyle w:val="31"/>
        <w:rPr>
          <w:rFonts w:ascii="Arial" w:hAnsi="Arial" w:cs="Arial"/>
          <w:sz w:val="22"/>
          <w:szCs w:val="22"/>
        </w:rPr>
      </w:pPr>
      <w:r w:rsidRPr="0030358C">
        <w:rPr>
          <w:rFonts w:ascii="Arial" w:hAnsi="Arial" w:cs="Arial"/>
          <w:sz w:val="22"/>
          <w:szCs w:val="22"/>
        </w:rPr>
        <w:t>Pokud nelze u stacionárního zdroje dosáhnout z technických důvodů jmenovitého výkonu, provede se jednorázové měření při maximálním dosažitelném výkonu stacionárního zdroje.</w:t>
      </w:r>
    </w:p>
    <w:p w14:paraId="64B2B596" w14:textId="77777777" w:rsidR="00A77B3E" w:rsidRPr="0030358C" w:rsidRDefault="00000000">
      <w:pPr>
        <w:pStyle w:val="11"/>
        <w:rPr>
          <w:rFonts w:ascii="Arial" w:hAnsi="Arial" w:cs="Arial"/>
          <w:sz w:val="22"/>
          <w:szCs w:val="22"/>
        </w:rPr>
      </w:pPr>
      <w:r w:rsidRPr="0030358C">
        <w:rPr>
          <w:rFonts w:ascii="Arial" w:hAnsi="Arial" w:cs="Arial"/>
          <w:sz w:val="22"/>
          <w:szCs w:val="22"/>
        </w:rPr>
        <w:t xml:space="preserve">(5)    Minimální doba jednorázového měření podle </w:t>
      </w:r>
      <w:hyperlink w:history="1">
        <w:r w:rsidR="00A77B3E" w:rsidRPr="0030358C">
          <w:rPr>
            <w:rFonts w:ascii="Arial" w:hAnsi="Arial" w:cs="Arial"/>
            <w:sz w:val="22"/>
            <w:szCs w:val="22"/>
          </w:rPr>
          <w:t>§ 3 odst. 3</w:t>
        </w:r>
      </w:hyperlink>
      <w:r w:rsidRPr="0030358C">
        <w:rPr>
          <w:rFonts w:ascii="Arial" w:hAnsi="Arial" w:cs="Arial"/>
          <w:sz w:val="22"/>
          <w:szCs w:val="22"/>
        </w:rPr>
        <w:t xml:space="preserve">, s výjimkou stacionárních zdrojů uvedených v </w:t>
      </w:r>
      <w:hyperlink w:history="1">
        <w:r w:rsidR="00A77B3E" w:rsidRPr="0030358C">
          <w:rPr>
            <w:rFonts w:ascii="Arial" w:hAnsi="Arial" w:cs="Arial"/>
            <w:sz w:val="22"/>
            <w:szCs w:val="22"/>
          </w:rPr>
          <w:t>odstavcích 6</w:t>
        </w:r>
      </w:hyperlink>
      <w:r w:rsidRPr="0030358C">
        <w:rPr>
          <w:rFonts w:ascii="Arial" w:hAnsi="Arial" w:cs="Arial"/>
          <w:sz w:val="22"/>
          <w:szCs w:val="22"/>
        </w:rPr>
        <w:t xml:space="preserve"> a </w:t>
      </w:r>
      <w:hyperlink w:history="1">
        <w:r w:rsidR="00A77B3E" w:rsidRPr="0030358C">
          <w:rPr>
            <w:rFonts w:ascii="Arial" w:hAnsi="Arial" w:cs="Arial"/>
            <w:sz w:val="22"/>
            <w:szCs w:val="22"/>
          </w:rPr>
          <w:t>7</w:t>
        </w:r>
      </w:hyperlink>
      <w:r w:rsidRPr="0030358C">
        <w:rPr>
          <w:rFonts w:ascii="Arial" w:hAnsi="Arial" w:cs="Arial"/>
          <w:sz w:val="22"/>
          <w:szCs w:val="22"/>
        </w:rPr>
        <w:t>, a při jednorázovém měření za použití přístrojů pro kontinuální měření je</w:t>
      </w:r>
    </w:p>
    <w:p w14:paraId="36ED1C13" w14:textId="77777777" w:rsidR="00A77B3E" w:rsidRPr="0030358C" w:rsidRDefault="00000000">
      <w:pPr>
        <w:pStyle w:val="12"/>
        <w:rPr>
          <w:rFonts w:ascii="Arial" w:hAnsi="Arial" w:cs="Arial"/>
          <w:sz w:val="22"/>
          <w:szCs w:val="22"/>
        </w:rPr>
      </w:pPr>
      <w:r w:rsidRPr="0030358C">
        <w:rPr>
          <w:rFonts w:ascii="Arial" w:hAnsi="Arial" w:cs="Arial"/>
          <w:sz w:val="22"/>
          <w:szCs w:val="22"/>
        </w:rPr>
        <w:t>a)    6 hodin při obvyklém provozním výkonu stacionárního zdroje, nebo</w:t>
      </w:r>
    </w:p>
    <w:p w14:paraId="415AE3E9" w14:textId="77777777" w:rsidR="00A77B3E" w:rsidRPr="0030358C" w:rsidRDefault="00000000">
      <w:pPr>
        <w:pStyle w:val="14"/>
        <w:rPr>
          <w:rFonts w:ascii="Arial" w:hAnsi="Arial" w:cs="Arial"/>
          <w:sz w:val="22"/>
          <w:szCs w:val="22"/>
        </w:rPr>
      </w:pPr>
      <w:r w:rsidRPr="0030358C">
        <w:rPr>
          <w:rFonts w:ascii="Arial" w:hAnsi="Arial" w:cs="Arial"/>
          <w:sz w:val="22"/>
          <w:szCs w:val="22"/>
        </w:rPr>
        <w:t>b)    u stacionárních zdrojů s periodickým, přerušovaným nebo šaržovitým způsobem výroby stanovena tak, že se jednorázové měření provádí po celou dobu trvání jednoho nebo více cyklů nebo šarží při obvyklém provozním výkonu zdroje; trvá-li jeden cyklus nebo šarže méně než 4 hodiny včetně, zahrnuje jednorázové měření nejméně měření 3 cyklů nebo šarží, pokud je tato měření možné provést během jednoho dne; trvá-li jeden cyklus nebo šarže déle než 4 hodiny nebo není-li možné provést měření 3 cyklů nebo šarží během jednoho dne, měří se emise pouze po dobu trvání jednoho cyklu nebo šarže.</w:t>
      </w:r>
    </w:p>
    <w:p w14:paraId="56E647C5" w14:textId="77777777" w:rsidR="00A77B3E" w:rsidRPr="0030358C" w:rsidRDefault="00000000">
      <w:pPr>
        <w:pStyle w:val="11"/>
        <w:rPr>
          <w:rFonts w:ascii="Arial" w:hAnsi="Arial" w:cs="Arial"/>
          <w:sz w:val="22"/>
          <w:szCs w:val="22"/>
        </w:rPr>
      </w:pPr>
      <w:r w:rsidRPr="0030358C">
        <w:rPr>
          <w:rFonts w:ascii="Arial" w:hAnsi="Arial" w:cs="Arial"/>
          <w:sz w:val="22"/>
          <w:szCs w:val="22"/>
        </w:rPr>
        <w:t xml:space="preserve">(6)    U spalovacích stacionárních zdrojů podle </w:t>
      </w:r>
      <w:hyperlink w:history="1">
        <w:r w:rsidR="00A77B3E" w:rsidRPr="0030358C">
          <w:rPr>
            <w:rFonts w:ascii="Arial" w:hAnsi="Arial" w:cs="Arial"/>
            <w:sz w:val="22"/>
            <w:szCs w:val="22"/>
          </w:rPr>
          <w:t>§ 13</w:t>
        </w:r>
      </w:hyperlink>
      <w:r w:rsidRPr="0030358C">
        <w:rPr>
          <w:rFonts w:ascii="Arial" w:hAnsi="Arial" w:cs="Arial"/>
          <w:sz w:val="22"/>
          <w:szCs w:val="22"/>
        </w:rPr>
        <w:t xml:space="preserve"> o jmenovitém tepelném příkonu do 5 MW včetně spalujících výhradně lehký topný olej, naftu, zemní plyn, degazační plyn, zkapalněný zemní plyn, vodík nebo zkapalněné ropné plyny a jejich směsi lze jednorázové měření oxidu uhelnatého a oxidů dusíku provádět potenciometricky přímým měřením přístroji s elektrochemickými články nebo jinými přístroji pro kontinuální měření emisí. V takovém případě se provádí nejméně</w:t>
      </w:r>
    </w:p>
    <w:p w14:paraId="5B5C4082" w14:textId="77777777" w:rsidR="00A77B3E" w:rsidRPr="0030358C" w:rsidRDefault="00000000">
      <w:pPr>
        <w:pStyle w:val="12"/>
        <w:rPr>
          <w:rFonts w:ascii="Arial" w:hAnsi="Arial" w:cs="Arial"/>
          <w:sz w:val="22"/>
          <w:szCs w:val="22"/>
        </w:rPr>
      </w:pPr>
      <w:r w:rsidRPr="0030358C">
        <w:rPr>
          <w:rFonts w:ascii="Arial" w:hAnsi="Arial" w:cs="Arial"/>
          <w:sz w:val="22"/>
          <w:szCs w:val="22"/>
        </w:rPr>
        <w:t>a)    3 jednotlivá měření, každé v trvání minimálně 15 minut nepřetržitě s periodou ukládání měřené hodnoty rovnou nebo kratší než 30 sekund u stacionárního zdroje s neměnnými provozními podmínkami, provedená v časovém intervalu minimálně 45 minut, nebo</w:t>
      </w:r>
    </w:p>
    <w:p w14:paraId="7D23A34C" w14:textId="77777777" w:rsidR="00A77B3E" w:rsidRPr="0030358C" w:rsidRDefault="00000000">
      <w:pPr>
        <w:pStyle w:val="14"/>
        <w:rPr>
          <w:rFonts w:ascii="Arial" w:hAnsi="Arial" w:cs="Arial"/>
          <w:sz w:val="22"/>
          <w:szCs w:val="22"/>
        </w:rPr>
      </w:pPr>
      <w:r w:rsidRPr="0030358C">
        <w:rPr>
          <w:rFonts w:ascii="Arial" w:hAnsi="Arial" w:cs="Arial"/>
          <w:sz w:val="22"/>
          <w:szCs w:val="22"/>
        </w:rPr>
        <w:lastRenderedPageBreak/>
        <w:t>b)    6 jednotlivých měření, každé v trvání minimálně 15 minut nepřetržitě s periodou ukládání měřené hodnoty rovnou nebo kratší než 30 sekund u stacionárního zdroje s proměnnými provozními podmínkami, provedených v časovém intervalu minimálně 90 minut.</w:t>
      </w:r>
    </w:p>
    <w:p w14:paraId="5B3CA646" w14:textId="77777777" w:rsidR="00A77B3E" w:rsidRPr="0030358C" w:rsidRDefault="00000000">
      <w:pPr>
        <w:pStyle w:val="24"/>
        <w:rPr>
          <w:rFonts w:ascii="Arial" w:hAnsi="Arial" w:cs="Arial"/>
          <w:sz w:val="22"/>
          <w:szCs w:val="22"/>
        </w:rPr>
      </w:pPr>
      <w:r w:rsidRPr="0030358C">
        <w:rPr>
          <w:rFonts w:ascii="Arial" w:hAnsi="Arial" w:cs="Arial"/>
          <w:sz w:val="22"/>
          <w:szCs w:val="22"/>
        </w:rPr>
        <w:t>(7)    U stacionárního zdroje vybaveného technologií ke snižování emisí tuhých znečišťujících látek s výstupní koncentrací nižší než 50 mg.m</w:t>
      </w:r>
      <w:r w:rsidRPr="0030358C">
        <w:rPr>
          <w:rFonts w:ascii="Arial" w:hAnsi="Arial" w:cs="Arial"/>
          <w:sz w:val="22"/>
          <w:szCs w:val="22"/>
          <w:vertAlign w:val="superscript"/>
        </w:rPr>
        <w:t>-3</w:t>
      </w:r>
      <w:r w:rsidRPr="0030358C">
        <w:rPr>
          <w:rFonts w:ascii="Arial" w:hAnsi="Arial" w:cs="Arial"/>
          <w:sz w:val="22"/>
          <w:szCs w:val="22"/>
        </w:rPr>
        <w:t xml:space="preserve"> za provozních stavových podmínek a s emisním limitem stanoveným pro tuhé znečišťující látky se provádí 3 jednotlivá měření koncentrace tuhých znečišťujících látek. Doba odběru dílčích na sebe navazujících vzorků se přizpůsobí očekávaným koncentracím v souladu s požadavky této vyhlášky, technickými normami pro jednorázové měření a podmínkami stanovenými v povolení provozu, minimálně však v trvání nepřetržitě 30 minut pro každé dílčí měření.</w:t>
      </w:r>
    </w:p>
    <w:p w14:paraId="40C3BB73" w14:textId="77777777" w:rsidR="00A77B3E" w:rsidRPr="0030358C" w:rsidRDefault="00000000">
      <w:pPr>
        <w:pStyle w:val="25"/>
        <w:rPr>
          <w:rFonts w:ascii="Arial" w:hAnsi="Arial" w:cs="Arial"/>
          <w:sz w:val="22"/>
          <w:szCs w:val="22"/>
        </w:rPr>
      </w:pPr>
      <w:r w:rsidRPr="0030358C">
        <w:rPr>
          <w:rFonts w:ascii="Arial" w:hAnsi="Arial" w:cs="Arial"/>
          <w:sz w:val="22"/>
          <w:szCs w:val="22"/>
        </w:rPr>
        <w:t>(8)    Jednorázové měření emisí se u spalovacích stacionárních zdrojů o celkovém jmenovitém tepelném příkonu nižším než 50 MW provádí při stabilních provozních podmínkách a při reprezentativní a rovnoměrné zátěži, přičemž do výsledků jednorázového měření emisí se nezapočítávají hodnoty získané v době uvádění stacionárního zdroje do provozu a při jeho odstavování z provozu. V případě, že tyto zdroje používají více druhů paliv, se měření emisí provádí při spalování paliva nebo palivové směsi s pravděpodobně nejvyšší hodnotou emisí a v době, která je s ohledem na běžné provozní podmínky reprezentativní.</w:t>
      </w:r>
    </w:p>
    <w:p w14:paraId="2FFAF376" w14:textId="77777777" w:rsidR="00A808A4" w:rsidRPr="0030358C" w:rsidRDefault="00000000">
      <w:pPr>
        <w:pStyle w:val="25"/>
        <w:rPr>
          <w:rFonts w:ascii="Arial" w:hAnsi="Arial" w:cs="Arial"/>
          <w:b/>
          <w:bCs/>
          <w:sz w:val="22"/>
          <w:szCs w:val="22"/>
        </w:rPr>
      </w:pPr>
      <w:r w:rsidRPr="0030358C">
        <w:rPr>
          <w:rFonts w:ascii="Arial" w:hAnsi="Arial" w:cs="Arial"/>
          <w:b/>
          <w:bCs/>
          <w:sz w:val="22"/>
          <w:szCs w:val="22"/>
        </w:rPr>
        <w:t xml:space="preserve">(9)  </w:t>
      </w:r>
      <w:bookmarkStart w:id="18" w:name="_Hlk181615252"/>
      <w:r w:rsidRPr="0030358C">
        <w:rPr>
          <w:rFonts w:ascii="Arial" w:hAnsi="Arial" w:cs="Arial"/>
          <w:b/>
          <w:bCs/>
          <w:sz w:val="22"/>
          <w:szCs w:val="22"/>
        </w:rPr>
        <w:t xml:space="preserve">U stacionárních zdrojů tepelně zpracovávajících odpad se do výsledků jednorázového měření emisí nezapočítávají hodnoty získané v době </w:t>
      </w:r>
      <w:r w:rsidR="006225F8" w:rsidRPr="0030358C">
        <w:rPr>
          <w:rFonts w:ascii="Arial" w:hAnsi="Arial" w:cs="Arial"/>
          <w:b/>
          <w:bCs/>
          <w:sz w:val="22"/>
          <w:szCs w:val="22"/>
        </w:rPr>
        <w:t xml:space="preserve">plánovaného </w:t>
      </w:r>
      <w:r w:rsidRPr="0030358C">
        <w:rPr>
          <w:rFonts w:ascii="Arial" w:hAnsi="Arial" w:cs="Arial"/>
          <w:b/>
          <w:bCs/>
          <w:sz w:val="22"/>
          <w:szCs w:val="22"/>
        </w:rPr>
        <w:t>uvádění stacionárního zdroje do provozu a při jeho</w:t>
      </w:r>
      <w:r w:rsidR="006225F8" w:rsidRPr="0030358C">
        <w:rPr>
          <w:rFonts w:ascii="Arial" w:hAnsi="Arial" w:cs="Arial"/>
          <w:b/>
          <w:bCs/>
          <w:sz w:val="22"/>
          <w:szCs w:val="22"/>
        </w:rPr>
        <w:t xml:space="preserve"> plánovaném</w:t>
      </w:r>
      <w:r w:rsidRPr="0030358C">
        <w:rPr>
          <w:rFonts w:ascii="Arial" w:hAnsi="Arial" w:cs="Arial"/>
          <w:b/>
          <w:bCs/>
          <w:sz w:val="22"/>
          <w:szCs w:val="22"/>
        </w:rPr>
        <w:t xml:space="preserve"> odstavování z</w:t>
      </w:r>
      <w:r w:rsidR="00424065" w:rsidRPr="0030358C">
        <w:rPr>
          <w:rFonts w:ascii="Arial" w:hAnsi="Arial" w:cs="Arial"/>
          <w:b/>
          <w:bCs/>
          <w:sz w:val="22"/>
          <w:szCs w:val="22"/>
        </w:rPr>
        <w:t> </w:t>
      </w:r>
      <w:r w:rsidRPr="0030358C">
        <w:rPr>
          <w:rFonts w:ascii="Arial" w:hAnsi="Arial" w:cs="Arial"/>
          <w:b/>
          <w:bCs/>
          <w:sz w:val="22"/>
          <w:szCs w:val="22"/>
        </w:rPr>
        <w:t>provozu</w:t>
      </w:r>
      <w:r w:rsidR="00424065" w:rsidRPr="0030358C">
        <w:rPr>
          <w:rFonts w:ascii="Arial" w:hAnsi="Arial" w:cs="Arial"/>
          <w:b/>
          <w:bCs/>
          <w:sz w:val="22"/>
          <w:szCs w:val="22"/>
        </w:rPr>
        <w:t xml:space="preserve"> prováděném podle § 3 odst. 3 písm. b) bodu 12</w:t>
      </w:r>
      <w:r w:rsidRPr="0030358C">
        <w:rPr>
          <w:rFonts w:ascii="Arial" w:hAnsi="Arial" w:cs="Arial"/>
          <w:b/>
          <w:bCs/>
          <w:sz w:val="22"/>
          <w:szCs w:val="22"/>
        </w:rPr>
        <w:t>.</w:t>
      </w:r>
    </w:p>
    <w:bookmarkEnd w:id="18"/>
    <w:p w14:paraId="495AB0B0" w14:textId="77777777" w:rsidR="00A808A4" w:rsidRPr="0030358C" w:rsidRDefault="00A808A4">
      <w:pPr>
        <w:pStyle w:val="25"/>
        <w:rPr>
          <w:rFonts w:ascii="Arial" w:hAnsi="Arial" w:cs="Arial"/>
          <w:b/>
          <w:bCs/>
          <w:sz w:val="22"/>
          <w:szCs w:val="22"/>
        </w:rPr>
      </w:pPr>
    </w:p>
    <w:p w14:paraId="373919F8" w14:textId="77777777" w:rsidR="00A77B3E" w:rsidRPr="0030358C" w:rsidRDefault="00000000">
      <w:pPr>
        <w:pStyle w:val="15"/>
        <w:rPr>
          <w:rFonts w:ascii="Arial" w:hAnsi="Arial" w:cs="Arial"/>
          <w:sz w:val="22"/>
          <w:szCs w:val="22"/>
        </w:rPr>
      </w:pPr>
      <w:r w:rsidRPr="0030358C">
        <w:rPr>
          <w:rFonts w:ascii="Arial" w:hAnsi="Arial" w:cs="Arial"/>
          <w:sz w:val="22"/>
          <w:szCs w:val="22"/>
        </w:rPr>
        <w:t>§ 5</w:t>
      </w:r>
    </w:p>
    <w:p w14:paraId="24A60441" w14:textId="77777777" w:rsidR="00A77B3E" w:rsidRPr="0030358C" w:rsidRDefault="00000000">
      <w:pPr>
        <w:pStyle w:val="10"/>
        <w:rPr>
          <w:rFonts w:ascii="Arial" w:hAnsi="Arial" w:cs="Arial"/>
          <w:sz w:val="22"/>
          <w:szCs w:val="22"/>
        </w:rPr>
      </w:pPr>
      <w:r w:rsidRPr="0030358C">
        <w:rPr>
          <w:rFonts w:ascii="Arial" w:hAnsi="Arial" w:cs="Arial"/>
          <w:sz w:val="22"/>
          <w:szCs w:val="22"/>
        </w:rPr>
        <w:t>Vyhodnocení jednorázového měření</w:t>
      </w:r>
    </w:p>
    <w:p w14:paraId="0FFDFE31"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6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0744FA" w:rsidRPr="0030358C">
        <w:rPr>
          <w:rFonts w:ascii="Arial" w:hAnsi="Arial" w:cs="Arial"/>
          <w:sz w:val="22"/>
          <w:szCs w:val="22"/>
          <w:highlight w:val="yellow"/>
        </w:rPr>
        <w:t>10</w:t>
      </w:r>
      <w:r w:rsidR="000744FA"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1E0D69B5" w14:textId="77777777" w:rsidR="00A77B3E" w:rsidRPr="0030358C" w:rsidRDefault="00000000">
      <w:pPr>
        <w:pStyle w:val="11"/>
        <w:rPr>
          <w:rFonts w:ascii="Arial" w:hAnsi="Arial" w:cs="Arial"/>
          <w:sz w:val="22"/>
          <w:szCs w:val="22"/>
        </w:rPr>
      </w:pPr>
      <w:r w:rsidRPr="0030358C">
        <w:rPr>
          <w:rFonts w:ascii="Arial" w:hAnsi="Arial" w:cs="Arial"/>
          <w:sz w:val="22"/>
          <w:szCs w:val="22"/>
        </w:rPr>
        <w:t>(1)    Výsledky jednorázového měření se vyhodnotí</w:t>
      </w:r>
    </w:p>
    <w:p w14:paraId="039CF84F" w14:textId="77777777" w:rsidR="00A77B3E" w:rsidRPr="0030358C" w:rsidRDefault="00000000">
      <w:pPr>
        <w:pStyle w:val="12"/>
        <w:rPr>
          <w:rFonts w:ascii="Arial" w:hAnsi="Arial" w:cs="Arial"/>
          <w:sz w:val="22"/>
          <w:szCs w:val="22"/>
        </w:rPr>
      </w:pPr>
      <w:r w:rsidRPr="0030358C">
        <w:rPr>
          <w:rFonts w:ascii="Arial" w:hAnsi="Arial" w:cs="Arial"/>
          <w:sz w:val="22"/>
          <w:szCs w:val="22"/>
        </w:rPr>
        <w:t>a)    při použití manuálních metod jako hodnota váženého průměru podle doby odběru jednotlivých vzorků za celé měření z výsledků jednotlivých měření vyjádřených po přepočtu na stanovené stavové a referenční podmínky,</w:t>
      </w:r>
    </w:p>
    <w:p w14:paraId="37EEA0FA" w14:textId="77777777" w:rsidR="00A77B3E" w:rsidRPr="0030358C" w:rsidRDefault="00000000">
      <w:pPr>
        <w:pStyle w:val="13"/>
        <w:rPr>
          <w:rFonts w:ascii="Arial" w:hAnsi="Arial" w:cs="Arial"/>
          <w:sz w:val="22"/>
          <w:szCs w:val="22"/>
        </w:rPr>
      </w:pPr>
      <w:r w:rsidRPr="0030358C">
        <w:rPr>
          <w:rFonts w:ascii="Arial" w:hAnsi="Arial" w:cs="Arial"/>
          <w:sz w:val="22"/>
          <w:szCs w:val="22"/>
        </w:rPr>
        <w:t>b)    při použití přístrojů pro kontinuální měření jako průměrné hodnoty za každých 30 minut měření vyjádřené po přepočtu na stanovené stavové a referenční podmínky a jako aritmetický průměr těchto hodnot za celé měření, nebo</w:t>
      </w:r>
    </w:p>
    <w:p w14:paraId="58A26C16" w14:textId="77777777" w:rsidR="00A77B3E" w:rsidRPr="0030358C" w:rsidRDefault="00000000">
      <w:pPr>
        <w:pStyle w:val="14"/>
        <w:rPr>
          <w:rFonts w:ascii="Arial" w:hAnsi="Arial" w:cs="Arial"/>
          <w:sz w:val="22"/>
          <w:szCs w:val="22"/>
        </w:rPr>
      </w:pPr>
      <w:r w:rsidRPr="0030358C">
        <w:rPr>
          <w:rFonts w:ascii="Arial" w:hAnsi="Arial" w:cs="Arial"/>
          <w:sz w:val="22"/>
          <w:szCs w:val="22"/>
        </w:rPr>
        <w:t xml:space="preserve">c)    při použití přístrojů s elektrochemickými články nebo jiných přístrojů pro kontinuální měření emisí k měření podle </w:t>
      </w:r>
      <w:hyperlink w:history="1">
        <w:r w:rsidR="00A77B3E" w:rsidRPr="0030358C">
          <w:rPr>
            <w:rFonts w:ascii="Arial" w:hAnsi="Arial" w:cs="Arial"/>
            <w:sz w:val="22"/>
            <w:szCs w:val="22"/>
          </w:rPr>
          <w:t>§ 4 odst. 6</w:t>
        </w:r>
      </w:hyperlink>
      <w:r w:rsidRPr="0030358C">
        <w:rPr>
          <w:rFonts w:ascii="Arial" w:hAnsi="Arial" w:cs="Arial"/>
          <w:sz w:val="22"/>
          <w:szCs w:val="22"/>
        </w:rPr>
        <w:t xml:space="preserve"> jako průměrné hodnoty za každých 15 minut měření vyjádřené po přepočtu na stanovené stavové a referenční podmínky a jako aritmetický průměr těchto hodnot za celé měření.</w:t>
      </w:r>
    </w:p>
    <w:p w14:paraId="6A197CF4" w14:textId="77777777" w:rsidR="00A77B3E" w:rsidRPr="0030358C" w:rsidRDefault="00000000">
      <w:pPr>
        <w:pStyle w:val="24"/>
        <w:rPr>
          <w:rFonts w:ascii="Arial" w:hAnsi="Arial" w:cs="Arial"/>
          <w:sz w:val="22"/>
          <w:szCs w:val="22"/>
        </w:rPr>
      </w:pPr>
      <w:r w:rsidRPr="0030358C">
        <w:rPr>
          <w:rFonts w:ascii="Arial" w:hAnsi="Arial" w:cs="Arial"/>
          <w:sz w:val="22"/>
          <w:szCs w:val="22"/>
        </w:rPr>
        <w:t>(2)    U stacionárních zdrojů tepelně zpracovávajících nebezpečný odpad s instalovanou technologií ke snižování emisí je přepočet na referenční obsah kyslíku prováděn pouze tehdy, pokud zjištěný obsah kyslíku po dobu měření emisí překračuje stanovenou hodnotu referenčního obsahu kyslíku. U stacionárních zdrojů tepelně zpracovávajících odpad se nepoužije přepočet na referenční obsah kyslíku v případě jeho spalování v atmosféře obohacené kyslíkem.</w:t>
      </w:r>
    </w:p>
    <w:p w14:paraId="6EDB8B3B" w14:textId="77777777" w:rsidR="00A77B3E" w:rsidRPr="0030358C" w:rsidRDefault="00000000">
      <w:pPr>
        <w:pStyle w:val="30"/>
        <w:rPr>
          <w:rFonts w:ascii="Arial" w:hAnsi="Arial" w:cs="Arial"/>
          <w:sz w:val="22"/>
          <w:szCs w:val="22"/>
        </w:rPr>
      </w:pPr>
      <w:r w:rsidRPr="0030358C">
        <w:rPr>
          <w:rFonts w:ascii="Arial" w:hAnsi="Arial" w:cs="Arial"/>
          <w:sz w:val="22"/>
          <w:szCs w:val="22"/>
        </w:rPr>
        <w:t>(3)    Vyhodnocení jednorázového měření obsahuje údaje o hmotnostní koncentraci znečišťující látky, jejím hmotnostním toku, měrné výrobní emisi zpracované tak, aby je bylo možno porovnat s emisními limity, a dále specifikaci provozních a stavových podmínek, za nichž bylo měření na stacionárních zdrojích provedeno.</w:t>
      </w:r>
    </w:p>
    <w:p w14:paraId="77795A87" w14:textId="77777777" w:rsidR="00A77B3E" w:rsidRPr="0030358C" w:rsidRDefault="00000000">
      <w:pPr>
        <w:pStyle w:val="25"/>
        <w:rPr>
          <w:rFonts w:ascii="Arial" w:hAnsi="Arial" w:cs="Arial"/>
          <w:sz w:val="22"/>
          <w:szCs w:val="22"/>
        </w:rPr>
      </w:pPr>
      <w:r w:rsidRPr="0030358C">
        <w:rPr>
          <w:rFonts w:ascii="Arial" w:hAnsi="Arial" w:cs="Arial"/>
          <w:sz w:val="22"/>
          <w:szCs w:val="22"/>
        </w:rPr>
        <w:lastRenderedPageBreak/>
        <w:t xml:space="preserve">(4)    Hodnoty koncentrací PCDD, PCDF a polychlorovaných bifenylů se stanoví jako součty hodnot hmotnostních koncentrací jednotlivých PCDD, PCDF a polychlorovaných bifenylů vynásobených koeficienty ekvivalentů toxicity uvedenými v </w:t>
      </w:r>
      <w:hyperlink w:history="1">
        <w:r w:rsidR="00A77B3E" w:rsidRPr="0030358C">
          <w:rPr>
            <w:rFonts w:ascii="Arial" w:hAnsi="Arial" w:cs="Arial"/>
            <w:sz w:val="22"/>
            <w:szCs w:val="22"/>
          </w:rPr>
          <w:t>části II</w:t>
        </w:r>
      </w:hyperlink>
      <w:r w:rsidRPr="0030358C">
        <w:rPr>
          <w:rFonts w:ascii="Arial" w:hAnsi="Arial" w:cs="Arial"/>
          <w:sz w:val="22"/>
          <w:szCs w:val="22"/>
        </w:rPr>
        <w:t xml:space="preserve"> </w:t>
      </w:r>
      <w:hyperlink w:history="1">
        <w:r w:rsidR="00A77B3E" w:rsidRPr="0030358C">
          <w:rPr>
            <w:rFonts w:ascii="Arial" w:hAnsi="Arial" w:cs="Arial"/>
            <w:sz w:val="22"/>
            <w:szCs w:val="22"/>
          </w:rPr>
          <w:t>přílohy č. 1.</w:t>
        </w:r>
      </w:hyperlink>
    </w:p>
    <w:p w14:paraId="0592F63E" w14:textId="77777777" w:rsidR="00A77B3E" w:rsidRPr="0030358C" w:rsidRDefault="00000000">
      <w:pPr>
        <w:pStyle w:val="15"/>
        <w:rPr>
          <w:rFonts w:ascii="Arial" w:hAnsi="Arial" w:cs="Arial"/>
          <w:sz w:val="22"/>
          <w:szCs w:val="22"/>
        </w:rPr>
      </w:pPr>
      <w:r w:rsidRPr="0030358C">
        <w:rPr>
          <w:rFonts w:ascii="Arial" w:hAnsi="Arial" w:cs="Arial"/>
          <w:sz w:val="22"/>
          <w:szCs w:val="22"/>
        </w:rPr>
        <w:t>§ 6</w:t>
      </w:r>
    </w:p>
    <w:p w14:paraId="71FD4C1D" w14:textId="77777777" w:rsidR="00A77B3E" w:rsidRPr="0030358C" w:rsidRDefault="00000000">
      <w:pPr>
        <w:pStyle w:val="10"/>
        <w:rPr>
          <w:rFonts w:ascii="Arial" w:hAnsi="Arial" w:cs="Arial"/>
          <w:sz w:val="22"/>
          <w:szCs w:val="22"/>
        </w:rPr>
      </w:pPr>
      <w:r w:rsidRPr="0030358C">
        <w:rPr>
          <w:rFonts w:ascii="Arial" w:hAnsi="Arial" w:cs="Arial"/>
          <w:sz w:val="22"/>
          <w:szCs w:val="22"/>
        </w:rPr>
        <w:t>Vyhodnocení plnění emisních limitů při jednorázovém měření</w:t>
      </w:r>
    </w:p>
    <w:p w14:paraId="1D5DD917"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4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0744FA" w:rsidRPr="0030358C">
        <w:rPr>
          <w:rFonts w:ascii="Arial" w:hAnsi="Arial" w:cs="Arial"/>
          <w:sz w:val="22"/>
          <w:szCs w:val="22"/>
          <w:highlight w:val="yellow"/>
        </w:rPr>
        <w:t>7</w:t>
      </w:r>
      <w:r w:rsidR="000744FA"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345E1834" w14:textId="77777777" w:rsidR="00A77B3E" w:rsidRPr="0030358C" w:rsidRDefault="00000000">
      <w:pPr>
        <w:pStyle w:val="16"/>
        <w:rPr>
          <w:rFonts w:ascii="Arial" w:hAnsi="Arial" w:cs="Arial"/>
          <w:sz w:val="22"/>
          <w:szCs w:val="22"/>
        </w:rPr>
      </w:pPr>
      <w:r w:rsidRPr="0030358C">
        <w:rPr>
          <w:rFonts w:ascii="Arial" w:hAnsi="Arial" w:cs="Arial"/>
          <w:sz w:val="22"/>
          <w:szCs w:val="22"/>
        </w:rPr>
        <w:t>Emisní limit se považuje za dodržený, pokud</w:t>
      </w:r>
    </w:p>
    <w:p w14:paraId="18D35C5C" w14:textId="77777777" w:rsidR="00A77B3E" w:rsidRPr="0030358C" w:rsidRDefault="00000000">
      <w:pPr>
        <w:pStyle w:val="21"/>
        <w:rPr>
          <w:rFonts w:ascii="Arial" w:hAnsi="Arial" w:cs="Arial"/>
          <w:sz w:val="22"/>
          <w:szCs w:val="22"/>
        </w:rPr>
      </w:pPr>
      <w:r w:rsidRPr="0030358C">
        <w:rPr>
          <w:rFonts w:ascii="Arial" w:hAnsi="Arial" w:cs="Arial"/>
          <w:sz w:val="22"/>
          <w:szCs w:val="22"/>
        </w:rPr>
        <w:t xml:space="preserve">a)    průměr výsledků jednotlivých měření koncentrace znečišťující látky za celé jednorázové měření emisí provedené podle </w:t>
      </w:r>
      <w:hyperlink w:history="1">
        <w:r w:rsidR="00A77B3E" w:rsidRPr="0030358C">
          <w:rPr>
            <w:rFonts w:ascii="Arial" w:hAnsi="Arial" w:cs="Arial"/>
            <w:sz w:val="22"/>
            <w:szCs w:val="22"/>
          </w:rPr>
          <w:t>§ 4 odst. 3 až 7</w:t>
        </w:r>
      </w:hyperlink>
      <w:r w:rsidRPr="0030358C">
        <w:rPr>
          <w:rFonts w:ascii="Arial" w:hAnsi="Arial" w:cs="Arial"/>
          <w:sz w:val="22"/>
          <w:szCs w:val="22"/>
        </w:rPr>
        <w:t xml:space="preserve"> je menší nebo roven hodnotě emisního limitu a současně každá hodnota koncentrace znečišťující látky zjištěná jednotlivým měřením je menší než 120 % emisního limitu; obdobně se hodnotí dodržení emisního limitu, je-li vyjádřen jinou měřitelnou veličinou než hmotnostní koncentrací znečišťující látky, a</w:t>
      </w:r>
    </w:p>
    <w:p w14:paraId="7F8AE440" w14:textId="77777777" w:rsidR="00B1327B" w:rsidRPr="0030358C" w:rsidRDefault="00000000" w:rsidP="000744FA">
      <w:pPr>
        <w:pStyle w:val="23"/>
        <w:rPr>
          <w:rFonts w:ascii="Arial" w:hAnsi="Arial" w:cs="Arial"/>
          <w:sz w:val="22"/>
          <w:szCs w:val="22"/>
        </w:rPr>
      </w:pPr>
      <w:r w:rsidRPr="0030358C">
        <w:rPr>
          <w:rFonts w:ascii="Arial" w:hAnsi="Arial" w:cs="Arial"/>
          <w:sz w:val="22"/>
          <w:szCs w:val="22"/>
        </w:rPr>
        <w:t>b)    u stacionárních zdrojů tepelně zpracovávajících odpad žádná z hodnot koncentrací znečišťujících látek za dobu vzorkování těžkých kovů, PCDD a PCDF nepřekročí hodnoty specifických emisních limitů.</w:t>
      </w:r>
    </w:p>
    <w:p w14:paraId="0E635940" w14:textId="77777777" w:rsidR="00B1327B" w:rsidRPr="0030358C" w:rsidRDefault="00000000" w:rsidP="00B1327B">
      <w:pPr>
        <w:pStyle w:val="23"/>
        <w:jc w:val="center"/>
        <w:rPr>
          <w:rFonts w:ascii="Arial" w:hAnsi="Arial" w:cs="Arial"/>
          <w:b/>
          <w:bCs/>
          <w:sz w:val="22"/>
          <w:szCs w:val="22"/>
        </w:rPr>
      </w:pPr>
      <w:bookmarkStart w:id="19" w:name="_Hlk178586382"/>
      <w:r w:rsidRPr="0030358C">
        <w:rPr>
          <w:rFonts w:ascii="Arial" w:hAnsi="Arial" w:cs="Arial"/>
          <w:b/>
          <w:bCs/>
          <w:sz w:val="22"/>
          <w:szCs w:val="22"/>
        </w:rPr>
        <w:t>§ 6a</w:t>
      </w:r>
    </w:p>
    <w:p w14:paraId="1463923E" w14:textId="77777777" w:rsidR="00B1327B" w:rsidRPr="0030358C" w:rsidRDefault="00000000" w:rsidP="00B1327B">
      <w:pPr>
        <w:pStyle w:val="23"/>
        <w:jc w:val="center"/>
        <w:rPr>
          <w:rFonts w:ascii="Arial" w:hAnsi="Arial" w:cs="Arial"/>
          <w:b/>
          <w:bCs/>
          <w:sz w:val="22"/>
          <w:szCs w:val="22"/>
        </w:rPr>
      </w:pPr>
      <w:r w:rsidRPr="0030358C">
        <w:rPr>
          <w:rFonts w:ascii="Arial" w:hAnsi="Arial" w:cs="Arial"/>
          <w:b/>
          <w:bCs/>
          <w:sz w:val="22"/>
          <w:szCs w:val="22"/>
        </w:rPr>
        <w:t>Nepřetržité sledování a zaznamenávání provozního parametru</w:t>
      </w:r>
    </w:p>
    <w:p w14:paraId="4AEE0B85" w14:textId="77777777" w:rsidR="00B1327B" w:rsidRPr="0030358C" w:rsidRDefault="00000000" w:rsidP="000744FA">
      <w:pPr>
        <w:pStyle w:val="23"/>
        <w:jc w:val="center"/>
        <w:rPr>
          <w:rFonts w:ascii="Arial" w:hAnsi="Arial" w:cs="Arial"/>
          <w:b/>
          <w:bCs/>
          <w:sz w:val="22"/>
          <w:szCs w:val="22"/>
        </w:rPr>
      </w:pPr>
      <w:r w:rsidRPr="0030358C">
        <w:rPr>
          <w:rFonts w:ascii="Arial" w:hAnsi="Arial" w:cs="Arial"/>
          <w:b/>
          <w:bCs/>
          <w:sz w:val="22"/>
          <w:szCs w:val="22"/>
        </w:rPr>
        <w:t>(K § 6 odst. 10 zákona)</w:t>
      </w:r>
    </w:p>
    <w:p w14:paraId="293CD398" w14:textId="77777777" w:rsidR="00AC25BB" w:rsidRPr="0030358C" w:rsidRDefault="00000000" w:rsidP="000744FA">
      <w:pPr>
        <w:pStyle w:val="23"/>
        <w:spacing w:before="120" w:after="120"/>
        <w:ind w:left="0" w:firstLine="0"/>
        <w:rPr>
          <w:rFonts w:ascii="Arial" w:hAnsi="Arial" w:cs="Arial"/>
          <w:b/>
          <w:bCs/>
          <w:sz w:val="22"/>
          <w:szCs w:val="22"/>
        </w:rPr>
      </w:pPr>
      <w:bookmarkStart w:id="20" w:name="_Hlk180760311"/>
      <w:r w:rsidRPr="0030358C">
        <w:rPr>
          <w:rFonts w:ascii="Arial" w:hAnsi="Arial" w:cs="Arial"/>
          <w:b/>
          <w:bCs/>
          <w:sz w:val="22"/>
          <w:szCs w:val="22"/>
        </w:rPr>
        <w:t>Stacionární zdroje, pro které se vyžaduje stanovení nepřetržitého sledování a zaznamenávání provozního parametru v povolení provozu, a rozsah, způsob a podmínky stanovení provozního parametru jsou uvedeny v příloze č. 19</w:t>
      </w:r>
      <w:r w:rsidR="00E84D6C" w:rsidRPr="0030358C">
        <w:rPr>
          <w:rFonts w:ascii="Arial" w:hAnsi="Arial" w:cs="Arial"/>
          <w:b/>
          <w:bCs/>
          <w:sz w:val="22"/>
          <w:szCs w:val="22"/>
        </w:rPr>
        <w:t xml:space="preserve"> k této vyhlášce</w:t>
      </w:r>
      <w:r w:rsidRPr="0030358C">
        <w:rPr>
          <w:rFonts w:ascii="Arial" w:hAnsi="Arial" w:cs="Arial"/>
          <w:b/>
          <w:bCs/>
          <w:sz w:val="22"/>
          <w:szCs w:val="22"/>
        </w:rPr>
        <w:t>.</w:t>
      </w:r>
    </w:p>
    <w:bookmarkEnd w:id="19"/>
    <w:bookmarkEnd w:id="20"/>
    <w:p w14:paraId="1D8E45BD" w14:textId="77777777" w:rsidR="000744FA" w:rsidRPr="0030358C" w:rsidRDefault="00000000" w:rsidP="000744FA">
      <w:pPr>
        <w:pStyle w:val="15"/>
        <w:rPr>
          <w:rFonts w:ascii="Arial" w:hAnsi="Arial" w:cs="Arial"/>
          <w:sz w:val="22"/>
          <w:szCs w:val="22"/>
        </w:rPr>
      </w:pPr>
      <w:r w:rsidRPr="0030358C">
        <w:rPr>
          <w:rFonts w:ascii="Arial" w:hAnsi="Arial" w:cs="Arial"/>
          <w:sz w:val="22"/>
          <w:szCs w:val="22"/>
        </w:rPr>
        <w:t>§ 7</w:t>
      </w:r>
    </w:p>
    <w:p w14:paraId="76161D21" w14:textId="77777777" w:rsidR="00A77B3E" w:rsidRPr="0030358C" w:rsidRDefault="00000000">
      <w:pPr>
        <w:pStyle w:val="10"/>
        <w:rPr>
          <w:rFonts w:ascii="Arial" w:hAnsi="Arial" w:cs="Arial"/>
          <w:sz w:val="22"/>
          <w:szCs w:val="22"/>
        </w:rPr>
      </w:pPr>
      <w:r w:rsidRPr="0030358C">
        <w:rPr>
          <w:rFonts w:ascii="Arial" w:hAnsi="Arial" w:cs="Arial"/>
          <w:sz w:val="22"/>
          <w:szCs w:val="22"/>
        </w:rPr>
        <w:t>Způsob a podmínky zjišťování úrovně znečišťování kontinuálním měřením</w:t>
      </w:r>
    </w:p>
    <w:p w14:paraId="4968610A"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6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0744FA" w:rsidRPr="0030358C">
        <w:rPr>
          <w:rFonts w:ascii="Arial" w:hAnsi="Arial" w:cs="Arial"/>
          <w:sz w:val="22"/>
          <w:szCs w:val="22"/>
          <w:highlight w:val="yellow"/>
        </w:rPr>
        <w:t>10</w:t>
      </w:r>
      <w:r w:rsidR="000744FA"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445FA5C2"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Kontinuální měření, jeho kalibrace a ověřování správnosti jeho výsledků musí být reprezentativní a průkazné a použitá metoda měření a odběru vzorků musí co nejpřesněji odrážet skutečnost o úrovni znečišťování. Tyto požadavky se považují za splněné, je-li postupováno podle určených technických norem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w:t>
      </w:r>
    </w:p>
    <w:p w14:paraId="2466D740" w14:textId="77777777" w:rsidR="00A77B3E" w:rsidRPr="0030358C" w:rsidRDefault="00000000">
      <w:pPr>
        <w:pStyle w:val="30"/>
        <w:rPr>
          <w:rFonts w:ascii="Arial" w:hAnsi="Arial" w:cs="Arial"/>
          <w:sz w:val="22"/>
          <w:szCs w:val="22"/>
        </w:rPr>
      </w:pPr>
      <w:r w:rsidRPr="0030358C">
        <w:rPr>
          <w:rFonts w:ascii="Arial" w:hAnsi="Arial" w:cs="Arial"/>
          <w:sz w:val="22"/>
          <w:szCs w:val="22"/>
        </w:rPr>
        <w:t>(2)    Pro kontinuální měření emisí se používá přístroj umožňující stanovit hmotnostní koncentrace znečišťujících látek alespoň v intervalu od 10 % do 250 % specifického emisního limitu nebo v případě stacionárního zdroje vybaveného technologií ke snižování emisí tuhých znečišťujících látek alespoň v intervalu od 10 % do 250 % koncentrace garantované výrobcem této technologie.</w:t>
      </w:r>
    </w:p>
    <w:p w14:paraId="185C6893" w14:textId="77777777" w:rsidR="00B42552" w:rsidRPr="0030358C" w:rsidRDefault="00000000" w:rsidP="000744FA">
      <w:pPr>
        <w:pStyle w:val="25"/>
        <w:rPr>
          <w:rFonts w:ascii="Arial" w:hAnsi="Arial" w:cs="Arial"/>
          <w:sz w:val="22"/>
          <w:szCs w:val="22"/>
        </w:rPr>
      </w:pPr>
      <w:r w:rsidRPr="0030358C">
        <w:rPr>
          <w:rFonts w:ascii="Arial" w:hAnsi="Arial" w:cs="Arial"/>
          <w:sz w:val="22"/>
          <w:szCs w:val="22"/>
        </w:rPr>
        <w:t xml:space="preserve">(3)    Hodnota 95% intervalu spolehlivosti jednotlivého naměřeného výsledku stanoveného postupem podle určené technické normy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 xml:space="preserve"> nesmí na úrovni specifického emisního limitu překročit následující procentní podíly specifického emisního limitu: 10 % u oxidu uhelnatého, 20 % u oxidu siřičitého, 20 % u oxidů dusíku, 20 % u amoniaku, 30 % u tuhých znečišťujících látek, 30 % u celkového organického uhlíku, 40 % u chlorovodíku, 40 % u fluorovodíku, 40 % u sulfanu, 40 % u sirouhlíku a 40 % u rtuti. U stacionárních zdrojů tepelně zpracovávajících odpad je tímto emisním limitem hodnota denního emisního limitu.</w:t>
      </w:r>
    </w:p>
    <w:p w14:paraId="2C249D54" w14:textId="77777777" w:rsidR="002C397D" w:rsidRPr="0030358C" w:rsidRDefault="00000000" w:rsidP="002C397D">
      <w:pPr>
        <w:pStyle w:val="25"/>
        <w:rPr>
          <w:rFonts w:ascii="Arial" w:hAnsi="Arial" w:cs="Arial"/>
          <w:b/>
          <w:bCs/>
          <w:sz w:val="22"/>
          <w:szCs w:val="22"/>
        </w:rPr>
      </w:pPr>
      <w:bookmarkStart w:id="21" w:name="_Hlk180760412"/>
      <w:r w:rsidRPr="0030358C">
        <w:rPr>
          <w:rFonts w:ascii="Arial" w:hAnsi="Arial" w:cs="Arial"/>
          <w:b/>
          <w:bCs/>
          <w:sz w:val="22"/>
          <w:szCs w:val="22"/>
        </w:rPr>
        <w:lastRenderedPageBreak/>
        <w:t xml:space="preserve">(4) </w:t>
      </w:r>
      <w:r w:rsidRPr="0030358C">
        <w:rPr>
          <w:rFonts w:ascii="Arial" w:hAnsi="Arial" w:cs="Arial"/>
          <w:b/>
          <w:bCs/>
          <w:sz w:val="22"/>
          <w:szCs w:val="22"/>
        </w:rPr>
        <w:tab/>
        <w:t>Zjišťování úrovně znečišťování kontinuálním měřením emisí</w:t>
      </w:r>
      <w:r w:rsidR="00703645" w:rsidRPr="0030358C">
        <w:rPr>
          <w:rFonts w:ascii="Arial" w:hAnsi="Arial" w:cs="Arial"/>
          <w:b/>
          <w:bCs/>
          <w:sz w:val="22"/>
          <w:szCs w:val="22"/>
        </w:rPr>
        <w:t>, které je</w:t>
      </w:r>
      <w:r w:rsidRPr="0030358C">
        <w:rPr>
          <w:rFonts w:ascii="Arial" w:hAnsi="Arial" w:cs="Arial"/>
          <w:b/>
          <w:bCs/>
          <w:sz w:val="22"/>
          <w:szCs w:val="22"/>
        </w:rPr>
        <w:t xml:space="preserve"> stanovené krajským úřadem v povolení provozu podle § 12 odst. 4 zákona</w:t>
      </w:r>
      <w:r w:rsidR="00703645" w:rsidRPr="0030358C">
        <w:rPr>
          <w:rFonts w:ascii="Arial" w:hAnsi="Arial" w:cs="Arial"/>
          <w:b/>
          <w:bCs/>
          <w:sz w:val="22"/>
          <w:szCs w:val="22"/>
        </w:rPr>
        <w:t>,</w:t>
      </w:r>
      <w:r w:rsidRPr="0030358C">
        <w:rPr>
          <w:rFonts w:ascii="Arial" w:hAnsi="Arial" w:cs="Arial"/>
          <w:b/>
          <w:bCs/>
          <w:sz w:val="22"/>
          <w:szCs w:val="22"/>
        </w:rPr>
        <w:t xml:space="preserve"> se provádí pro znečišťující látku, která má stanoven specifický emisní limit</w:t>
      </w:r>
      <w:r w:rsidR="007B1C5A" w:rsidRPr="0030358C">
        <w:rPr>
          <w:rFonts w:ascii="Arial" w:hAnsi="Arial" w:cs="Arial"/>
          <w:b/>
          <w:bCs/>
          <w:sz w:val="22"/>
          <w:szCs w:val="22"/>
        </w:rPr>
        <w:t>,</w:t>
      </w:r>
      <w:r w:rsidRPr="0030358C">
        <w:rPr>
          <w:rFonts w:ascii="Arial" w:hAnsi="Arial" w:cs="Arial"/>
          <w:b/>
          <w:bCs/>
          <w:sz w:val="22"/>
          <w:szCs w:val="22"/>
        </w:rPr>
        <w:t xml:space="preserve"> </w:t>
      </w:r>
      <w:r w:rsidR="007B1C5A" w:rsidRPr="0030358C">
        <w:rPr>
          <w:rFonts w:ascii="Arial" w:hAnsi="Arial" w:cs="Arial"/>
          <w:b/>
          <w:bCs/>
          <w:sz w:val="22"/>
          <w:szCs w:val="22"/>
        </w:rPr>
        <w:t xml:space="preserve">pro </w:t>
      </w:r>
      <w:r w:rsidRPr="0030358C">
        <w:rPr>
          <w:rFonts w:ascii="Arial" w:hAnsi="Arial" w:cs="Arial"/>
          <w:b/>
          <w:bCs/>
          <w:sz w:val="22"/>
          <w:szCs w:val="22"/>
        </w:rPr>
        <w:t xml:space="preserve">nezbytné vztažné a stavové veličiny a informaci o provozním stavu zdroje v rozsahu podle bodu 6 části B přílohy č. 4 zákona a </w:t>
      </w:r>
      <w:r w:rsidR="007B1C5A" w:rsidRPr="0030358C">
        <w:rPr>
          <w:rFonts w:ascii="Arial" w:hAnsi="Arial" w:cs="Arial"/>
          <w:b/>
          <w:bCs/>
          <w:sz w:val="22"/>
          <w:szCs w:val="22"/>
        </w:rPr>
        <w:t xml:space="preserve">pro </w:t>
      </w:r>
      <w:r w:rsidRPr="0030358C">
        <w:rPr>
          <w:rFonts w:ascii="Arial" w:hAnsi="Arial" w:cs="Arial"/>
          <w:b/>
          <w:bCs/>
          <w:sz w:val="22"/>
          <w:szCs w:val="22"/>
        </w:rPr>
        <w:t>objemový tok odpadního plynu.</w:t>
      </w:r>
    </w:p>
    <w:bookmarkEnd w:id="21"/>
    <w:p w14:paraId="13B475C3" w14:textId="77777777" w:rsidR="00B42552" w:rsidRPr="0030358C" w:rsidRDefault="00B42552">
      <w:pPr>
        <w:pStyle w:val="25"/>
        <w:rPr>
          <w:rFonts w:ascii="Arial" w:hAnsi="Arial" w:cs="Arial"/>
          <w:sz w:val="22"/>
          <w:szCs w:val="22"/>
        </w:rPr>
      </w:pPr>
    </w:p>
    <w:p w14:paraId="0D166FF1" w14:textId="77777777" w:rsidR="00A77B3E" w:rsidRPr="0030358C" w:rsidRDefault="00000000">
      <w:pPr>
        <w:pStyle w:val="15"/>
        <w:rPr>
          <w:rFonts w:ascii="Arial" w:hAnsi="Arial" w:cs="Arial"/>
          <w:sz w:val="22"/>
          <w:szCs w:val="22"/>
        </w:rPr>
      </w:pPr>
      <w:r w:rsidRPr="0030358C">
        <w:rPr>
          <w:rFonts w:ascii="Arial" w:hAnsi="Arial" w:cs="Arial"/>
          <w:sz w:val="22"/>
          <w:szCs w:val="22"/>
        </w:rPr>
        <w:t>§ 8</w:t>
      </w:r>
    </w:p>
    <w:p w14:paraId="30D12993" w14:textId="77777777" w:rsidR="00A77B3E" w:rsidRPr="0030358C" w:rsidRDefault="00000000">
      <w:pPr>
        <w:pStyle w:val="10"/>
        <w:rPr>
          <w:rFonts w:ascii="Arial" w:hAnsi="Arial" w:cs="Arial"/>
          <w:sz w:val="22"/>
          <w:szCs w:val="22"/>
        </w:rPr>
      </w:pPr>
      <w:r w:rsidRPr="0030358C">
        <w:rPr>
          <w:rFonts w:ascii="Arial" w:hAnsi="Arial" w:cs="Arial"/>
          <w:sz w:val="22"/>
          <w:szCs w:val="22"/>
        </w:rPr>
        <w:t>Vyhodnocení kontinuálního měření</w:t>
      </w:r>
    </w:p>
    <w:p w14:paraId="6334A8A5"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6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0744FA" w:rsidRPr="0030358C">
        <w:rPr>
          <w:rFonts w:ascii="Arial" w:hAnsi="Arial" w:cs="Arial"/>
          <w:sz w:val="22"/>
          <w:szCs w:val="22"/>
          <w:highlight w:val="yellow"/>
        </w:rPr>
        <w:t>10</w:t>
      </w:r>
      <w:r w:rsidR="000744FA"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76369D47" w14:textId="77777777" w:rsidR="00A77B3E" w:rsidRPr="0030358C" w:rsidRDefault="00000000">
      <w:pPr>
        <w:pStyle w:val="11"/>
        <w:rPr>
          <w:rFonts w:ascii="Arial" w:hAnsi="Arial" w:cs="Arial"/>
          <w:sz w:val="22"/>
          <w:szCs w:val="22"/>
        </w:rPr>
      </w:pPr>
      <w:r w:rsidRPr="0030358C">
        <w:rPr>
          <w:rFonts w:ascii="Arial" w:hAnsi="Arial" w:cs="Arial"/>
          <w:sz w:val="22"/>
          <w:szCs w:val="22"/>
        </w:rPr>
        <w:t>(1)    Pro vyhodnocení kontinuálního měření emisí se použije tento postup</w:t>
      </w:r>
    </w:p>
    <w:p w14:paraId="283C96BE" w14:textId="77777777" w:rsidR="00A77B3E" w:rsidRPr="0030358C" w:rsidRDefault="00000000">
      <w:pPr>
        <w:pStyle w:val="12"/>
        <w:rPr>
          <w:rFonts w:ascii="Arial" w:hAnsi="Arial" w:cs="Arial"/>
          <w:sz w:val="22"/>
          <w:szCs w:val="22"/>
        </w:rPr>
      </w:pPr>
      <w:r w:rsidRPr="0030358C">
        <w:rPr>
          <w:rFonts w:ascii="Arial" w:hAnsi="Arial" w:cs="Arial"/>
          <w:sz w:val="22"/>
          <w:szCs w:val="22"/>
        </w:rPr>
        <w:t>a)    z hodnot naměřených v intervalech ne kratších než 1 minuta se jako aritmetický průměr středních hodnot zaznamenaných po dobu nejméně 20minut ze sledovaného 30minutového intervalu vypočte půlhodinová průměrná hodnota koncentrace příslušné znečišťující látky při stanovených stavových podmínkách, resp. také 10minutová průměrná hodnota oxidu uhelnatého u stacionárních zdrojů tepelně zpracovávajících odpad; za půlhodinovou průměrnou hodnotu se považuje aritmetický průměr minutových středních hodnot zaznamenaných po dobu nejméně 20 minut ze sledovaného 30minutového intervalu, za 10minutovou průměrnou hodnotu se považuje aritmetický průměr minutových středních hodnot,</w:t>
      </w:r>
    </w:p>
    <w:p w14:paraId="376FCADE" w14:textId="77777777" w:rsidR="00A77B3E" w:rsidRPr="0030358C" w:rsidRDefault="00000000">
      <w:pPr>
        <w:pStyle w:val="13"/>
        <w:rPr>
          <w:rFonts w:ascii="Arial" w:hAnsi="Arial" w:cs="Arial"/>
          <w:sz w:val="22"/>
          <w:szCs w:val="22"/>
        </w:rPr>
      </w:pPr>
      <w:r w:rsidRPr="0030358C">
        <w:rPr>
          <w:rFonts w:ascii="Arial" w:hAnsi="Arial" w:cs="Arial"/>
          <w:sz w:val="22"/>
          <w:szCs w:val="22"/>
        </w:rPr>
        <w:t>b)    z půlhodinových průměrných hodnot koncentrace se vypočte průměrná denní hodnota koncentrace znečišťující látky a překročení emisního limitu se zaznamená,</w:t>
      </w:r>
    </w:p>
    <w:p w14:paraId="56C68A4D" w14:textId="77777777" w:rsidR="00A77B3E" w:rsidRPr="0030358C" w:rsidRDefault="00000000">
      <w:pPr>
        <w:pStyle w:val="13"/>
        <w:rPr>
          <w:rFonts w:ascii="Arial" w:hAnsi="Arial" w:cs="Arial"/>
          <w:sz w:val="22"/>
          <w:szCs w:val="22"/>
        </w:rPr>
      </w:pPr>
      <w:r w:rsidRPr="0030358C">
        <w:rPr>
          <w:rFonts w:ascii="Arial" w:hAnsi="Arial" w:cs="Arial"/>
          <w:sz w:val="22"/>
          <w:szCs w:val="22"/>
        </w:rPr>
        <w:t>c)    u stacionárních zdrojů tepelně zpracovávajících odpad nesmí být pro získání platných denních průměrných hodnot vypuštěno více než 5 půlhodinových průměrných hodnot z důvodů poruchy nebo údržby systému kontinuálního měření za den,</w:t>
      </w:r>
    </w:p>
    <w:p w14:paraId="19B49C25" w14:textId="77777777" w:rsidR="00A77B3E" w:rsidRPr="0030358C" w:rsidRDefault="00000000">
      <w:pPr>
        <w:pStyle w:val="14"/>
        <w:rPr>
          <w:rFonts w:ascii="Arial" w:hAnsi="Arial" w:cs="Arial"/>
          <w:sz w:val="22"/>
          <w:szCs w:val="22"/>
        </w:rPr>
      </w:pPr>
      <w:r w:rsidRPr="0030358C">
        <w:rPr>
          <w:rFonts w:ascii="Arial" w:hAnsi="Arial" w:cs="Arial"/>
          <w:sz w:val="22"/>
          <w:szCs w:val="22"/>
        </w:rPr>
        <w:t xml:space="preserve">d)    pro získání validovaných průměrných půlhodinových a 10minutových průměrných hodnot se odečte od naměřeného výsledku hodnota stanovená postupem podle </w:t>
      </w:r>
      <w:hyperlink w:history="1">
        <w:r w:rsidR="00A77B3E" w:rsidRPr="0030358C">
          <w:rPr>
            <w:rFonts w:ascii="Arial" w:hAnsi="Arial" w:cs="Arial"/>
            <w:sz w:val="22"/>
            <w:szCs w:val="22"/>
          </w:rPr>
          <w:t>§ 9 odst. 7.</w:t>
        </w:r>
      </w:hyperlink>
      <w:r w:rsidRPr="0030358C">
        <w:rPr>
          <w:rFonts w:ascii="Arial" w:hAnsi="Arial" w:cs="Arial"/>
          <w:sz w:val="22"/>
          <w:szCs w:val="22"/>
        </w:rPr>
        <w:t xml:space="preserve"> Validované průměrné hodnoty a z nich vypočtené průměrné denní hodnoty koncentrací se použijí pouze pro vyhodnocení plnění emisních limitů podle </w:t>
      </w:r>
      <w:hyperlink w:history="1">
        <w:r w:rsidR="00A77B3E" w:rsidRPr="0030358C">
          <w:rPr>
            <w:rFonts w:ascii="Arial" w:hAnsi="Arial" w:cs="Arial"/>
            <w:sz w:val="22"/>
            <w:szCs w:val="22"/>
          </w:rPr>
          <w:t>§ 9 odst. 1</w:t>
        </w:r>
      </w:hyperlink>
      <w:r w:rsidRPr="0030358C">
        <w:rPr>
          <w:rFonts w:ascii="Arial" w:hAnsi="Arial" w:cs="Arial"/>
          <w:sz w:val="22"/>
          <w:szCs w:val="22"/>
        </w:rPr>
        <w:t xml:space="preserve">, </w:t>
      </w:r>
      <w:hyperlink w:history="1">
        <w:r w:rsidR="00A77B3E" w:rsidRPr="0030358C">
          <w:rPr>
            <w:rFonts w:ascii="Arial" w:hAnsi="Arial" w:cs="Arial"/>
            <w:sz w:val="22"/>
            <w:szCs w:val="22"/>
          </w:rPr>
          <w:t>2</w:t>
        </w:r>
      </w:hyperlink>
      <w:r w:rsidRPr="0030358C">
        <w:rPr>
          <w:rFonts w:ascii="Arial" w:hAnsi="Arial" w:cs="Arial"/>
          <w:sz w:val="22"/>
          <w:szCs w:val="22"/>
        </w:rPr>
        <w:t xml:space="preserve">, </w:t>
      </w:r>
      <w:hyperlink w:history="1">
        <w:r w:rsidR="00A77B3E" w:rsidRPr="0030358C">
          <w:rPr>
            <w:rFonts w:ascii="Arial" w:hAnsi="Arial" w:cs="Arial"/>
            <w:sz w:val="22"/>
            <w:szCs w:val="22"/>
          </w:rPr>
          <w:t>4</w:t>
        </w:r>
      </w:hyperlink>
      <w:r w:rsidRPr="0030358C">
        <w:rPr>
          <w:rFonts w:ascii="Arial" w:hAnsi="Arial" w:cs="Arial"/>
          <w:sz w:val="22"/>
          <w:szCs w:val="22"/>
        </w:rPr>
        <w:t xml:space="preserve">, </w:t>
      </w:r>
      <w:hyperlink w:history="1">
        <w:r w:rsidR="00A77B3E" w:rsidRPr="0030358C">
          <w:rPr>
            <w:rFonts w:ascii="Arial" w:hAnsi="Arial" w:cs="Arial"/>
            <w:sz w:val="22"/>
            <w:szCs w:val="22"/>
          </w:rPr>
          <w:t>5</w:t>
        </w:r>
      </w:hyperlink>
      <w:r w:rsidRPr="0030358C">
        <w:rPr>
          <w:rFonts w:ascii="Arial" w:hAnsi="Arial" w:cs="Arial"/>
          <w:sz w:val="22"/>
          <w:szCs w:val="22"/>
        </w:rPr>
        <w:t xml:space="preserve">, </w:t>
      </w:r>
      <w:hyperlink w:history="1">
        <w:r w:rsidR="00A77B3E" w:rsidRPr="0030358C">
          <w:rPr>
            <w:rFonts w:ascii="Arial" w:hAnsi="Arial" w:cs="Arial"/>
            <w:sz w:val="22"/>
            <w:szCs w:val="22"/>
          </w:rPr>
          <w:t>9</w:t>
        </w:r>
      </w:hyperlink>
      <w:r w:rsidRPr="0030358C">
        <w:rPr>
          <w:rFonts w:ascii="Arial" w:hAnsi="Arial" w:cs="Arial"/>
          <w:sz w:val="22"/>
          <w:szCs w:val="22"/>
        </w:rPr>
        <w:t xml:space="preserve"> a </w:t>
      </w:r>
      <w:hyperlink w:history="1">
        <w:r w:rsidR="00A77B3E" w:rsidRPr="0030358C">
          <w:rPr>
            <w:rFonts w:ascii="Arial" w:hAnsi="Arial" w:cs="Arial"/>
            <w:sz w:val="22"/>
            <w:szCs w:val="22"/>
          </w:rPr>
          <w:t>10</w:t>
        </w:r>
        <w:r w:rsidR="00A77B3E" w:rsidRPr="0030358C">
          <w:rPr>
            <w:rFonts w:ascii="Arial" w:hAnsi="Arial" w:cs="Arial"/>
            <w:strike/>
            <w:sz w:val="22"/>
            <w:szCs w:val="22"/>
          </w:rPr>
          <w:t>.</w:t>
        </w:r>
      </w:hyperlink>
      <w:r w:rsidR="00B1327B" w:rsidRPr="0030358C">
        <w:rPr>
          <w:rFonts w:ascii="Arial" w:hAnsi="Arial" w:cs="Arial"/>
          <w:b/>
          <w:bCs/>
          <w:sz w:val="22"/>
          <w:szCs w:val="22"/>
        </w:rPr>
        <w:t>,</w:t>
      </w:r>
    </w:p>
    <w:p w14:paraId="40D6E7B2" w14:textId="77777777" w:rsidR="00B1327B" w:rsidRPr="0030358C" w:rsidRDefault="00000000">
      <w:pPr>
        <w:pStyle w:val="14"/>
        <w:rPr>
          <w:rFonts w:ascii="Arial" w:hAnsi="Arial" w:cs="Arial"/>
          <w:b/>
          <w:bCs/>
          <w:sz w:val="22"/>
          <w:szCs w:val="22"/>
        </w:rPr>
      </w:pPr>
      <w:bookmarkStart w:id="22" w:name="_Hlk178586728"/>
      <w:r w:rsidRPr="0030358C">
        <w:rPr>
          <w:rFonts w:ascii="Arial" w:hAnsi="Arial" w:cs="Arial"/>
          <w:b/>
          <w:bCs/>
          <w:sz w:val="22"/>
          <w:szCs w:val="22"/>
        </w:rPr>
        <w:t xml:space="preserve">e) u stacionárních zdrojů </w:t>
      </w:r>
      <w:r w:rsidR="0076213E" w:rsidRPr="0030358C">
        <w:rPr>
          <w:rFonts w:ascii="Arial" w:hAnsi="Arial" w:cs="Arial"/>
          <w:b/>
          <w:bCs/>
          <w:sz w:val="22"/>
          <w:szCs w:val="22"/>
        </w:rPr>
        <w:t>s výjimkou stacionárních zdrojů</w:t>
      </w:r>
      <w:r w:rsidRPr="0030358C">
        <w:rPr>
          <w:rFonts w:ascii="Arial" w:hAnsi="Arial" w:cs="Arial"/>
          <w:b/>
          <w:bCs/>
          <w:sz w:val="22"/>
          <w:szCs w:val="22"/>
        </w:rPr>
        <w:t xml:space="preserve"> tepelně zpracovávajících odpad nesmí být pro získání platných denních průměrných hodnot vypuštěny více než tři průměrné hodinové hodnoty z důvodů poruchy nebo údržby systému kontinuálního měření za den.</w:t>
      </w:r>
    </w:p>
    <w:bookmarkEnd w:id="22"/>
    <w:p w14:paraId="0F83709B" w14:textId="77777777" w:rsidR="00A77B3E" w:rsidRPr="0030358C" w:rsidRDefault="00000000">
      <w:pPr>
        <w:pStyle w:val="11"/>
        <w:rPr>
          <w:rFonts w:ascii="Arial" w:hAnsi="Arial" w:cs="Arial"/>
          <w:sz w:val="22"/>
          <w:szCs w:val="22"/>
        </w:rPr>
      </w:pPr>
      <w:r w:rsidRPr="0030358C">
        <w:rPr>
          <w:rFonts w:ascii="Arial" w:hAnsi="Arial" w:cs="Arial"/>
          <w:sz w:val="22"/>
          <w:szCs w:val="22"/>
        </w:rPr>
        <w:t>(2)    Pro vyhodnocení kontinuálního měření objemového toku odpadního plynu se použije tento postup</w:t>
      </w:r>
    </w:p>
    <w:p w14:paraId="4083B516" w14:textId="77777777" w:rsidR="00A77B3E" w:rsidRPr="0030358C" w:rsidRDefault="00000000">
      <w:pPr>
        <w:pStyle w:val="12"/>
        <w:rPr>
          <w:rFonts w:ascii="Arial" w:hAnsi="Arial" w:cs="Arial"/>
          <w:sz w:val="22"/>
          <w:szCs w:val="22"/>
        </w:rPr>
      </w:pPr>
      <w:r w:rsidRPr="0030358C">
        <w:rPr>
          <w:rFonts w:ascii="Arial" w:hAnsi="Arial" w:cs="Arial"/>
          <w:sz w:val="22"/>
          <w:szCs w:val="22"/>
        </w:rPr>
        <w:t>a)    z hodnot naměřených v intervalech ne kratších než 1 minuta se vypočte půlhodinová průměrná hodnota objemového toku odpadního plynu při stanovených stavových podmínkách; za půlhodinovou průměrnou hodnotu se považuje aritmetický průměr minutových středních hodnot zaznamenaných po dobu nejméně 20 minut ze sledovaného 30minutového intervalu a</w:t>
      </w:r>
    </w:p>
    <w:p w14:paraId="17C6F179" w14:textId="77777777" w:rsidR="00A77B3E" w:rsidRPr="0030358C" w:rsidRDefault="00000000">
      <w:pPr>
        <w:pStyle w:val="14"/>
        <w:rPr>
          <w:rFonts w:ascii="Arial" w:hAnsi="Arial" w:cs="Arial"/>
          <w:sz w:val="22"/>
          <w:szCs w:val="22"/>
        </w:rPr>
      </w:pPr>
      <w:r w:rsidRPr="0030358C">
        <w:rPr>
          <w:rFonts w:ascii="Arial" w:hAnsi="Arial" w:cs="Arial"/>
          <w:sz w:val="22"/>
          <w:szCs w:val="22"/>
        </w:rPr>
        <w:t>b)    z půlhodinových průměrných hodnot objemového toku odpadního plynu a denní doby provozu stacionárního zdroje se vypočte celkový objem odpadního plynu při stanovených stavových a referenčních podmínkách vypuštěného do ovzduší za den.</w:t>
      </w:r>
    </w:p>
    <w:p w14:paraId="462A78B0"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(3)    U stacionárních zdrojů tepelně zpracovávajících odpad se nepoužije přepočet na referenční obsah kyslíku v případě spalování v atmosféře obohacené kyslíkem. Pokud </w:t>
      </w:r>
      <w:r w:rsidRPr="0030358C">
        <w:rPr>
          <w:rFonts w:ascii="Arial" w:hAnsi="Arial" w:cs="Arial"/>
          <w:sz w:val="22"/>
          <w:szCs w:val="22"/>
        </w:rPr>
        <w:lastRenderedPageBreak/>
        <w:t>jsou emise znečišťujících látek sníženy čištěním odpadního plynu u stacionárního zdroje tepelně zpracovávajícího nebezpečný odpad, provede se přepočet na obsah kyslíku pouze tehdy, pokud měřený obsah kyslíku ve stejném období, v němž proběhlo měření znečišťujících látek, překračuje příslušný referenční obsah kyslíku.</w:t>
      </w:r>
    </w:p>
    <w:p w14:paraId="6664C796" w14:textId="77777777" w:rsidR="00A77B3E" w:rsidRPr="0030358C" w:rsidRDefault="00000000">
      <w:pPr>
        <w:pStyle w:val="25"/>
        <w:rPr>
          <w:rFonts w:ascii="Arial" w:hAnsi="Arial" w:cs="Arial"/>
          <w:sz w:val="22"/>
          <w:szCs w:val="22"/>
        </w:rPr>
      </w:pPr>
      <w:r w:rsidRPr="0030358C">
        <w:rPr>
          <w:rFonts w:ascii="Arial" w:hAnsi="Arial" w:cs="Arial"/>
          <w:sz w:val="22"/>
          <w:szCs w:val="22"/>
        </w:rPr>
        <w:t>(4)    Denní a v případech, kdy je stanovena povinnost vyhodnocovat plnění emisního limitu na úrovni půlhodinových průměrných hmotnostních koncentrací, i půlhodinové výsledky kontinuálního měření emisí jsou uchovávány elektronicky a jsou vytištěny v případech, kdy dokumentují překročení emisního limitu. V první pracovní den následující po skončení kalendářního roku jsou zpracovány souhrnné výsledky za kalendářní rok, které jsou uchovávány v elektronické podobě.</w:t>
      </w:r>
    </w:p>
    <w:p w14:paraId="4349A28E" w14:textId="77777777" w:rsidR="0076213E" w:rsidRPr="0030358C" w:rsidRDefault="00000000">
      <w:pPr>
        <w:pStyle w:val="25"/>
        <w:rPr>
          <w:rFonts w:ascii="Arial" w:hAnsi="Arial" w:cs="Arial"/>
          <w:b/>
          <w:bCs/>
          <w:sz w:val="22"/>
          <w:szCs w:val="22"/>
        </w:rPr>
      </w:pPr>
      <w:bookmarkStart w:id="23" w:name="_Hlk178586849"/>
      <w:r w:rsidRPr="0030358C">
        <w:rPr>
          <w:rFonts w:ascii="Arial" w:hAnsi="Arial" w:cs="Arial"/>
          <w:b/>
          <w:bCs/>
          <w:sz w:val="22"/>
          <w:szCs w:val="22"/>
        </w:rPr>
        <w:t xml:space="preserve">(5) </w:t>
      </w:r>
      <w:r w:rsidRPr="0030358C">
        <w:rPr>
          <w:rFonts w:ascii="Arial" w:hAnsi="Arial" w:cs="Arial"/>
          <w:b/>
          <w:bCs/>
          <w:sz w:val="22"/>
          <w:szCs w:val="22"/>
        </w:rPr>
        <w:tab/>
        <w:t>Provozovatel neprodleně ohlásí každý půlhodinový výsledek kontinuálního měření emisí a informaci o provozním stavu stacionárního zdroje do informačního systému kvality ovzduší v datovém standardu zveřejněném ministerstvem způsobem umožňujícím dálkový přístup, který definuje strukturu a datový formát ohlašovaných dat. Předmětem ohlášení jsou validované průměrné půlhodinové výsledky hmotnostních koncentrací znečišťujících látek, průměrné půlhodinové hodnoty stavových a vztažných veličin podle bodu 6 části B přílohy č. 4 zákona</w:t>
      </w:r>
      <w:r w:rsidR="00A3290F" w:rsidRPr="0030358C">
        <w:rPr>
          <w:rFonts w:ascii="Arial" w:hAnsi="Arial" w:cs="Arial"/>
          <w:b/>
          <w:bCs/>
          <w:sz w:val="22"/>
          <w:szCs w:val="22"/>
        </w:rPr>
        <w:t>,</w:t>
      </w:r>
      <w:r w:rsidRPr="0030358C">
        <w:rPr>
          <w:rFonts w:ascii="Arial" w:hAnsi="Arial" w:cs="Arial"/>
          <w:b/>
          <w:bCs/>
          <w:sz w:val="22"/>
          <w:szCs w:val="22"/>
        </w:rPr>
        <w:t xml:space="preserve"> objemový tok odpadního plynu a informace o provozním stavu stacionárního zdroje, zejména najíždění, běžný provoz, odstavování</w:t>
      </w:r>
      <w:r w:rsidR="00A3290F" w:rsidRPr="0030358C">
        <w:rPr>
          <w:rFonts w:ascii="Arial" w:hAnsi="Arial" w:cs="Arial"/>
          <w:b/>
          <w:bCs/>
          <w:sz w:val="22"/>
          <w:szCs w:val="22"/>
        </w:rPr>
        <w:t xml:space="preserve"> a </w:t>
      </w:r>
      <w:r w:rsidRPr="0030358C">
        <w:rPr>
          <w:rFonts w:ascii="Arial" w:hAnsi="Arial" w:cs="Arial"/>
          <w:b/>
          <w:bCs/>
          <w:sz w:val="22"/>
          <w:szCs w:val="22"/>
        </w:rPr>
        <w:t xml:space="preserve">porucha. </w:t>
      </w:r>
      <w:r w:rsidRPr="0030358C">
        <w:rPr>
          <w:rFonts w:ascii="Arial" w:hAnsi="Arial" w:cs="Arial"/>
          <w:b/>
          <w:bCs/>
          <w:sz w:val="22"/>
          <w:szCs w:val="22"/>
        </w:rPr>
        <w:tab/>
      </w:r>
    </w:p>
    <w:p w14:paraId="7AEDEBFD" w14:textId="77777777" w:rsidR="00AC25BB" w:rsidRPr="0030358C" w:rsidRDefault="00AC25BB">
      <w:pPr>
        <w:pStyle w:val="25"/>
        <w:rPr>
          <w:rFonts w:ascii="Arial" w:hAnsi="Arial" w:cs="Arial"/>
          <w:b/>
          <w:bCs/>
          <w:sz w:val="22"/>
          <w:szCs w:val="22"/>
        </w:rPr>
      </w:pPr>
    </w:p>
    <w:bookmarkEnd w:id="23"/>
    <w:p w14:paraId="148330EA" w14:textId="77777777" w:rsidR="00A77B3E" w:rsidRPr="0030358C" w:rsidRDefault="00000000">
      <w:pPr>
        <w:pStyle w:val="15"/>
        <w:rPr>
          <w:rFonts w:ascii="Arial" w:hAnsi="Arial" w:cs="Arial"/>
          <w:sz w:val="22"/>
          <w:szCs w:val="22"/>
        </w:rPr>
      </w:pPr>
      <w:r w:rsidRPr="0030358C">
        <w:rPr>
          <w:rFonts w:ascii="Arial" w:hAnsi="Arial" w:cs="Arial"/>
          <w:sz w:val="22"/>
          <w:szCs w:val="22"/>
        </w:rPr>
        <w:t>§ 9</w:t>
      </w:r>
    </w:p>
    <w:p w14:paraId="07F838FC" w14:textId="77777777" w:rsidR="00A77B3E" w:rsidRPr="0030358C" w:rsidRDefault="00000000">
      <w:pPr>
        <w:pStyle w:val="10"/>
        <w:rPr>
          <w:rFonts w:ascii="Arial" w:hAnsi="Arial" w:cs="Arial"/>
          <w:sz w:val="22"/>
          <w:szCs w:val="22"/>
        </w:rPr>
      </w:pPr>
      <w:r w:rsidRPr="0030358C">
        <w:rPr>
          <w:rFonts w:ascii="Arial" w:hAnsi="Arial" w:cs="Arial"/>
          <w:sz w:val="22"/>
          <w:szCs w:val="22"/>
        </w:rPr>
        <w:t>Vyhodnocení plnění emisních limitů při kontinuálním měření</w:t>
      </w:r>
    </w:p>
    <w:p w14:paraId="58AEC2F5"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4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BF6864" w:rsidRPr="0030358C">
        <w:rPr>
          <w:rFonts w:ascii="Arial" w:hAnsi="Arial" w:cs="Arial"/>
          <w:sz w:val="22"/>
          <w:szCs w:val="22"/>
          <w:highlight w:val="yellow"/>
        </w:rPr>
        <w:t>7</w:t>
      </w:r>
      <w:r w:rsidR="00BF6864"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437A1FAC" w14:textId="77777777" w:rsidR="00A77B3E" w:rsidRPr="0030358C" w:rsidRDefault="00000000">
      <w:pPr>
        <w:pStyle w:val="11"/>
        <w:rPr>
          <w:rFonts w:ascii="Arial" w:hAnsi="Arial" w:cs="Arial"/>
          <w:sz w:val="22"/>
          <w:szCs w:val="22"/>
        </w:rPr>
      </w:pPr>
      <w:r w:rsidRPr="0030358C">
        <w:rPr>
          <w:rFonts w:ascii="Arial" w:hAnsi="Arial" w:cs="Arial"/>
          <w:sz w:val="22"/>
          <w:szCs w:val="22"/>
        </w:rPr>
        <w:t>(1)    Emisní limit při kontinuálním měření emisí na spalovacích stacionárních zdrojích, s výjimkou stacionárních zdrojů tepelně zpracovávajících odpad, je považován za splněný, pokud jsou splněny tyto podmínky</w:t>
      </w:r>
    </w:p>
    <w:p w14:paraId="3F1DEE30" w14:textId="77777777" w:rsidR="00A77B3E" w:rsidRPr="0030358C" w:rsidRDefault="00000000">
      <w:pPr>
        <w:pStyle w:val="12"/>
        <w:rPr>
          <w:rFonts w:ascii="Arial" w:hAnsi="Arial" w:cs="Arial"/>
          <w:sz w:val="22"/>
          <w:szCs w:val="22"/>
        </w:rPr>
      </w:pPr>
      <w:r w:rsidRPr="0030358C">
        <w:rPr>
          <w:rFonts w:ascii="Arial" w:hAnsi="Arial" w:cs="Arial"/>
          <w:sz w:val="22"/>
          <w:szCs w:val="22"/>
        </w:rPr>
        <w:t>a)    žádná platná měsíční průměrná hodnota nepřekročí hodnotu specifického emisního limitu,</w:t>
      </w:r>
    </w:p>
    <w:p w14:paraId="7A478612" w14:textId="77777777" w:rsidR="00A77B3E" w:rsidRPr="0030358C" w:rsidRDefault="00000000">
      <w:pPr>
        <w:pStyle w:val="13"/>
        <w:rPr>
          <w:rFonts w:ascii="Arial" w:hAnsi="Arial" w:cs="Arial"/>
          <w:sz w:val="22"/>
          <w:szCs w:val="22"/>
        </w:rPr>
      </w:pPr>
      <w:r w:rsidRPr="0030358C">
        <w:rPr>
          <w:rFonts w:ascii="Arial" w:hAnsi="Arial" w:cs="Arial"/>
          <w:sz w:val="22"/>
          <w:szCs w:val="22"/>
        </w:rPr>
        <w:t>b)    žádná platná denní průměrná hodnota nepřekročí 110 % hodnoty specifického emisního limitu nebo v případě spalovacích stacionárních zdrojů o celkovém jmenovitém tepelném příkonu do 50 MW a spalujícím pouze černé uhlí žádná denní průměrná hodnota nepřekročí 150 % hodnoty specifického emisního limitu a</w:t>
      </w:r>
    </w:p>
    <w:p w14:paraId="24EF4A31" w14:textId="77777777" w:rsidR="00A77B3E" w:rsidRPr="0030358C" w:rsidRDefault="00000000">
      <w:pPr>
        <w:pStyle w:val="14"/>
        <w:rPr>
          <w:rFonts w:ascii="Arial" w:hAnsi="Arial" w:cs="Arial"/>
          <w:sz w:val="22"/>
          <w:szCs w:val="22"/>
        </w:rPr>
      </w:pPr>
      <w:r w:rsidRPr="0030358C">
        <w:rPr>
          <w:rFonts w:ascii="Arial" w:hAnsi="Arial" w:cs="Arial"/>
          <w:sz w:val="22"/>
          <w:szCs w:val="22"/>
        </w:rPr>
        <w:t>c)    žádná platná půlhodinová průměrná hodnota nepřekročí 200 % hodnoty specifického emisního limitu.</w:t>
      </w:r>
    </w:p>
    <w:p w14:paraId="0AFDF1C7" w14:textId="77777777" w:rsidR="00A77B3E" w:rsidRPr="0030358C" w:rsidRDefault="00000000">
      <w:pPr>
        <w:pStyle w:val="11"/>
        <w:rPr>
          <w:rFonts w:ascii="Arial" w:hAnsi="Arial" w:cs="Arial"/>
          <w:sz w:val="22"/>
          <w:szCs w:val="22"/>
        </w:rPr>
      </w:pPr>
      <w:r w:rsidRPr="0030358C">
        <w:rPr>
          <w:rFonts w:ascii="Arial" w:hAnsi="Arial" w:cs="Arial"/>
          <w:sz w:val="22"/>
          <w:szCs w:val="22"/>
        </w:rPr>
        <w:t>(2)    Emisní limit při kontinuálním měření emisí na stacionárních zdrojích tepelně zpracovávajících odpad je považován za splněný, pokud jsou splněny tyto podmínky</w:t>
      </w:r>
    </w:p>
    <w:p w14:paraId="4B3106B4" w14:textId="77777777" w:rsidR="00A77B3E" w:rsidRPr="0030358C" w:rsidRDefault="00000000">
      <w:pPr>
        <w:pStyle w:val="12"/>
        <w:rPr>
          <w:rFonts w:ascii="Arial" w:hAnsi="Arial" w:cs="Arial"/>
          <w:sz w:val="22"/>
          <w:szCs w:val="22"/>
        </w:rPr>
      </w:pPr>
      <w:r w:rsidRPr="0030358C">
        <w:rPr>
          <w:rFonts w:ascii="Arial" w:hAnsi="Arial" w:cs="Arial"/>
          <w:sz w:val="22"/>
          <w:szCs w:val="22"/>
        </w:rPr>
        <w:t>a)    žádná z platných denních průměrných hodnot nepřekročí hodnoty specifických emisních limitů,</w:t>
      </w:r>
    </w:p>
    <w:p w14:paraId="32DB1610" w14:textId="77777777" w:rsidR="00A77B3E" w:rsidRPr="0030358C" w:rsidRDefault="00000000">
      <w:pPr>
        <w:pStyle w:val="13"/>
        <w:rPr>
          <w:rFonts w:ascii="Arial" w:hAnsi="Arial" w:cs="Arial"/>
          <w:sz w:val="22"/>
          <w:szCs w:val="22"/>
        </w:rPr>
      </w:pPr>
      <w:r w:rsidRPr="0030358C">
        <w:rPr>
          <w:rFonts w:ascii="Arial" w:hAnsi="Arial" w:cs="Arial"/>
          <w:sz w:val="22"/>
          <w:szCs w:val="22"/>
        </w:rPr>
        <w:t xml:space="preserve">b)    žádná z platných půlhodinových průměrných hodnot </w:t>
      </w:r>
      <w:r w:rsidRPr="0030358C">
        <w:rPr>
          <w:rFonts w:ascii="Arial" w:hAnsi="Arial" w:cs="Arial"/>
          <w:strike/>
          <w:sz w:val="22"/>
          <w:szCs w:val="22"/>
        </w:rPr>
        <w:t>nebo v případech, kdy je to relevantní,</w:t>
      </w:r>
      <w:r w:rsidRPr="0030358C">
        <w:rPr>
          <w:rFonts w:ascii="Arial" w:hAnsi="Arial" w:cs="Arial"/>
          <w:sz w:val="22"/>
          <w:szCs w:val="22"/>
        </w:rPr>
        <w:t xml:space="preserve"> </w:t>
      </w:r>
      <w:r w:rsidR="00D429F2" w:rsidRPr="0030358C">
        <w:rPr>
          <w:rFonts w:ascii="Arial" w:hAnsi="Arial" w:cs="Arial"/>
          <w:b/>
          <w:bCs/>
          <w:sz w:val="22"/>
          <w:szCs w:val="22"/>
        </w:rPr>
        <w:t>nepřekročí žádnou hodnotu specifických emisních limitů stanovených pro posuzování všech půlhodinových hodnot nebo nejméně</w:t>
      </w:r>
      <w:r w:rsidR="00D429F2" w:rsidRPr="0030358C">
        <w:rPr>
          <w:rFonts w:ascii="Arial" w:hAnsi="Arial" w:cs="Arial"/>
          <w:sz w:val="22"/>
          <w:szCs w:val="22"/>
        </w:rPr>
        <w:t xml:space="preserve"> </w:t>
      </w:r>
      <w:r w:rsidRPr="0030358C">
        <w:rPr>
          <w:rFonts w:ascii="Arial" w:hAnsi="Arial" w:cs="Arial"/>
          <w:sz w:val="22"/>
          <w:szCs w:val="22"/>
        </w:rPr>
        <w:t>97 % ze všech půlhodinových průměrných hodnot v kalendářním roce nepřekročí žádnou hodnotu specifických emisních limitů</w:t>
      </w:r>
      <w:r w:rsidR="00D429F2" w:rsidRPr="0030358C">
        <w:rPr>
          <w:rFonts w:ascii="Arial" w:hAnsi="Arial" w:cs="Arial"/>
          <w:sz w:val="22"/>
          <w:szCs w:val="22"/>
        </w:rPr>
        <w:t xml:space="preserve"> </w:t>
      </w:r>
      <w:r w:rsidR="00D429F2" w:rsidRPr="0030358C">
        <w:rPr>
          <w:rFonts w:ascii="Arial" w:hAnsi="Arial" w:cs="Arial"/>
          <w:b/>
          <w:bCs/>
          <w:sz w:val="22"/>
          <w:szCs w:val="22"/>
        </w:rPr>
        <w:t>stanovenou pro posuzování 97</w:t>
      </w:r>
      <w:r w:rsidR="00262460" w:rsidRPr="0030358C">
        <w:rPr>
          <w:rFonts w:ascii="Arial" w:hAnsi="Arial" w:cs="Arial"/>
          <w:b/>
          <w:bCs/>
          <w:sz w:val="22"/>
          <w:szCs w:val="22"/>
        </w:rPr>
        <w:t xml:space="preserve"> </w:t>
      </w:r>
      <w:r w:rsidR="00D429F2" w:rsidRPr="0030358C">
        <w:rPr>
          <w:rFonts w:ascii="Arial" w:hAnsi="Arial" w:cs="Arial"/>
          <w:b/>
          <w:bCs/>
          <w:sz w:val="22"/>
          <w:szCs w:val="22"/>
        </w:rPr>
        <w:t>% půlhodinových hodnot</w:t>
      </w:r>
      <w:r w:rsidRPr="0030358C">
        <w:rPr>
          <w:rFonts w:ascii="Arial" w:hAnsi="Arial" w:cs="Arial"/>
          <w:sz w:val="22"/>
          <w:szCs w:val="22"/>
        </w:rPr>
        <w:t>,</w:t>
      </w:r>
    </w:p>
    <w:p w14:paraId="19EA2228" w14:textId="77777777" w:rsidR="00A77B3E" w:rsidRPr="0030358C" w:rsidRDefault="00000000">
      <w:pPr>
        <w:pStyle w:val="13"/>
        <w:rPr>
          <w:rFonts w:ascii="Arial" w:hAnsi="Arial" w:cs="Arial"/>
          <w:sz w:val="22"/>
          <w:szCs w:val="22"/>
        </w:rPr>
      </w:pPr>
      <w:r w:rsidRPr="0030358C">
        <w:rPr>
          <w:rFonts w:ascii="Arial" w:hAnsi="Arial" w:cs="Arial"/>
          <w:sz w:val="22"/>
          <w:szCs w:val="22"/>
        </w:rPr>
        <w:t>c)  </w:t>
      </w:r>
      <w:r w:rsidR="00262460" w:rsidRPr="0030358C">
        <w:rPr>
          <w:rFonts w:ascii="Arial" w:hAnsi="Arial" w:cs="Arial"/>
          <w:b/>
          <w:bCs/>
          <w:sz w:val="22"/>
          <w:szCs w:val="22"/>
        </w:rPr>
        <w:t>nejméně</w:t>
      </w:r>
      <w:r w:rsidR="00262460" w:rsidRPr="0030358C">
        <w:rPr>
          <w:rFonts w:ascii="Arial" w:hAnsi="Arial" w:cs="Arial"/>
          <w:sz w:val="22"/>
          <w:szCs w:val="22"/>
        </w:rPr>
        <w:t xml:space="preserve"> </w:t>
      </w:r>
      <w:r w:rsidRPr="0030358C">
        <w:rPr>
          <w:rFonts w:ascii="Arial" w:hAnsi="Arial" w:cs="Arial"/>
          <w:sz w:val="22"/>
          <w:szCs w:val="22"/>
        </w:rPr>
        <w:t>97 % všech denních průměrných hodnot koncentrací oxidu uhelnatého v kalendářním roce nepřekročí hodnotu specifického emisního limitu,</w:t>
      </w:r>
    </w:p>
    <w:p w14:paraId="462D10CD" w14:textId="77777777" w:rsidR="00A77B3E" w:rsidRPr="0030358C" w:rsidRDefault="00000000">
      <w:pPr>
        <w:pStyle w:val="13"/>
        <w:rPr>
          <w:rFonts w:ascii="Arial" w:hAnsi="Arial" w:cs="Arial"/>
          <w:sz w:val="22"/>
          <w:szCs w:val="22"/>
        </w:rPr>
      </w:pPr>
      <w:r w:rsidRPr="0030358C">
        <w:rPr>
          <w:rFonts w:ascii="Arial" w:hAnsi="Arial" w:cs="Arial"/>
          <w:sz w:val="22"/>
          <w:szCs w:val="22"/>
        </w:rPr>
        <w:t>d)  </w:t>
      </w:r>
      <w:r w:rsidR="00262460" w:rsidRPr="0030358C">
        <w:rPr>
          <w:rFonts w:ascii="Arial" w:hAnsi="Arial" w:cs="Arial"/>
          <w:b/>
          <w:bCs/>
          <w:sz w:val="22"/>
          <w:szCs w:val="22"/>
        </w:rPr>
        <w:t xml:space="preserve">nejméně </w:t>
      </w:r>
      <w:r w:rsidRPr="0030358C">
        <w:rPr>
          <w:rFonts w:ascii="Arial" w:hAnsi="Arial" w:cs="Arial"/>
          <w:sz w:val="22"/>
          <w:szCs w:val="22"/>
        </w:rPr>
        <w:t xml:space="preserve">95 % desetiminutových průměrných hodnot nebo všechny půlhodinové průměrné hodnoty koncentrací oxidu uhelnatého za období 24 hodin nepřekročí </w:t>
      </w:r>
      <w:r w:rsidRPr="0030358C">
        <w:rPr>
          <w:rFonts w:ascii="Arial" w:hAnsi="Arial" w:cs="Arial"/>
          <w:sz w:val="22"/>
          <w:szCs w:val="22"/>
        </w:rPr>
        <w:lastRenderedPageBreak/>
        <w:t>specifické emisní limity; u zdrojů, v nichž teplota plynu ze spalovacího procesu dosahuje nejméně 1 100 °C po dobu alespoň dvou sekund, může být použito pro vyhodnocení desetiminutových průměrů sedmidenní hodnotící období a</w:t>
      </w:r>
    </w:p>
    <w:p w14:paraId="49EA721F" w14:textId="77777777" w:rsidR="00D429F2" w:rsidRPr="0030358C" w:rsidRDefault="00000000" w:rsidP="00262460">
      <w:pPr>
        <w:pStyle w:val="14"/>
        <w:rPr>
          <w:rFonts w:ascii="Arial" w:hAnsi="Arial" w:cs="Arial"/>
          <w:sz w:val="22"/>
          <w:szCs w:val="22"/>
        </w:rPr>
      </w:pPr>
      <w:r w:rsidRPr="0030358C">
        <w:rPr>
          <w:rFonts w:ascii="Arial" w:hAnsi="Arial" w:cs="Arial"/>
          <w:sz w:val="22"/>
          <w:szCs w:val="22"/>
        </w:rPr>
        <w:t>e)    za kalendářní rok není z důvodů poruchy nebo údržby systému kontinuálního měření vypuštěno více než 10 platných denních průměrných hodnot.</w:t>
      </w:r>
    </w:p>
    <w:p w14:paraId="4228ED72" w14:textId="77777777" w:rsidR="00A77B3E" w:rsidRPr="0030358C" w:rsidRDefault="00000000">
      <w:pPr>
        <w:pStyle w:val="31"/>
        <w:rPr>
          <w:rFonts w:ascii="Arial" w:hAnsi="Arial" w:cs="Arial"/>
          <w:sz w:val="22"/>
          <w:szCs w:val="22"/>
        </w:rPr>
      </w:pPr>
      <w:r w:rsidRPr="0030358C">
        <w:rPr>
          <w:rFonts w:ascii="Arial" w:hAnsi="Arial" w:cs="Arial"/>
          <w:sz w:val="22"/>
          <w:szCs w:val="22"/>
        </w:rPr>
        <w:t xml:space="preserve">Podmínky uvedené pod </w:t>
      </w:r>
      <w:hyperlink w:history="1">
        <w:r w:rsidR="00A77B3E" w:rsidRPr="0030358C">
          <w:rPr>
            <w:rFonts w:ascii="Arial" w:hAnsi="Arial" w:cs="Arial"/>
            <w:sz w:val="22"/>
            <w:szCs w:val="22"/>
          </w:rPr>
          <w:t>písmeny b)</w:t>
        </w:r>
      </w:hyperlink>
      <w:r w:rsidRPr="0030358C">
        <w:rPr>
          <w:rFonts w:ascii="Arial" w:hAnsi="Arial" w:cs="Arial"/>
          <w:sz w:val="22"/>
          <w:szCs w:val="22"/>
        </w:rPr>
        <w:t xml:space="preserve">, </w:t>
      </w:r>
      <w:hyperlink w:history="1">
        <w:r w:rsidR="00A77B3E" w:rsidRPr="0030358C">
          <w:rPr>
            <w:rFonts w:ascii="Arial" w:hAnsi="Arial" w:cs="Arial"/>
            <w:sz w:val="22"/>
            <w:szCs w:val="22"/>
          </w:rPr>
          <w:t>c)</w:t>
        </w:r>
      </w:hyperlink>
      <w:r w:rsidRPr="0030358C">
        <w:rPr>
          <w:rFonts w:ascii="Arial" w:hAnsi="Arial" w:cs="Arial"/>
          <w:sz w:val="22"/>
          <w:szCs w:val="22"/>
        </w:rPr>
        <w:t xml:space="preserve"> a </w:t>
      </w:r>
      <w:hyperlink w:history="1">
        <w:r w:rsidR="00A77B3E" w:rsidRPr="0030358C">
          <w:rPr>
            <w:rFonts w:ascii="Arial" w:hAnsi="Arial" w:cs="Arial"/>
            <w:sz w:val="22"/>
            <w:szCs w:val="22"/>
          </w:rPr>
          <w:t>d)</w:t>
        </w:r>
      </w:hyperlink>
      <w:r w:rsidRPr="0030358C">
        <w:rPr>
          <w:rFonts w:ascii="Arial" w:hAnsi="Arial" w:cs="Arial"/>
          <w:sz w:val="22"/>
          <w:szCs w:val="22"/>
        </w:rPr>
        <w:t xml:space="preserve"> se vztahují pouze na spalovny odpadu.</w:t>
      </w:r>
    </w:p>
    <w:p w14:paraId="372A149E" w14:textId="77777777" w:rsidR="00A77B3E" w:rsidRPr="0030358C" w:rsidRDefault="00000000">
      <w:pPr>
        <w:pStyle w:val="11"/>
        <w:rPr>
          <w:rFonts w:ascii="Arial" w:hAnsi="Arial" w:cs="Arial"/>
          <w:sz w:val="22"/>
          <w:szCs w:val="22"/>
        </w:rPr>
      </w:pPr>
      <w:r w:rsidRPr="0030358C">
        <w:rPr>
          <w:rFonts w:ascii="Arial" w:hAnsi="Arial" w:cs="Arial"/>
          <w:sz w:val="22"/>
          <w:szCs w:val="22"/>
        </w:rPr>
        <w:t>(3)    Emisní limit při kontinuálním měření emisí na stacionárních zdrojích používajících organická rozpouštědla se považuje za splněný, pokud jsou splněny tyto podmínky</w:t>
      </w:r>
    </w:p>
    <w:p w14:paraId="6465C1F2" w14:textId="77777777" w:rsidR="00A77B3E" w:rsidRPr="0030358C" w:rsidRDefault="00000000">
      <w:pPr>
        <w:pStyle w:val="12"/>
        <w:rPr>
          <w:rFonts w:ascii="Arial" w:hAnsi="Arial" w:cs="Arial"/>
          <w:sz w:val="22"/>
          <w:szCs w:val="22"/>
        </w:rPr>
      </w:pPr>
      <w:r w:rsidRPr="0030358C">
        <w:rPr>
          <w:rFonts w:ascii="Arial" w:hAnsi="Arial" w:cs="Arial"/>
          <w:sz w:val="22"/>
          <w:szCs w:val="22"/>
        </w:rPr>
        <w:t>a)    žádná z denních průměrných hodnot nepřekročí hodnoty specifických emisních limitů a</w:t>
      </w:r>
    </w:p>
    <w:p w14:paraId="2ECE44DF" w14:textId="77777777" w:rsidR="00A77B3E" w:rsidRPr="0030358C" w:rsidRDefault="00000000">
      <w:pPr>
        <w:pStyle w:val="14"/>
        <w:rPr>
          <w:rFonts w:ascii="Arial" w:hAnsi="Arial" w:cs="Arial"/>
          <w:sz w:val="22"/>
          <w:szCs w:val="22"/>
        </w:rPr>
      </w:pPr>
      <w:r w:rsidRPr="0030358C">
        <w:rPr>
          <w:rFonts w:ascii="Arial" w:hAnsi="Arial" w:cs="Arial"/>
          <w:sz w:val="22"/>
          <w:szCs w:val="22"/>
        </w:rPr>
        <w:t>b)    žádný hodinový průměr nepřekročí 150 % hodnoty specifických emisních limitů.</w:t>
      </w:r>
    </w:p>
    <w:p w14:paraId="3A34DE54"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(4)    Emisní limit při kontinuálním měření emisí na stacionárních zdrojích vyrábějících oxid titaničitý je považován za splněný, pokud žádná platná hodnota na úrovni doby průměrování stanovené v </w:t>
      </w:r>
      <w:hyperlink w:history="1">
        <w:r w:rsidR="00A77B3E" w:rsidRPr="0030358C">
          <w:rPr>
            <w:rFonts w:ascii="Arial" w:hAnsi="Arial" w:cs="Arial"/>
            <w:sz w:val="22"/>
            <w:szCs w:val="22"/>
          </w:rPr>
          <w:t>části 5.2.9.</w:t>
        </w:r>
      </w:hyperlink>
      <w:r w:rsidRPr="0030358C">
        <w:rPr>
          <w:rFonts w:ascii="Arial" w:hAnsi="Arial" w:cs="Arial"/>
          <w:sz w:val="22"/>
          <w:szCs w:val="22"/>
        </w:rPr>
        <w:t xml:space="preserve"> a </w:t>
      </w:r>
      <w:hyperlink w:history="1">
        <w:r w:rsidR="00A77B3E" w:rsidRPr="0030358C">
          <w:rPr>
            <w:rFonts w:ascii="Arial" w:hAnsi="Arial" w:cs="Arial"/>
            <w:sz w:val="22"/>
            <w:szCs w:val="22"/>
          </w:rPr>
          <w:t>5.2.10. přílohy č. 8</w:t>
        </w:r>
      </w:hyperlink>
      <w:r w:rsidRPr="0030358C">
        <w:rPr>
          <w:rFonts w:ascii="Arial" w:hAnsi="Arial" w:cs="Arial"/>
          <w:sz w:val="22"/>
          <w:szCs w:val="22"/>
        </w:rPr>
        <w:t xml:space="preserve"> k této vyhlášce nepřekročí zde stanovenou hodnotu emisního limitu.</w:t>
      </w:r>
    </w:p>
    <w:p w14:paraId="194202A7"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(5)    U stacionárních zdrojů neuvedených v </w:t>
      </w:r>
      <w:hyperlink w:history="1">
        <w:r w:rsidR="00A77B3E" w:rsidRPr="0030358C">
          <w:rPr>
            <w:rFonts w:ascii="Arial" w:hAnsi="Arial" w:cs="Arial"/>
            <w:sz w:val="22"/>
            <w:szCs w:val="22"/>
          </w:rPr>
          <w:t>odstavcích 1 až 4</w:t>
        </w:r>
      </w:hyperlink>
      <w:r w:rsidRPr="0030358C">
        <w:rPr>
          <w:rFonts w:ascii="Arial" w:hAnsi="Arial" w:cs="Arial"/>
          <w:sz w:val="22"/>
          <w:szCs w:val="22"/>
        </w:rPr>
        <w:t xml:space="preserve"> je emisní limit považován za splněný, pokud jsou současně splněny tyto podmínky</w:t>
      </w:r>
    </w:p>
    <w:p w14:paraId="146C74BF" w14:textId="77777777" w:rsidR="00A77B3E" w:rsidRPr="0030358C" w:rsidRDefault="00000000">
      <w:pPr>
        <w:pStyle w:val="12"/>
        <w:rPr>
          <w:rFonts w:ascii="Arial" w:hAnsi="Arial" w:cs="Arial"/>
          <w:sz w:val="22"/>
          <w:szCs w:val="22"/>
        </w:rPr>
      </w:pPr>
      <w:r w:rsidRPr="0030358C">
        <w:rPr>
          <w:rFonts w:ascii="Arial" w:hAnsi="Arial" w:cs="Arial"/>
          <w:sz w:val="22"/>
          <w:szCs w:val="22"/>
        </w:rPr>
        <w:t>a)    žádná roční průměrná hodnota koncentrace, měrné výrobní emise nebo jiného parametru, kterým je vyjádřen emisní limit, nepřekročí hodnotu specifického emisního limitu,</w:t>
      </w:r>
    </w:p>
    <w:p w14:paraId="1FC78015" w14:textId="77777777" w:rsidR="00A77B3E" w:rsidRPr="0030358C" w:rsidRDefault="00000000">
      <w:pPr>
        <w:pStyle w:val="13"/>
        <w:rPr>
          <w:rFonts w:ascii="Arial" w:hAnsi="Arial" w:cs="Arial"/>
          <w:sz w:val="22"/>
          <w:szCs w:val="22"/>
        </w:rPr>
      </w:pPr>
      <w:r w:rsidRPr="0030358C">
        <w:rPr>
          <w:rFonts w:ascii="Arial" w:hAnsi="Arial" w:cs="Arial"/>
          <w:sz w:val="22"/>
          <w:szCs w:val="22"/>
        </w:rPr>
        <w:t>b)    žádná denní průměrná hodnota koncentrace nepřekročí 120 % hodnoty specifického emisního limitu a</w:t>
      </w:r>
    </w:p>
    <w:p w14:paraId="43895E0D" w14:textId="77777777" w:rsidR="00A77B3E" w:rsidRPr="0030358C" w:rsidRDefault="00000000">
      <w:pPr>
        <w:pStyle w:val="14"/>
        <w:rPr>
          <w:rFonts w:ascii="Arial" w:hAnsi="Arial" w:cs="Arial"/>
          <w:sz w:val="22"/>
          <w:szCs w:val="22"/>
        </w:rPr>
      </w:pPr>
      <w:r w:rsidRPr="0030358C">
        <w:rPr>
          <w:rFonts w:ascii="Arial" w:hAnsi="Arial" w:cs="Arial"/>
          <w:sz w:val="22"/>
          <w:szCs w:val="22"/>
        </w:rPr>
        <w:t>c)    žádná platná půlhodinová průměrná hodnota koncentrace nepřekročí 200 % hodnoty specifického emisního limitu.</w:t>
      </w:r>
    </w:p>
    <w:p w14:paraId="07E9E9F3" w14:textId="77777777" w:rsidR="00A77B3E" w:rsidRPr="0030358C" w:rsidRDefault="00000000">
      <w:pPr>
        <w:pStyle w:val="24"/>
        <w:rPr>
          <w:rFonts w:ascii="Arial" w:hAnsi="Arial" w:cs="Arial"/>
          <w:sz w:val="22"/>
          <w:szCs w:val="22"/>
        </w:rPr>
      </w:pPr>
      <w:r w:rsidRPr="0030358C">
        <w:rPr>
          <w:rFonts w:ascii="Arial" w:hAnsi="Arial" w:cs="Arial"/>
          <w:sz w:val="22"/>
          <w:szCs w:val="22"/>
        </w:rPr>
        <w:t>(6)    Do hodnot rozhodných pro posouzení dodržení emisního limitu se nezahrnují údaje zjištěné v době uvádění stacionárního zdroje do provozu, v době jeho odstavování z provozu nebo při odstraňování poruchy, popřípadě havárie. Délka přípustné doby trvání těchto stavů musí být uvedena v provozním řádu. Za uvádění stacionárního zdroje do provozu a jeho odstavování z provozu se nepovažují zahajování a ukončování cyklů u stacionárních zdrojů s periodickým, přerušovaným nebo šaržovitým způsobem výroby.</w:t>
      </w:r>
    </w:p>
    <w:p w14:paraId="33C0BEDC"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(7)    Při posuzování plnění emisních limitů se za průměrné hodnoty uvedené v </w:t>
      </w:r>
      <w:hyperlink w:history="1">
        <w:r w:rsidR="00A77B3E" w:rsidRPr="0030358C">
          <w:rPr>
            <w:rFonts w:ascii="Arial" w:hAnsi="Arial" w:cs="Arial"/>
            <w:sz w:val="22"/>
            <w:szCs w:val="22"/>
          </w:rPr>
          <w:t>odstavci 1 písm. a) až c)</w:t>
        </w:r>
      </w:hyperlink>
      <w:r w:rsidRPr="0030358C">
        <w:rPr>
          <w:rFonts w:ascii="Arial" w:hAnsi="Arial" w:cs="Arial"/>
          <w:sz w:val="22"/>
          <w:szCs w:val="22"/>
        </w:rPr>
        <w:t xml:space="preserve">, v </w:t>
      </w:r>
      <w:hyperlink w:history="1">
        <w:r w:rsidR="00A77B3E" w:rsidRPr="0030358C">
          <w:rPr>
            <w:rFonts w:ascii="Arial" w:hAnsi="Arial" w:cs="Arial"/>
            <w:strike/>
            <w:sz w:val="22"/>
            <w:szCs w:val="22"/>
          </w:rPr>
          <w:t>odstavci 2 písm. a) až c)</w:t>
        </w:r>
      </w:hyperlink>
      <w:r w:rsidR="00714755" w:rsidRPr="0030358C">
        <w:rPr>
          <w:rFonts w:ascii="Arial" w:hAnsi="Arial" w:cs="Arial"/>
          <w:sz w:val="22"/>
          <w:szCs w:val="22"/>
        </w:rPr>
        <w:t xml:space="preserve"> </w:t>
      </w:r>
      <w:r w:rsidR="00714755" w:rsidRPr="0030358C">
        <w:rPr>
          <w:rFonts w:ascii="Arial" w:hAnsi="Arial" w:cs="Arial"/>
          <w:b/>
          <w:bCs/>
          <w:sz w:val="22"/>
          <w:szCs w:val="22"/>
        </w:rPr>
        <w:t>odstavci 2 písm. a) až</w:t>
      </w:r>
      <w:r w:rsidR="00714755" w:rsidRPr="0030358C">
        <w:rPr>
          <w:rFonts w:ascii="Arial" w:hAnsi="Arial" w:cs="Arial"/>
          <w:sz w:val="22"/>
          <w:szCs w:val="22"/>
        </w:rPr>
        <w:t xml:space="preserve"> </w:t>
      </w:r>
      <w:r w:rsidR="00714755" w:rsidRPr="0030358C">
        <w:rPr>
          <w:rFonts w:ascii="Arial" w:hAnsi="Arial" w:cs="Arial"/>
          <w:b/>
          <w:bCs/>
          <w:sz w:val="22"/>
          <w:szCs w:val="22"/>
        </w:rPr>
        <w:t>d)</w:t>
      </w:r>
      <w:r w:rsidRPr="0030358C">
        <w:rPr>
          <w:rFonts w:ascii="Arial" w:hAnsi="Arial" w:cs="Arial"/>
          <w:sz w:val="22"/>
          <w:szCs w:val="22"/>
        </w:rPr>
        <w:t xml:space="preserve">, v </w:t>
      </w:r>
      <w:hyperlink w:history="1">
        <w:r w:rsidR="00A77B3E" w:rsidRPr="0030358C">
          <w:rPr>
            <w:rFonts w:ascii="Arial" w:hAnsi="Arial" w:cs="Arial"/>
            <w:sz w:val="22"/>
            <w:szCs w:val="22"/>
          </w:rPr>
          <w:t>odstavci 4</w:t>
        </w:r>
      </w:hyperlink>
      <w:r w:rsidRPr="0030358C">
        <w:rPr>
          <w:rFonts w:ascii="Arial" w:hAnsi="Arial" w:cs="Arial"/>
          <w:sz w:val="22"/>
          <w:szCs w:val="22"/>
        </w:rPr>
        <w:t xml:space="preserve">, v </w:t>
      </w:r>
      <w:hyperlink w:history="1">
        <w:r w:rsidR="00A77B3E" w:rsidRPr="0030358C">
          <w:rPr>
            <w:rFonts w:ascii="Arial" w:hAnsi="Arial" w:cs="Arial"/>
            <w:sz w:val="22"/>
            <w:szCs w:val="22"/>
          </w:rPr>
          <w:t>odstavci 5 písm. a) až c)</w:t>
        </w:r>
      </w:hyperlink>
      <w:r w:rsidRPr="0030358C">
        <w:rPr>
          <w:rFonts w:ascii="Arial" w:hAnsi="Arial" w:cs="Arial"/>
          <w:sz w:val="22"/>
          <w:szCs w:val="22"/>
        </w:rPr>
        <w:t xml:space="preserve"> a </w:t>
      </w:r>
      <w:hyperlink w:history="1">
        <w:r w:rsidR="00A77B3E" w:rsidRPr="0030358C">
          <w:rPr>
            <w:rFonts w:ascii="Arial" w:hAnsi="Arial" w:cs="Arial"/>
            <w:sz w:val="22"/>
            <w:szCs w:val="22"/>
          </w:rPr>
          <w:t>odstavcích 9</w:t>
        </w:r>
      </w:hyperlink>
      <w:r w:rsidRPr="0030358C">
        <w:rPr>
          <w:rFonts w:ascii="Arial" w:hAnsi="Arial" w:cs="Arial"/>
          <w:sz w:val="22"/>
          <w:szCs w:val="22"/>
        </w:rPr>
        <w:t xml:space="preserve"> a </w:t>
      </w:r>
      <w:hyperlink w:history="1">
        <w:r w:rsidR="00A77B3E" w:rsidRPr="0030358C">
          <w:rPr>
            <w:rFonts w:ascii="Arial" w:hAnsi="Arial" w:cs="Arial"/>
            <w:sz w:val="22"/>
            <w:szCs w:val="22"/>
          </w:rPr>
          <w:t>10</w:t>
        </w:r>
      </w:hyperlink>
      <w:r w:rsidRPr="0030358C">
        <w:rPr>
          <w:rFonts w:ascii="Arial" w:hAnsi="Arial" w:cs="Arial"/>
          <w:sz w:val="22"/>
          <w:szCs w:val="22"/>
        </w:rPr>
        <w:t xml:space="preserve"> považují validované hodnoty podle </w:t>
      </w:r>
      <w:hyperlink w:history="1">
        <w:r w:rsidR="00A77B3E" w:rsidRPr="0030358C">
          <w:rPr>
            <w:rFonts w:ascii="Arial" w:hAnsi="Arial" w:cs="Arial"/>
            <w:sz w:val="22"/>
            <w:szCs w:val="22"/>
          </w:rPr>
          <w:t>§ 8 odst. 1</w:t>
        </w:r>
      </w:hyperlink>
      <w:r w:rsidRPr="0030358C">
        <w:rPr>
          <w:rFonts w:ascii="Arial" w:hAnsi="Arial" w:cs="Arial"/>
          <w:sz w:val="22"/>
          <w:szCs w:val="22"/>
        </w:rPr>
        <w:t>, které se získají z naměřených půlhodinových nebo desetiminutových výsledků odečtením následujícího procentního podílu hodnoty těchto výsledků: 10 % u oxidu uhelnatého, 20 % u oxidu siřičitého, 20 % u oxidů dusíku, 20 % u amoniaku, 30 % u tuhých znečišťujících látek, 30 % u celkového organického uhlíku, 40 % u rtuti, 40 % u chlorovodíku, 40 % u fluorovodíku, 40 % u sulfanu a 40 % u sirouhlíku. U naměřených výsledků vyšších, než je hodnota emisního limitu, se odečte výše uvedený procentní podíl hodnoty specifického emisního limitu. U stacionárních zdrojů tepelně zpracovávajících odpad je tímto emisním limitem hodnota denního emisního limitu.</w:t>
      </w:r>
    </w:p>
    <w:p w14:paraId="0466BE84" w14:textId="77777777" w:rsidR="00A77B3E" w:rsidRPr="0030358C" w:rsidRDefault="00000000">
      <w:pPr>
        <w:pStyle w:val="30"/>
        <w:rPr>
          <w:rFonts w:ascii="Arial" w:hAnsi="Arial" w:cs="Arial"/>
          <w:sz w:val="22"/>
          <w:szCs w:val="22"/>
        </w:rPr>
      </w:pPr>
      <w:r w:rsidRPr="0030358C">
        <w:rPr>
          <w:rFonts w:ascii="Arial" w:hAnsi="Arial" w:cs="Arial"/>
          <w:sz w:val="22"/>
          <w:szCs w:val="22"/>
        </w:rPr>
        <w:t>(8)    Při hodnocení dodržení emisního limitu se nepřihlíží k výpadkům kontinuálního měření, nepřekročí-li 5 % celkové provozní doby stacionárního zdroje v kalendářním roce. To neplatí pro stacionární zdroje tepelně zpracovávající odpad.</w:t>
      </w:r>
    </w:p>
    <w:p w14:paraId="74A77117"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(9)    Emisní limit stanovený pro spalovací stacionární zdroj na základě závěrů o nejlepších dostupných technikách je považován za splněný, pokud žádná z průměrných hodnot nepřekročí specifický emisní limit a příslušná procenta hodnoty specifického emisního limitu stanovené v povolení provozu způsobem, který současně zajišťuje splnění podmínek uvedených v </w:t>
      </w:r>
      <w:hyperlink w:history="1">
        <w:r w:rsidR="00A77B3E" w:rsidRPr="0030358C">
          <w:rPr>
            <w:rFonts w:ascii="Arial" w:hAnsi="Arial" w:cs="Arial"/>
            <w:sz w:val="22"/>
            <w:szCs w:val="22"/>
          </w:rPr>
          <w:t>odstavci 1</w:t>
        </w:r>
      </w:hyperlink>
      <w:r w:rsidRPr="0030358C">
        <w:rPr>
          <w:rFonts w:ascii="Arial" w:hAnsi="Arial" w:cs="Arial"/>
          <w:sz w:val="22"/>
          <w:szCs w:val="22"/>
        </w:rPr>
        <w:t xml:space="preserve"> pro hodnoty specifických emisních limitů uvedených v </w:t>
      </w:r>
      <w:hyperlink w:history="1">
        <w:r w:rsidR="00A77B3E" w:rsidRPr="0030358C">
          <w:rPr>
            <w:rFonts w:ascii="Arial" w:hAnsi="Arial" w:cs="Arial"/>
            <w:sz w:val="22"/>
            <w:szCs w:val="22"/>
          </w:rPr>
          <w:t>příloze č. 2</w:t>
        </w:r>
      </w:hyperlink>
      <w:r w:rsidRPr="0030358C">
        <w:rPr>
          <w:rFonts w:ascii="Arial" w:hAnsi="Arial" w:cs="Arial"/>
          <w:sz w:val="22"/>
          <w:szCs w:val="22"/>
        </w:rPr>
        <w:t xml:space="preserve"> k této vyhlášce. V případě znečišťujících látek, pro které nejsou specifické emisní limity stanoveny v </w:t>
      </w:r>
      <w:hyperlink w:history="1">
        <w:r w:rsidR="00A77B3E" w:rsidRPr="0030358C">
          <w:rPr>
            <w:rFonts w:ascii="Arial" w:hAnsi="Arial" w:cs="Arial"/>
            <w:sz w:val="22"/>
            <w:szCs w:val="22"/>
          </w:rPr>
          <w:t>příloze č. 2</w:t>
        </w:r>
      </w:hyperlink>
      <w:r w:rsidRPr="0030358C">
        <w:rPr>
          <w:rFonts w:ascii="Arial" w:hAnsi="Arial" w:cs="Arial"/>
          <w:sz w:val="22"/>
          <w:szCs w:val="22"/>
        </w:rPr>
        <w:t xml:space="preserve"> k této vyhlášce, se emisní limit stanovený pro spalovací stacionární zdroj na základě závěrů o nejlepších dostupných technikách považuje za splněný, pokud žádná z průměrných hodnot nepřekročí specifický emisní limit, případně příslušná procenta hodnoty specifického emisního limitu, stanovené v povolení provozu pro časová období. Nejsou-li v povolení provozu časová období stanovena, použijí se ta, která jsou uvedena v závěrech o nejlepších dostupných technikách.</w:t>
      </w:r>
    </w:p>
    <w:p w14:paraId="56AA86D3"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(10)    K vyhodnocení plnění specifického emisního limitu stanoveného pro stacionární zdroj na základě závěrů o nejlepších dostupných technikách se namísto období uvedených v </w:t>
      </w:r>
      <w:hyperlink w:history="1">
        <w:r w:rsidR="00A77B3E" w:rsidRPr="0030358C">
          <w:rPr>
            <w:rFonts w:ascii="Arial" w:hAnsi="Arial" w:cs="Arial"/>
            <w:sz w:val="22"/>
            <w:szCs w:val="22"/>
          </w:rPr>
          <w:t>odstavci 5</w:t>
        </w:r>
      </w:hyperlink>
      <w:r w:rsidRPr="0030358C">
        <w:rPr>
          <w:rFonts w:ascii="Arial" w:hAnsi="Arial" w:cs="Arial"/>
          <w:sz w:val="22"/>
          <w:szCs w:val="22"/>
        </w:rPr>
        <w:t xml:space="preserve"> použijí období uvedená v těchto závěrech o nejlepších dostupných technikách, za použití vztažných podmínek uvedených tamtéž, a to od data platnosti stanoveného v povolení provozu. Je-li v těchto případech specifický emisní limit definován pouze jako roční průměr, nesmí současně žádná platná denní průměrná hodnota koncentrace za daných vztažných podmínek překročit 120 % hodnoty specifického emisního limitu.</w:t>
      </w:r>
    </w:p>
    <w:p w14:paraId="67033613" w14:textId="77777777" w:rsidR="00877E83" w:rsidRPr="0030358C" w:rsidRDefault="00000000" w:rsidP="00877E83">
      <w:pPr>
        <w:pStyle w:val="25"/>
        <w:rPr>
          <w:rFonts w:ascii="Arial" w:hAnsi="Arial" w:cs="Arial"/>
          <w:sz w:val="22"/>
          <w:szCs w:val="22"/>
        </w:rPr>
      </w:pPr>
      <w:r w:rsidRPr="0030358C">
        <w:rPr>
          <w:rFonts w:ascii="Arial" w:hAnsi="Arial" w:cs="Arial"/>
          <w:sz w:val="22"/>
          <w:szCs w:val="22"/>
        </w:rPr>
        <w:t>(11)    Do hodnot rozhodných pro posouzení dodržení emisního limitu se nezahrnují údaje zjištěné v době měření emisí, které je prováděno v souladu s povolením podle jiného právního předpisu</w:t>
      </w:r>
      <w:hyperlink w:history="1">
        <w:r w:rsidR="00A77B3E" w:rsidRPr="0030358C">
          <w:rPr>
            <w:rFonts w:ascii="Arial" w:hAnsi="Arial" w:cs="Arial"/>
            <w:sz w:val="22"/>
            <w:szCs w:val="22"/>
            <w:vertAlign w:val="superscript"/>
          </w:rPr>
          <w:t>6</w:t>
        </w:r>
        <w:r w:rsidR="00A77B3E" w:rsidRPr="0030358C">
          <w:rPr>
            <w:rFonts w:ascii="Arial" w:hAnsi="Arial" w:cs="Arial"/>
            <w:sz w:val="22"/>
            <w:szCs w:val="22"/>
          </w:rPr>
          <w:t>)</w:t>
        </w:r>
      </w:hyperlink>
      <w:r w:rsidRPr="0030358C">
        <w:rPr>
          <w:rFonts w:ascii="Arial" w:hAnsi="Arial" w:cs="Arial"/>
          <w:sz w:val="22"/>
          <w:szCs w:val="22"/>
        </w:rPr>
        <w:t xml:space="preserve"> za účelem získání informací o úrovni znečišťování pro stanovení podmínek provozu. Stanovená přípustná doba trvání tohoto stavu nesmí překročit 24 hodin za kalendářní rok.</w:t>
      </w:r>
    </w:p>
    <w:p w14:paraId="013E668D" w14:textId="77777777" w:rsidR="00877E83" w:rsidRPr="0030358C" w:rsidRDefault="00000000" w:rsidP="00877E83">
      <w:pPr>
        <w:pStyle w:val="25"/>
        <w:rPr>
          <w:rFonts w:ascii="Arial" w:hAnsi="Arial" w:cs="Arial"/>
          <w:b/>
          <w:bCs/>
          <w:sz w:val="22"/>
          <w:szCs w:val="22"/>
        </w:rPr>
      </w:pPr>
      <w:r w:rsidRPr="0030358C">
        <w:rPr>
          <w:rFonts w:ascii="Arial" w:hAnsi="Arial" w:cs="Arial"/>
          <w:b/>
          <w:bCs/>
          <w:sz w:val="22"/>
          <w:szCs w:val="22"/>
        </w:rPr>
        <w:t>(12)</w:t>
      </w:r>
      <w:r w:rsidRPr="0030358C">
        <w:rPr>
          <w:rFonts w:ascii="Arial" w:hAnsi="Arial" w:cs="Arial"/>
          <w:sz w:val="22"/>
          <w:szCs w:val="22"/>
        </w:rPr>
        <w:t xml:space="preserve"> </w:t>
      </w:r>
      <w:r w:rsidRPr="0030358C">
        <w:rPr>
          <w:rFonts w:ascii="Arial" w:hAnsi="Arial" w:cs="Arial"/>
          <w:sz w:val="22"/>
          <w:szCs w:val="22"/>
        </w:rPr>
        <w:tab/>
      </w:r>
      <w:r w:rsidRPr="0030358C">
        <w:rPr>
          <w:rFonts w:ascii="Arial" w:hAnsi="Arial" w:cs="Arial"/>
          <w:b/>
          <w:bCs/>
          <w:sz w:val="22"/>
          <w:szCs w:val="22"/>
        </w:rPr>
        <w:t xml:space="preserve">Pokud krajský úřad stanoví v povolení provozu zjišťování úrovně znečišťování kontinuálním měřením emisí, stanoví v povolení provozu rovněž podmínky a způsob vyhodnocení plnění specifického emisního limitu, pokud budou odlišné od podmínek a způsobu uvedených v </w:t>
      </w:r>
      <w:r w:rsidR="00F25F08" w:rsidRPr="0030358C">
        <w:rPr>
          <w:rFonts w:ascii="Arial" w:hAnsi="Arial" w:cs="Arial"/>
          <w:b/>
          <w:bCs/>
          <w:sz w:val="22"/>
          <w:szCs w:val="22"/>
        </w:rPr>
        <w:t>odstavcích 1 až 11</w:t>
      </w:r>
      <w:r w:rsidRPr="0030358C">
        <w:rPr>
          <w:rFonts w:ascii="Arial" w:hAnsi="Arial" w:cs="Arial"/>
          <w:b/>
          <w:bCs/>
          <w:sz w:val="22"/>
          <w:szCs w:val="22"/>
        </w:rPr>
        <w:t>.</w:t>
      </w:r>
    </w:p>
    <w:p w14:paraId="51F0D510" w14:textId="77777777" w:rsidR="00877E83" w:rsidRPr="0030358C" w:rsidRDefault="00877E83" w:rsidP="00877E83">
      <w:pPr>
        <w:pStyle w:val="25"/>
        <w:ind w:left="0" w:firstLine="0"/>
        <w:rPr>
          <w:rFonts w:ascii="Arial" w:hAnsi="Arial" w:cs="Arial"/>
          <w:sz w:val="22"/>
          <w:szCs w:val="22"/>
        </w:rPr>
      </w:pPr>
    </w:p>
    <w:p w14:paraId="1F2A963D" w14:textId="77777777" w:rsidR="00A77B3E" w:rsidRPr="0030358C" w:rsidRDefault="00000000">
      <w:pPr>
        <w:pStyle w:val="15"/>
        <w:rPr>
          <w:rFonts w:ascii="Arial" w:hAnsi="Arial" w:cs="Arial"/>
          <w:sz w:val="22"/>
          <w:szCs w:val="22"/>
        </w:rPr>
      </w:pPr>
      <w:r w:rsidRPr="0030358C">
        <w:rPr>
          <w:rFonts w:ascii="Arial" w:hAnsi="Arial" w:cs="Arial"/>
          <w:sz w:val="22"/>
          <w:szCs w:val="22"/>
        </w:rPr>
        <w:t>§ 10</w:t>
      </w:r>
    </w:p>
    <w:p w14:paraId="3FD275C8" w14:textId="77777777" w:rsidR="00A77B3E" w:rsidRPr="0030358C" w:rsidRDefault="00000000">
      <w:pPr>
        <w:pStyle w:val="10"/>
        <w:rPr>
          <w:rFonts w:ascii="Arial" w:hAnsi="Arial" w:cs="Arial"/>
          <w:sz w:val="22"/>
          <w:szCs w:val="22"/>
        </w:rPr>
      </w:pPr>
      <w:r w:rsidRPr="0030358C">
        <w:rPr>
          <w:rFonts w:ascii="Arial" w:hAnsi="Arial" w:cs="Arial"/>
          <w:sz w:val="22"/>
          <w:szCs w:val="22"/>
        </w:rPr>
        <w:t>Způsob zjišťování tmavosti kouře</w:t>
      </w:r>
    </w:p>
    <w:p w14:paraId="07FD4869"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4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143BE7" w:rsidRPr="0030358C">
        <w:rPr>
          <w:rFonts w:ascii="Arial" w:hAnsi="Arial" w:cs="Arial"/>
          <w:sz w:val="22"/>
          <w:szCs w:val="22"/>
          <w:highlight w:val="yellow"/>
        </w:rPr>
        <w:t>7</w:t>
      </w:r>
      <w:r w:rsidR="00143BE7"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1ACF93F4" w14:textId="77777777" w:rsidR="00A77B3E" w:rsidRPr="0030358C" w:rsidRDefault="00000000">
      <w:pPr>
        <w:pStyle w:val="11"/>
        <w:rPr>
          <w:rFonts w:ascii="Arial" w:hAnsi="Arial" w:cs="Arial"/>
          <w:sz w:val="22"/>
          <w:szCs w:val="22"/>
        </w:rPr>
      </w:pPr>
      <w:r w:rsidRPr="0030358C">
        <w:rPr>
          <w:rFonts w:ascii="Arial" w:hAnsi="Arial" w:cs="Arial"/>
          <w:sz w:val="22"/>
          <w:szCs w:val="22"/>
        </w:rPr>
        <w:t>(1)    Pro zjišťování tmavosti kouře se používá Ringelmannova stupnice, která sestává ze 6 čtvercových polí tvořených pravoúhlou sítí černých čar o tloušťce a hustotě sítě na bílém podkladě odpovídající následujícím stupňům tmavosti kouře:</w:t>
      </w:r>
    </w:p>
    <w:p w14:paraId="286BA6C6" w14:textId="77777777" w:rsidR="00A77B3E" w:rsidRPr="0030358C" w:rsidRDefault="00000000">
      <w:pPr>
        <w:pStyle w:val="12"/>
        <w:rPr>
          <w:rFonts w:ascii="Arial" w:hAnsi="Arial" w:cs="Arial"/>
          <w:sz w:val="22"/>
          <w:szCs w:val="22"/>
        </w:rPr>
      </w:pPr>
      <w:r w:rsidRPr="0030358C">
        <w:rPr>
          <w:rFonts w:ascii="Arial" w:hAnsi="Arial" w:cs="Arial"/>
          <w:sz w:val="22"/>
          <w:szCs w:val="22"/>
        </w:rPr>
        <w:t>a)    stupeň 0 odpovídá 0 % černé barvy na bílém podkladě s definovanou odrazivostí světla 80 %,</w:t>
      </w:r>
    </w:p>
    <w:p w14:paraId="44E9B712" w14:textId="77777777" w:rsidR="00A77B3E" w:rsidRPr="0030358C" w:rsidRDefault="00000000">
      <w:pPr>
        <w:pStyle w:val="13"/>
        <w:rPr>
          <w:rFonts w:ascii="Arial" w:hAnsi="Arial" w:cs="Arial"/>
          <w:sz w:val="22"/>
          <w:szCs w:val="22"/>
        </w:rPr>
      </w:pPr>
      <w:r w:rsidRPr="0030358C">
        <w:rPr>
          <w:rFonts w:ascii="Arial" w:hAnsi="Arial" w:cs="Arial"/>
          <w:sz w:val="22"/>
          <w:szCs w:val="22"/>
        </w:rPr>
        <w:t>b)    stupeň 1 odpovídá 20 % černé barvy na bílém podkladě,</w:t>
      </w:r>
    </w:p>
    <w:p w14:paraId="55210FC5" w14:textId="77777777" w:rsidR="00A77B3E" w:rsidRPr="0030358C" w:rsidRDefault="00000000">
      <w:pPr>
        <w:pStyle w:val="13"/>
        <w:rPr>
          <w:rFonts w:ascii="Arial" w:hAnsi="Arial" w:cs="Arial"/>
          <w:sz w:val="22"/>
          <w:szCs w:val="22"/>
        </w:rPr>
      </w:pPr>
      <w:r w:rsidRPr="0030358C">
        <w:rPr>
          <w:rFonts w:ascii="Arial" w:hAnsi="Arial" w:cs="Arial"/>
          <w:sz w:val="22"/>
          <w:szCs w:val="22"/>
        </w:rPr>
        <w:t>c)    stupeň 2 odpovídá 40 % černé barvy na bílém podkladě,</w:t>
      </w:r>
    </w:p>
    <w:p w14:paraId="7066D76C" w14:textId="77777777" w:rsidR="00A77B3E" w:rsidRPr="0030358C" w:rsidRDefault="00000000">
      <w:pPr>
        <w:pStyle w:val="13"/>
        <w:rPr>
          <w:rFonts w:ascii="Arial" w:hAnsi="Arial" w:cs="Arial"/>
          <w:sz w:val="22"/>
          <w:szCs w:val="22"/>
        </w:rPr>
      </w:pPr>
      <w:r w:rsidRPr="0030358C">
        <w:rPr>
          <w:rFonts w:ascii="Arial" w:hAnsi="Arial" w:cs="Arial"/>
          <w:sz w:val="22"/>
          <w:szCs w:val="22"/>
        </w:rPr>
        <w:t>d)    stupeň 3 odpovídá 60 % černé barvy na bílém podkladě,</w:t>
      </w:r>
    </w:p>
    <w:p w14:paraId="346348CA" w14:textId="77777777" w:rsidR="00A77B3E" w:rsidRPr="0030358C" w:rsidRDefault="00000000">
      <w:pPr>
        <w:pStyle w:val="13"/>
        <w:rPr>
          <w:rFonts w:ascii="Arial" w:hAnsi="Arial" w:cs="Arial"/>
          <w:sz w:val="22"/>
          <w:szCs w:val="22"/>
        </w:rPr>
      </w:pPr>
      <w:r w:rsidRPr="0030358C">
        <w:rPr>
          <w:rFonts w:ascii="Arial" w:hAnsi="Arial" w:cs="Arial"/>
          <w:sz w:val="22"/>
          <w:szCs w:val="22"/>
        </w:rPr>
        <w:t>e)    stupeň 4 odpovídá 80 % černé barvy na bílém podkladě,</w:t>
      </w:r>
    </w:p>
    <w:p w14:paraId="5FEC3F47" w14:textId="77777777" w:rsidR="00A77B3E" w:rsidRPr="0030358C" w:rsidRDefault="00000000">
      <w:pPr>
        <w:pStyle w:val="14"/>
        <w:rPr>
          <w:rFonts w:ascii="Arial" w:hAnsi="Arial" w:cs="Arial"/>
          <w:sz w:val="22"/>
          <w:szCs w:val="22"/>
        </w:rPr>
      </w:pPr>
      <w:r w:rsidRPr="0030358C">
        <w:rPr>
          <w:rFonts w:ascii="Arial" w:hAnsi="Arial" w:cs="Arial"/>
          <w:sz w:val="22"/>
          <w:szCs w:val="22"/>
        </w:rPr>
        <w:t>f)    stupeň 5 odpovídá 100 % černé barvy na bílém podkladě.</w:t>
      </w:r>
    </w:p>
    <w:p w14:paraId="05447517" w14:textId="77777777" w:rsidR="00A77B3E" w:rsidRPr="0030358C" w:rsidRDefault="00000000">
      <w:pPr>
        <w:pStyle w:val="24"/>
        <w:rPr>
          <w:rFonts w:ascii="Arial" w:hAnsi="Arial" w:cs="Arial"/>
          <w:sz w:val="22"/>
          <w:szCs w:val="22"/>
        </w:rPr>
      </w:pPr>
      <w:r w:rsidRPr="0030358C">
        <w:rPr>
          <w:rFonts w:ascii="Arial" w:hAnsi="Arial" w:cs="Arial"/>
          <w:sz w:val="22"/>
          <w:szCs w:val="22"/>
        </w:rPr>
        <w:t>(2)    Stupeň 5 Ringelmannovy stupnice slouží pro ověření jejích optických vlastností. Černá barva použitá k tisku stupnice musí mít odrazivost světla 5 %.</w:t>
      </w:r>
    </w:p>
    <w:p w14:paraId="2E4CB538" w14:textId="77777777" w:rsidR="00A77B3E" w:rsidRPr="0030358C" w:rsidRDefault="00000000">
      <w:pPr>
        <w:pStyle w:val="25"/>
        <w:rPr>
          <w:rFonts w:ascii="Arial" w:hAnsi="Arial" w:cs="Arial"/>
          <w:sz w:val="22"/>
          <w:szCs w:val="22"/>
        </w:rPr>
      </w:pPr>
      <w:r w:rsidRPr="0030358C">
        <w:rPr>
          <w:rFonts w:ascii="Arial" w:hAnsi="Arial" w:cs="Arial"/>
          <w:sz w:val="22"/>
          <w:szCs w:val="22"/>
        </w:rPr>
        <w:t>(3)    Pro platnost měření tmavosti kouře musí být dodrženy následující podmínky:</w:t>
      </w:r>
    </w:p>
    <w:p w14:paraId="4FD0F238" w14:textId="77777777" w:rsidR="00A77B3E" w:rsidRPr="0030358C" w:rsidRDefault="00000000">
      <w:pPr>
        <w:pStyle w:val="12"/>
        <w:rPr>
          <w:rFonts w:ascii="Arial" w:hAnsi="Arial" w:cs="Arial"/>
          <w:sz w:val="22"/>
          <w:szCs w:val="22"/>
        </w:rPr>
      </w:pPr>
      <w:r w:rsidRPr="0030358C">
        <w:rPr>
          <w:rFonts w:ascii="Arial" w:hAnsi="Arial" w:cs="Arial"/>
          <w:sz w:val="22"/>
          <w:szCs w:val="22"/>
        </w:rPr>
        <w:t>a)    směr kouřové vlečky vystupující z komína je přibližně v pravém úhlu na směr pozorování,</w:t>
      </w:r>
    </w:p>
    <w:p w14:paraId="1DE9361F" w14:textId="77777777" w:rsidR="00A77B3E" w:rsidRPr="0030358C" w:rsidRDefault="00000000">
      <w:pPr>
        <w:pStyle w:val="13"/>
        <w:rPr>
          <w:rFonts w:ascii="Arial" w:hAnsi="Arial" w:cs="Arial"/>
          <w:sz w:val="22"/>
          <w:szCs w:val="22"/>
        </w:rPr>
      </w:pPr>
      <w:r w:rsidRPr="0030358C">
        <w:rPr>
          <w:rFonts w:ascii="Arial" w:hAnsi="Arial" w:cs="Arial"/>
          <w:sz w:val="22"/>
          <w:szCs w:val="22"/>
        </w:rPr>
        <w:t>b)    pozadí kouřové vlečky tvoří rozptýlené světlo oblohy během dne; měření nelze provádět proti slunci, proti zástavbě nebo okolnímu terénu a</w:t>
      </w:r>
    </w:p>
    <w:p w14:paraId="16CE0CB2" w14:textId="77777777" w:rsidR="00A77B3E" w:rsidRPr="0030358C" w:rsidRDefault="00000000">
      <w:pPr>
        <w:pStyle w:val="14"/>
        <w:rPr>
          <w:rFonts w:ascii="Arial" w:hAnsi="Arial" w:cs="Arial"/>
          <w:sz w:val="22"/>
          <w:szCs w:val="22"/>
        </w:rPr>
      </w:pPr>
      <w:r w:rsidRPr="0030358C">
        <w:rPr>
          <w:rFonts w:ascii="Arial" w:hAnsi="Arial" w:cs="Arial"/>
          <w:sz w:val="22"/>
          <w:szCs w:val="22"/>
        </w:rPr>
        <w:t>c)    Ringelmannovu stupnici drží pozorovatel ve volně natažené paži tak, že se síť jednotlivých polí slije do rozdílných stupňů šedé barvy.</w:t>
      </w:r>
    </w:p>
    <w:p w14:paraId="79C9BC70" w14:textId="77777777" w:rsidR="00A77B3E" w:rsidRPr="0030358C" w:rsidRDefault="00000000">
      <w:pPr>
        <w:pStyle w:val="11"/>
        <w:rPr>
          <w:rFonts w:ascii="Arial" w:hAnsi="Arial" w:cs="Arial"/>
          <w:sz w:val="22"/>
          <w:szCs w:val="22"/>
        </w:rPr>
      </w:pPr>
      <w:r w:rsidRPr="0030358C">
        <w:rPr>
          <w:rFonts w:ascii="Arial" w:hAnsi="Arial" w:cs="Arial"/>
          <w:sz w:val="22"/>
          <w:szCs w:val="22"/>
        </w:rPr>
        <w:lastRenderedPageBreak/>
        <w:t>(4)    Při vyhodnocení měření tmavosti kouře se Ringelmannova stupnice porovná s kouřovou vlečkou v místě výstupu kouře z koruny komína a určí se stupeň tmavosti kouře. Při měření se provádí postupně 30 stanovení stupně tmavosti kouře v pravidelných půlminutových intervalech. Délka jednoho odečtu činí 5 sekund. Měření se vyhodnotí jako průměrná tmavost kouře z 30 odečtů. Do vyhodnocení se nezohledňuje doba uvádění spalovacího stacionárního zdroje do provozu v trvání nejdéle 30 minut, pokud není v povolení provozu stanoveno jinak.</w:t>
      </w:r>
    </w:p>
    <w:p w14:paraId="4B4F023B" w14:textId="77777777" w:rsidR="00212C96" w:rsidRPr="0030358C" w:rsidRDefault="00212C96">
      <w:pPr>
        <w:pStyle w:val="11"/>
        <w:rPr>
          <w:rFonts w:ascii="Arial" w:hAnsi="Arial" w:cs="Arial"/>
          <w:sz w:val="22"/>
          <w:szCs w:val="22"/>
        </w:rPr>
      </w:pPr>
    </w:p>
    <w:p w14:paraId="311580DA" w14:textId="77777777" w:rsidR="00A77B3E" w:rsidRPr="0030358C" w:rsidRDefault="00000000">
      <w:pPr>
        <w:pStyle w:val="15"/>
        <w:rPr>
          <w:rFonts w:ascii="Arial" w:hAnsi="Arial" w:cs="Arial"/>
          <w:sz w:val="22"/>
          <w:szCs w:val="22"/>
        </w:rPr>
      </w:pPr>
      <w:r w:rsidRPr="0030358C">
        <w:rPr>
          <w:rFonts w:ascii="Arial" w:hAnsi="Arial" w:cs="Arial"/>
          <w:sz w:val="22"/>
          <w:szCs w:val="22"/>
        </w:rPr>
        <w:t>§ 11</w:t>
      </w:r>
    </w:p>
    <w:p w14:paraId="20FD08DC" w14:textId="77777777" w:rsidR="00A77B3E" w:rsidRPr="0030358C" w:rsidRDefault="00000000">
      <w:pPr>
        <w:pStyle w:val="10"/>
        <w:rPr>
          <w:rFonts w:ascii="Arial" w:hAnsi="Arial" w:cs="Arial"/>
          <w:sz w:val="22"/>
          <w:szCs w:val="22"/>
        </w:rPr>
      </w:pPr>
      <w:r w:rsidRPr="0030358C">
        <w:rPr>
          <w:rFonts w:ascii="Arial" w:hAnsi="Arial" w:cs="Arial"/>
          <w:sz w:val="22"/>
          <w:szCs w:val="22"/>
        </w:rPr>
        <w:t>Vyhodnocení plnění přípustné tmavosti kouře</w:t>
      </w:r>
    </w:p>
    <w:p w14:paraId="26499559"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4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143BE7" w:rsidRPr="0030358C">
        <w:rPr>
          <w:rFonts w:ascii="Arial" w:hAnsi="Arial" w:cs="Arial"/>
          <w:sz w:val="22"/>
          <w:szCs w:val="22"/>
          <w:highlight w:val="yellow"/>
        </w:rPr>
        <w:t>7</w:t>
      </w:r>
      <w:r w:rsidR="00143BE7"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6FF33E5D" w14:textId="77777777" w:rsidR="00A77B3E" w:rsidRPr="0030358C" w:rsidRDefault="00000000">
      <w:pPr>
        <w:pStyle w:val="16"/>
        <w:rPr>
          <w:rFonts w:ascii="Arial" w:hAnsi="Arial" w:cs="Arial"/>
          <w:sz w:val="22"/>
          <w:szCs w:val="22"/>
        </w:rPr>
      </w:pPr>
      <w:r w:rsidRPr="0030358C">
        <w:rPr>
          <w:rFonts w:ascii="Arial" w:hAnsi="Arial" w:cs="Arial"/>
          <w:sz w:val="22"/>
          <w:szCs w:val="22"/>
        </w:rPr>
        <w:t>Přípustná tmavost kouře je považována za dodrženou, pokud průměrná tmavost kouře není tmavší než stupeň 2 Ringelmannovy stupnice nebo jiné barvy.</w:t>
      </w:r>
    </w:p>
    <w:p w14:paraId="61AC571E" w14:textId="77777777" w:rsidR="00212C96" w:rsidRPr="0030358C" w:rsidRDefault="00212C96">
      <w:pPr>
        <w:pStyle w:val="16"/>
        <w:rPr>
          <w:rFonts w:ascii="Arial" w:hAnsi="Arial" w:cs="Arial"/>
          <w:sz w:val="22"/>
          <w:szCs w:val="22"/>
        </w:rPr>
      </w:pPr>
    </w:p>
    <w:p w14:paraId="2B96F1F1" w14:textId="77777777" w:rsidR="00A77B3E" w:rsidRPr="0030358C" w:rsidRDefault="00000000">
      <w:pPr>
        <w:pStyle w:val="15"/>
        <w:rPr>
          <w:rFonts w:ascii="Arial" w:hAnsi="Arial" w:cs="Arial"/>
          <w:sz w:val="22"/>
          <w:szCs w:val="22"/>
        </w:rPr>
      </w:pPr>
      <w:r w:rsidRPr="0030358C">
        <w:rPr>
          <w:rFonts w:ascii="Arial" w:hAnsi="Arial" w:cs="Arial"/>
          <w:sz w:val="22"/>
          <w:szCs w:val="22"/>
        </w:rPr>
        <w:t>§ 12</w:t>
      </w:r>
    </w:p>
    <w:p w14:paraId="58CC6E6F" w14:textId="77777777" w:rsidR="00A77B3E" w:rsidRPr="0030358C" w:rsidRDefault="00000000">
      <w:pPr>
        <w:pStyle w:val="10"/>
        <w:rPr>
          <w:rFonts w:ascii="Arial" w:hAnsi="Arial" w:cs="Arial"/>
          <w:sz w:val="22"/>
          <w:szCs w:val="22"/>
        </w:rPr>
      </w:pPr>
      <w:r w:rsidRPr="0030358C">
        <w:rPr>
          <w:rFonts w:ascii="Arial" w:hAnsi="Arial" w:cs="Arial"/>
          <w:sz w:val="22"/>
          <w:szCs w:val="22"/>
        </w:rPr>
        <w:t>Způsob zjišťování úrovně znečišťování výpočtem</w:t>
      </w:r>
    </w:p>
    <w:p w14:paraId="35B587E5"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6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143BE7" w:rsidRPr="0030358C">
        <w:rPr>
          <w:rFonts w:ascii="Arial" w:hAnsi="Arial" w:cs="Arial"/>
          <w:sz w:val="22"/>
          <w:szCs w:val="22"/>
          <w:highlight w:val="yellow"/>
        </w:rPr>
        <w:t>10</w:t>
      </w:r>
      <w:r w:rsidR="00143BE7"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102B216E" w14:textId="77777777" w:rsidR="00A77B3E" w:rsidRPr="0030358C" w:rsidRDefault="00000000">
      <w:pPr>
        <w:pStyle w:val="11"/>
        <w:rPr>
          <w:rFonts w:ascii="Arial" w:hAnsi="Arial" w:cs="Arial"/>
          <w:b/>
          <w:bCs/>
          <w:sz w:val="22"/>
          <w:szCs w:val="22"/>
        </w:rPr>
      </w:pPr>
      <w:r w:rsidRPr="0030358C">
        <w:rPr>
          <w:rFonts w:ascii="Arial" w:hAnsi="Arial" w:cs="Arial"/>
          <w:sz w:val="22"/>
          <w:szCs w:val="22"/>
        </w:rPr>
        <w:t>(1)    Výpočet za účelem zjištění emisí se provádí jednou za kalendářní rok jedním z těchto způsobů</w:t>
      </w:r>
      <w:r w:rsidR="004A7CE3" w:rsidRPr="0030358C">
        <w:rPr>
          <w:rFonts w:ascii="Arial" w:hAnsi="Arial" w:cs="Arial"/>
          <w:sz w:val="22"/>
          <w:szCs w:val="22"/>
        </w:rPr>
        <w:t xml:space="preserve"> </w:t>
      </w:r>
      <w:r w:rsidR="004A7CE3" w:rsidRPr="0030358C">
        <w:rPr>
          <w:rFonts w:ascii="Arial" w:hAnsi="Arial" w:cs="Arial"/>
          <w:b/>
          <w:bCs/>
          <w:sz w:val="22"/>
          <w:szCs w:val="22"/>
        </w:rPr>
        <w:t>stanovených v povolení provozu</w:t>
      </w:r>
    </w:p>
    <w:p w14:paraId="61AE2624" w14:textId="77777777" w:rsidR="00A77B3E" w:rsidRPr="0030358C" w:rsidRDefault="00000000">
      <w:pPr>
        <w:pStyle w:val="12"/>
        <w:rPr>
          <w:rFonts w:ascii="Arial" w:hAnsi="Arial" w:cs="Arial"/>
          <w:sz w:val="22"/>
          <w:szCs w:val="22"/>
        </w:rPr>
      </w:pPr>
      <w:r w:rsidRPr="0030358C">
        <w:rPr>
          <w:rFonts w:ascii="Arial" w:hAnsi="Arial" w:cs="Arial"/>
          <w:sz w:val="22"/>
          <w:szCs w:val="22"/>
        </w:rPr>
        <w:t>a)    bilancí technologického procesu jako rozdíl mezi hmotností znečišťující látky do procesu vstupující a hmotností znečišťující látky z procesu vystupující jinými cestami než emisí do vnějšího ovzduší (dále jen „hmotnostní bilance“),</w:t>
      </w:r>
    </w:p>
    <w:p w14:paraId="70FA2138" w14:textId="77777777" w:rsidR="00A77B3E" w:rsidRPr="0030358C" w:rsidRDefault="00000000">
      <w:pPr>
        <w:pStyle w:val="13"/>
        <w:rPr>
          <w:rFonts w:ascii="Arial" w:hAnsi="Arial" w:cs="Arial"/>
          <w:sz w:val="22"/>
          <w:szCs w:val="22"/>
        </w:rPr>
      </w:pPr>
      <w:r w:rsidRPr="0030358C">
        <w:rPr>
          <w:rFonts w:ascii="Arial" w:hAnsi="Arial" w:cs="Arial"/>
          <w:sz w:val="22"/>
          <w:szCs w:val="22"/>
        </w:rPr>
        <w:t xml:space="preserve">b)    jako součin emisního faktoru uvedeného pro odpovídající skupinu stacionárních zdrojů ve Věstníku Ministerstva životního prostředí a počtu jednotek příslušné vztažné veličiny na stacionárním zdroji v požadovaném časovém úseku, </w:t>
      </w:r>
      <w:r w:rsidRPr="0030358C">
        <w:rPr>
          <w:rFonts w:ascii="Arial" w:hAnsi="Arial" w:cs="Arial"/>
          <w:strike/>
          <w:sz w:val="22"/>
          <w:szCs w:val="22"/>
        </w:rPr>
        <w:t>nebo</w:t>
      </w:r>
    </w:p>
    <w:p w14:paraId="46D961FF" w14:textId="77777777" w:rsidR="005254C5" w:rsidRPr="0030358C" w:rsidRDefault="00000000" w:rsidP="00714755">
      <w:pPr>
        <w:pStyle w:val="14"/>
        <w:rPr>
          <w:rFonts w:ascii="Arial" w:hAnsi="Arial" w:cs="Arial"/>
          <w:b/>
          <w:bCs/>
          <w:sz w:val="22"/>
          <w:szCs w:val="22"/>
        </w:rPr>
      </w:pPr>
      <w:r w:rsidRPr="0030358C">
        <w:rPr>
          <w:rFonts w:ascii="Arial" w:hAnsi="Arial" w:cs="Arial"/>
          <w:sz w:val="22"/>
          <w:szCs w:val="22"/>
        </w:rPr>
        <w:t>c)    jako součin měrné výrobní emise stanovené jednorázovým autorizovaným měřením a příslušné vztažné veličiny</w:t>
      </w:r>
      <w:r w:rsidRPr="0030358C">
        <w:rPr>
          <w:rFonts w:ascii="Arial" w:hAnsi="Arial" w:cs="Arial"/>
          <w:strike/>
          <w:sz w:val="22"/>
          <w:szCs w:val="22"/>
        </w:rPr>
        <w:t>, pokud je tak stanoveno v povolení provozu.</w:t>
      </w:r>
      <w:r w:rsidRPr="0030358C">
        <w:rPr>
          <w:rFonts w:ascii="Arial" w:hAnsi="Arial" w:cs="Arial"/>
          <w:b/>
          <w:bCs/>
          <w:sz w:val="22"/>
          <w:szCs w:val="22"/>
        </w:rPr>
        <w:t>,</w:t>
      </w:r>
    </w:p>
    <w:p w14:paraId="1C9148D5" w14:textId="77777777" w:rsidR="00405C34" w:rsidRPr="0030358C" w:rsidRDefault="00000000" w:rsidP="004A7CE3">
      <w:pPr>
        <w:pStyle w:val="14"/>
        <w:rPr>
          <w:rFonts w:ascii="Arial" w:hAnsi="Arial" w:cs="Arial"/>
          <w:b/>
          <w:bCs/>
          <w:sz w:val="22"/>
          <w:szCs w:val="22"/>
        </w:rPr>
      </w:pPr>
      <w:r w:rsidRPr="0030358C">
        <w:rPr>
          <w:rFonts w:ascii="Arial" w:hAnsi="Arial" w:cs="Arial"/>
          <w:b/>
          <w:bCs/>
          <w:sz w:val="22"/>
          <w:szCs w:val="22"/>
        </w:rPr>
        <w:t>d) jako součin hmotnostního toku stanoveného jednorázovým autorizovaným měřením a provozní doby stacionárního zdroje v kalendářním roce, pokud má tento způsob stanovení lepší vypovídací schopnost o úrovni znečišťování, než postup podle písm. c), nebo</w:t>
      </w:r>
    </w:p>
    <w:p w14:paraId="0CA3DB04" w14:textId="77777777" w:rsidR="00A77B3E" w:rsidRPr="0030358C" w:rsidRDefault="00000000" w:rsidP="00714755">
      <w:pPr>
        <w:pStyle w:val="14"/>
        <w:rPr>
          <w:rFonts w:ascii="Arial" w:hAnsi="Arial" w:cs="Arial"/>
          <w:sz w:val="22"/>
          <w:szCs w:val="22"/>
        </w:rPr>
      </w:pPr>
      <w:r w:rsidRPr="0030358C">
        <w:rPr>
          <w:rFonts w:ascii="Arial" w:hAnsi="Arial" w:cs="Arial"/>
          <w:b/>
          <w:bCs/>
          <w:sz w:val="22"/>
          <w:szCs w:val="22"/>
        </w:rPr>
        <w:t>e</w:t>
      </w:r>
      <w:r w:rsidR="005254C5" w:rsidRPr="0030358C">
        <w:rPr>
          <w:rFonts w:ascii="Arial" w:hAnsi="Arial" w:cs="Arial"/>
          <w:b/>
          <w:bCs/>
          <w:sz w:val="22"/>
          <w:szCs w:val="22"/>
        </w:rPr>
        <w:t>) jiným způsobem, který stanoví krajský úřad</w:t>
      </w:r>
      <w:r w:rsidR="005254C5" w:rsidRPr="0030358C">
        <w:rPr>
          <w:rFonts w:ascii="Arial" w:hAnsi="Arial" w:cs="Arial"/>
          <w:sz w:val="22"/>
          <w:szCs w:val="22"/>
        </w:rPr>
        <w:t xml:space="preserve">.  </w:t>
      </w:r>
    </w:p>
    <w:p w14:paraId="0515CE72" w14:textId="77777777" w:rsidR="00A77B3E" w:rsidRPr="0030358C" w:rsidRDefault="00000000">
      <w:pPr>
        <w:pStyle w:val="11"/>
        <w:rPr>
          <w:rFonts w:ascii="Arial" w:hAnsi="Arial" w:cs="Arial"/>
          <w:sz w:val="22"/>
          <w:szCs w:val="22"/>
        </w:rPr>
      </w:pPr>
      <w:r w:rsidRPr="0030358C">
        <w:rPr>
          <w:rFonts w:ascii="Arial" w:hAnsi="Arial" w:cs="Arial"/>
          <w:sz w:val="22"/>
          <w:szCs w:val="22"/>
        </w:rPr>
        <w:t xml:space="preserve">(2)    U stacionárních zdrojů uvedených v </w:t>
      </w:r>
      <w:hyperlink w:history="1">
        <w:r w:rsidR="00A77B3E" w:rsidRPr="0030358C">
          <w:rPr>
            <w:rFonts w:ascii="Arial" w:hAnsi="Arial" w:cs="Arial"/>
            <w:sz w:val="22"/>
            <w:szCs w:val="22"/>
          </w:rPr>
          <w:t>části II přílohy č. 5</w:t>
        </w:r>
      </w:hyperlink>
      <w:r w:rsidRPr="0030358C">
        <w:rPr>
          <w:rFonts w:ascii="Arial" w:hAnsi="Arial" w:cs="Arial"/>
          <w:sz w:val="22"/>
          <w:szCs w:val="22"/>
        </w:rPr>
        <w:t xml:space="preserve"> se hmotnostní bilance pro těkavé organické látky provádí podle </w:t>
      </w:r>
      <w:hyperlink w:history="1">
        <w:r w:rsidR="00A77B3E" w:rsidRPr="0030358C">
          <w:rPr>
            <w:rFonts w:ascii="Arial" w:hAnsi="Arial" w:cs="Arial"/>
            <w:sz w:val="22"/>
            <w:szCs w:val="22"/>
          </w:rPr>
          <w:t>části IV přílohy č. 5</w:t>
        </w:r>
      </w:hyperlink>
      <w:r w:rsidRPr="0030358C">
        <w:rPr>
          <w:rFonts w:ascii="Arial" w:hAnsi="Arial" w:cs="Arial"/>
          <w:sz w:val="22"/>
          <w:szCs w:val="22"/>
        </w:rPr>
        <w:t>.</w:t>
      </w:r>
    </w:p>
    <w:p w14:paraId="309DA26A" w14:textId="77777777" w:rsidR="00714755" w:rsidRPr="0030358C" w:rsidRDefault="00714755">
      <w:pPr>
        <w:pStyle w:val="11"/>
        <w:rPr>
          <w:rFonts w:ascii="Arial" w:hAnsi="Arial" w:cs="Arial"/>
          <w:sz w:val="22"/>
          <w:szCs w:val="22"/>
        </w:rPr>
      </w:pPr>
    </w:p>
    <w:p w14:paraId="2A6C7C6C" w14:textId="77777777" w:rsidR="00714755" w:rsidRPr="0030358C" w:rsidRDefault="00000000" w:rsidP="00714755">
      <w:pPr>
        <w:rPr>
          <w:rFonts w:ascii="Arial" w:hAnsi="Arial" w:cs="Arial"/>
          <w:b/>
          <w:bCs/>
          <w:sz w:val="22"/>
          <w:szCs w:val="22"/>
        </w:rPr>
      </w:pPr>
      <w:bookmarkStart w:id="24" w:name="_Hlk181202898"/>
      <w:r w:rsidRPr="0030358C">
        <w:rPr>
          <w:rFonts w:ascii="Arial" w:hAnsi="Arial" w:cs="Arial"/>
          <w:b/>
          <w:bCs/>
          <w:sz w:val="22"/>
          <w:szCs w:val="22"/>
        </w:rPr>
        <w:t>(</w:t>
      </w:r>
      <w:r w:rsidR="00AB6A49" w:rsidRPr="0030358C">
        <w:rPr>
          <w:rFonts w:ascii="Arial" w:hAnsi="Arial" w:cs="Arial"/>
          <w:b/>
          <w:bCs/>
          <w:sz w:val="22"/>
          <w:szCs w:val="22"/>
        </w:rPr>
        <w:t>3</w:t>
      </w:r>
      <w:r w:rsidRPr="0030358C">
        <w:rPr>
          <w:rFonts w:ascii="Arial" w:hAnsi="Arial" w:cs="Arial"/>
          <w:b/>
          <w:bCs/>
          <w:sz w:val="22"/>
          <w:szCs w:val="22"/>
        </w:rPr>
        <w:t xml:space="preserve">) </w:t>
      </w:r>
      <w:r w:rsidR="00547E0C" w:rsidRPr="0030358C">
        <w:rPr>
          <w:rFonts w:ascii="Arial" w:hAnsi="Arial" w:cs="Arial"/>
          <w:b/>
          <w:bCs/>
          <w:sz w:val="22"/>
          <w:szCs w:val="22"/>
        </w:rPr>
        <w:t>Způsob výpočtu emisí uvedený v odstavci 1 písm. e) krajský úřad v povolení provozu stanoví pouze, pokud nelze použít postup podle odstavce 1 písm. a) nebo způsob výpočtu emisí podle odstavce 1 písm. b), c) nebo d) neposkytuje reprezentativní hodnoty z důvodu velkého množství fugitivních emisí nebo z důvodu udělení výjimky podle § 17 odst. 3 písm. d) zákona s ohledem na absenci komína nebo výduchu.</w:t>
      </w:r>
    </w:p>
    <w:p w14:paraId="1EEE12C1" w14:textId="77777777" w:rsidR="005254C5" w:rsidRPr="0030358C" w:rsidRDefault="005254C5" w:rsidP="00714755">
      <w:pPr>
        <w:rPr>
          <w:rFonts w:ascii="Arial" w:hAnsi="Arial" w:cs="Arial"/>
          <w:b/>
          <w:bCs/>
          <w:sz w:val="22"/>
          <w:szCs w:val="22"/>
        </w:rPr>
      </w:pPr>
    </w:p>
    <w:bookmarkEnd w:id="24"/>
    <w:p w14:paraId="2E522F96" w14:textId="77777777" w:rsidR="00547E0C" w:rsidRPr="0030358C" w:rsidRDefault="00000000" w:rsidP="00547E0C">
      <w:pPr>
        <w:rPr>
          <w:rFonts w:ascii="Arial" w:hAnsi="Arial" w:cs="Arial"/>
          <w:b/>
          <w:bCs/>
          <w:sz w:val="22"/>
          <w:szCs w:val="22"/>
        </w:rPr>
      </w:pPr>
      <w:r w:rsidRPr="0030358C">
        <w:rPr>
          <w:rFonts w:ascii="Arial" w:hAnsi="Arial" w:cs="Arial"/>
          <w:b/>
          <w:bCs/>
          <w:sz w:val="22"/>
          <w:szCs w:val="22"/>
        </w:rPr>
        <w:t>(4) Pokud krajský úřad stanoví výpočet emisí podle odstavce 1 písm. e), použije postupy výpočtu schválené v rámci Úmluvy o dálkovém znečišťování ovzduší přecházejícím hranice států nebo jiné mezinárodně uznávané a používané postupy výpočtu.</w:t>
      </w:r>
    </w:p>
    <w:p w14:paraId="21F84D2F" w14:textId="77777777" w:rsidR="00547E0C" w:rsidRPr="0030358C" w:rsidRDefault="00547E0C" w:rsidP="00547E0C">
      <w:pPr>
        <w:rPr>
          <w:rFonts w:ascii="Arial" w:hAnsi="Arial" w:cs="Arial"/>
          <w:b/>
          <w:bCs/>
          <w:sz w:val="22"/>
          <w:szCs w:val="22"/>
        </w:rPr>
      </w:pPr>
    </w:p>
    <w:p w14:paraId="4DB5C6AF" w14:textId="77777777" w:rsidR="00714755" w:rsidRPr="0030358C" w:rsidRDefault="00000000" w:rsidP="00547E0C">
      <w:pPr>
        <w:rPr>
          <w:rFonts w:ascii="Arial" w:hAnsi="Arial" w:cs="Arial"/>
          <w:b/>
          <w:bCs/>
          <w:sz w:val="22"/>
          <w:szCs w:val="22"/>
        </w:rPr>
      </w:pPr>
      <w:r w:rsidRPr="0030358C">
        <w:rPr>
          <w:rFonts w:ascii="Arial" w:hAnsi="Arial" w:cs="Arial"/>
          <w:b/>
          <w:bCs/>
          <w:sz w:val="22"/>
          <w:szCs w:val="22"/>
        </w:rPr>
        <w:t xml:space="preserve">(5) U stacionárních zdrojů uvedených v části II přílohy č. 8 se v případě emisí těkavých organických látek </w:t>
      </w:r>
      <w:r w:rsidR="007F5645" w:rsidRPr="0030358C">
        <w:rPr>
          <w:rFonts w:ascii="Arial" w:hAnsi="Arial" w:cs="Arial"/>
          <w:b/>
          <w:bCs/>
          <w:sz w:val="22"/>
          <w:szCs w:val="22"/>
        </w:rPr>
        <w:t>(</w:t>
      </w:r>
      <w:r w:rsidRPr="0030358C">
        <w:rPr>
          <w:rFonts w:ascii="Arial" w:hAnsi="Arial" w:cs="Arial"/>
          <w:b/>
          <w:bCs/>
          <w:sz w:val="22"/>
          <w:szCs w:val="22"/>
        </w:rPr>
        <w:t>VOC</w:t>
      </w:r>
      <w:r w:rsidR="007F5645" w:rsidRPr="0030358C">
        <w:rPr>
          <w:rFonts w:ascii="Arial" w:hAnsi="Arial" w:cs="Arial"/>
          <w:b/>
          <w:bCs/>
          <w:sz w:val="22"/>
          <w:szCs w:val="22"/>
        </w:rPr>
        <w:t>)</w:t>
      </w:r>
      <w:r w:rsidRPr="0030358C">
        <w:rPr>
          <w:rFonts w:ascii="Arial" w:hAnsi="Arial" w:cs="Arial"/>
          <w:b/>
          <w:bCs/>
          <w:sz w:val="22"/>
          <w:szCs w:val="22"/>
        </w:rPr>
        <w:t xml:space="preserve"> stanovených jako hmotnostní koncentrace těkavých organických látek vyjádřených jako celkový organický uhlík </w:t>
      </w:r>
      <w:r w:rsidR="007F5645" w:rsidRPr="0030358C">
        <w:rPr>
          <w:rFonts w:ascii="Arial" w:hAnsi="Arial" w:cs="Arial"/>
          <w:b/>
          <w:bCs/>
          <w:sz w:val="22"/>
          <w:szCs w:val="22"/>
        </w:rPr>
        <w:t>(</w:t>
      </w:r>
      <w:r w:rsidRPr="0030358C">
        <w:rPr>
          <w:rFonts w:ascii="Arial" w:hAnsi="Arial" w:cs="Arial"/>
          <w:b/>
          <w:bCs/>
          <w:sz w:val="22"/>
          <w:szCs w:val="22"/>
        </w:rPr>
        <w:t>TOC</w:t>
      </w:r>
      <w:r w:rsidR="007F5645" w:rsidRPr="0030358C">
        <w:rPr>
          <w:rFonts w:ascii="Arial" w:hAnsi="Arial" w:cs="Arial"/>
          <w:b/>
          <w:bCs/>
          <w:sz w:val="22"/>
          <w:szCs w:val="22"/>
        </w:rPr>
        <w:t>)</w:t>
      </w:r>
      <w:r w:rsidRPr="0030358C">
        <w:rPr>
          <w:rFonts w:ascii="Arial" w:hAnsi="Arial" w:cs="Arial"/>
          <w:b/>
          <w:bCs/>
          <w:sz w:val="22"/>
          <w:szCs w:val="22"/>
        </w:rPr>
        <w:t xml:space="preserve"> provede přepočet z TOC na VOC na základě znalosti složení měřených emisí, nebo v případě, že složení měřených emisí není známé, získá se údaj VOC jako hodnota TOC vydělená číslem 0,8.</w:t>
      </w:r>
    </w:p>
    <w:p w14:paraId="519413C5" w14:textId="77777777" w:rsidR="00A77B3E" w:rsidRPr="0030358C" w:rsidRDefault="00000000">
      <w:pPr>
        <w:pStyle w:val="7"/>
        <w:rPr>
          <w:rFonts w:ascii="Arial" w:hAnsi="Arial" w:cs="Arial"/>
          <w:sz w:val="22"/>
          <w:szCs w:val="22"/>
        </w:rPr>
      </w:pPr>
      <w:r w:rsidRPr="0030358C">
        <w:rPr>
          <w:rFonts w:ascii="Arial" w:hAnsi="Arial" w:cs="Arial"/>
          <w:sz w:val="22"/>
          <w:szCs w:val="22"/>
        </w:rPr>
        <w:t>ČÁST TŘETÍ</w:t>
      </w:r>
    </w:p>
    <w:p w14:paraId="38C7517F" w14:textId="77777777" w:rsidR="00A77B3E" w:rsidRPr="0030358C" w:rsidRDefault="00000000">
      <w:pPr>
        <w:pStyle w:val="8"/>
        <w:rPr>
          <w:rFonts w:ascii="Arial" w:hAnsi="Arial" w:cs="Arial"/>
          <w:sz w:val="22"/>
          <w:szCs w:val="22"/>
        </w:rPr>
      </w:pPr>
      <w:r w:rsidRPr="0030358C">
        <w:rPr>
          <w:rFonts w:ascii="Arial" w:hAnsi="Arial" w:cs="Arial"/>
          <w:sz w:val="22"/>
          <w:szCs w:val="22"/>
        </w:rPr>
        <w:t>SPALOVÁNÍ PALIV</w:t>
      </w:r>
    </w:p>
    <w:p w14:paraId="518E4250" w14:textId="77777777" w:rsidR="00A77B3E" w:rsidRPr="0030358C" w:rsidRDefault="00000000">
      <w:pPr>
        <w:pStyle w:val="9"/>
        <w:rPr>
          <w:rFonts w:ascii="Arial" w:hAnsi="Arial" w:cs="Arial"/>
          <w:sz w:val="22"/>
          <w:szCs w:val="22"/>
        </w:rPr>
      </w:pPr>
      <w:r w:rsidRPr="0030358C">
        <w:rPr>
          <w:rFonts w:ascii="Arial" w:hAnsi="Arial" w:cs="Arial"/>
          <w:sz w:val="22"/>
          <w:szCs w:val="22"/>
        </w:rPr>
        <w:t>§ 13</w:t>
      </w:r>
    </w:p>
    <w:p w14:paraId="5992D459" w14:textId="77777777" w:rsidR="00A77B3E" w:rsidRPr="0030358C" w:rsidRDefault="00000000">
      <w:pPr>
        <w:pStyle w:val="10"/>
        <w:rPr>
          <w:rFonts w:ascii="Arial" w:hAnsi="Arial" w:cs="Arial"/>
          <w:sz w:val="22"/>
          <w:szCs w:val="22"/>
        </w:rPr>
      </w:pPr>
      <w:r w:rsidRPr="0030358C">
        <w:rPr>
          <w:rFonts w:ascii="Arial" w:hAnsi="Arial" w:cs="Arial"/>
          <w:sz w:val="22"/>
          <w:szCs w:val="22"/>
        </w:rPr>
        <w:t>Obecná ustanovení ke spalování paliv</w:t>
      </w:r>
    </w:p>
    <w:p w14:paraId="70E939A3" w14:textId="77777777" w:rsidR="00A77B3E" w:rsidRPr="0030358C" w:rsidRDefault="00000000">
      <w:pPr>
        <w:pStyle w:val="16"/>
        <w:rPr>
          <w:rFonts w:ascii="Arial" w:hAnsi="Arial" w:cs="Arial"/>
          <w:sz w:val="22"/>
          <w:szCs w:val="22"/>
        </w:rPr>
      </w:pPr>
      <w:bookmarkStart w:id="25" w:name="_Hlk182474514"/>
      <w:r w:rsidRPr="0030358C">
        <w:rPr>
          <w:rFonts w:ascii="Arial" w:hAnsi="Arial" w:cs="Arial"/>
          <w:sz w:val="22"/>
          <w:szCs w:val="22"/>
        </w:rPr>
        <w:t>Tato část vyhlášky se vztahuje na spalovací stacionární zdroje, v nichž jsou spalována paliva, s výjimkou</w:t>
      </w:r>
    </w:p>
    <w:p w14:paraId="3E552437" w14:textId="77777777" w:rsidR="00A77B3E" w:rsidRPr="0030358C" w:rsidRDefault="00000000">
      <w:pPr>
        <w:pStyle w:val="21"/>
        <w:rPr>
          <w:rFonts w:ascii="Arial" w:hAnsi="Arial" w:cs="Arial"/>
          <w:sz w:val="22"/>
          <w:szCs w:val="22"/>
        </w:rPr>
      </w:pPr>
      <w:r w:rsidRPr="0030358C">
        <w:rPr>
          <w:rFonts w:ascii="Arial" w:hAnsi="Arial" w:cs="Arial"/>
          <w:sz w:val="22"/>
          <w:szCs w:val="22"/>
        </w:rPr>
        <w:t>a)    stacionárních zdrojů, v nichž se spaliny používají pro přímý ohřev, pro sušení, pro vypalování nebo pro jinou tepelnou úpravu předmětů nebo materiálů,</w:t>
      </w:r>
    </w:p>
    <w:bookmarkEnd w:id="25"/>
    <w:p w14:paraId="635B3183" w14:textId="77777777" w:rsidR="00A77B3E" w:rsidRPr="0030358C" w:rsidRDefault="00000000">
      <w:pPr>
        <w:pStyle w:val="22"/>
        <w:rPr>
          <w:rFonts w:ascii="Arial" w:hAnsi="Arial" w:cs="Arial"/>
          <w:sz w:val="22"/>
          <w:szCs w:val="22"/>
        </w:rPr>
      </w:pPr>
      <w:r w:rsidRPr="0030358C">
        <w:rPr>
          <w:rFonts w:ascii="Arial" w:hAnsi="Arial" w:cs="Arial"/>
          <w:sz w:val="22"/>
          <w:szCs w:val="22"/>
        </w:rPr>
        <w:t>b)    stacionárních zdrojů pro dodatečné spalování, určené k čištění odpadních plynů spalováním, nejsou-li provozovány jako nezávislé spalovací stacionární zdroje,</w:t>
      </w:r>
    </w:p>
    <w:p w14:paraId="3C875F22" w14:textId="77777777" w:rsidR="00A77B3E" w:rsidRPr="0030358C" w:rsidRDefault="00000000">
      <w:pPr>
        <w:pStyle w:val="22"/>
        <w:rPr>
          <w:rFonts w:ascii="Arial" w:hAnsi="Arial" w:cs="Arial"/>
          <w:sz w:val="22"/>
          <w:szCs w:val="22"/>
        </w:rPr>
      </w:pPr>
      <w:r w:rsidRPr="0030358C">
        <w:rPr>
          <w:rFonts w:ascii="Arial" w:hAnsi="Arial" w:cs="Arial"/>
          <w:sz w:val="22"/>
          <w:szCs w:val="22"/>
        </w:rPr>
        <w:t>c)    stacionárních zdrojů pro regeneraci katalyzátorů katalytického štěpení,</w:t>
      </w:r>
    </w:p>
    <w:p w14:paraId="30596E73" w14:textId="77777777" w:rsidR="00A77B3E" w:rsidRPr="0030358C" w:rsidRDefault="00000000">
      <w:pPr>
        <w:pStyle w:val="22"/>
        <w:rPr>
          <w:rFonts w:ascii="Arial" w:hAnsi="Arial" w:cs="Arial"/>
          <w:sz w:val="22"/>
          <w:szCs w:val="22"/>
        </w:rPr>
      </w:pPr>
      <w:r w:rsidRPr="0030358C">
        <w:rPr>
          <w:rFonts w:ascii="Arial" w:hAnsi="Arial" w:cs="Arial"/>
          <w:sz w:val="22"/>
          <w:szCs w:val="22"/>
        </w:rPr>
        <w:t>d)    stacionárních zdrojů pro zpracování sulfanu na síru,</w:t>
      </w:r>
    </w:p>
    <w:p w14:paraId="71EEF61C" w14:textId="77777777" w:rsidR="00A77B3E" w:rsidRPr="0030358C" w:rsidRDefault="00000000">
      <w:pPr>
        <w:pStyle w:val="22"/>
        <w:rPr>
          <w:rFonts w:ascii="Arial" w:hAnsi="Arial" w:cs="Arial"/>
          <w:sz w:val="22"/>
          <w:szCs w:val="22"/>
        </w:rPr>
      </w:pPr>
      <w:r w:rsidRPr="0030358C">
        <w:rPr>
          <w:rFonts w:ascii="Arial" w:hAnsi="Arial" w:cs="Arial"/>
          <w:sz w:val="22"/>
          <w:szCs w:val="22"/>
        </w:rPr>
        <w:t>e)    reaktorů užívaných v chemickém průmyslu,</w:t>
      </w:r>
    </w:p>
    <w:p w14:paraId="7764832F" w14:textId="77777777" w:rsidR="00A77B3E" w:rsidRPr="0030358C" w:rsidRDefault="00000000">
      <w:pPr>
        <w:pStyle w:val="22"/>
        <w:rPr>
          <w:rFonts w:ascii="Arial" w:hAnsi="Arial" w:cs="Arial"/>
          <w:sz w:val="22"/>
          <w:szCs w:val="22"/>
        </w:rPr>
      </w:pPr>
      <w:r w:rsidRPr="0030358C">
        <w:rPr>
          <w:rFonts w:ascii="Arial" w:hAnsi="Arial" w:cs="Arial"/>
          <w:sz w:val="22"/>
          <w:szCs w:val="22"/>
        </w:rPr>
        <w:t>f)    koksárenských baterií,</w:t>
      </w:r>
    </w:p>
    <w:p w14:paraId="66099B62" w14:textId="77777777" w:rsidR="00A77B3E" w:rsidRPr="0030358C" w:rsidRDefault="00000000">
      <w:pPr>
        <w:pStyle w:val="22"/>
        <w:rPr>
          <w:rFonts w:ascii="Arial" w:hAnsi="Arial" w:cs="Arial"/>
          <w:sz w:val="22"/>
          <w:szCs w:val="22"/>
        </w:rPr>
      </w:pPr>
      <w:r w:rsidRPr="0030358C">
        <w:rPr>
          <w:rFonts w:ascii="Arial" w:hAnsi="Arial" w:cs="Arial"/>
          <w:sz w:val="22"/>
          <w:szCs w:val="22"/>
        </w:rPr>
        <w:t xml:space="preserve">g)    stacionárních zdrojů tepelně zpracovávajících odpad, který není biomasou podle </w:t>
      </w:r>
      <w:hyperlink w:history="1">
        <w:r w:rsidR="00A77B3E" w:rsidRPr="0030358C">
          <w:rPr>
            <w:rFonts w:ascii="Arial" w:hAnsi="Arial" w:cs="Arial"/>
            <w:sz w:val="22"/>
            <w:szCs w:val="22"/>
          </w:rPr>
          <w:t>§ 2 písm. a)</w:t>
        </w:r>
      </w:hyperlink>
      <w:r w:rsidRPr="0030358C">
        <w:rPr>
          <w:rFonts w:ascii="Arial" w:hAnsi="Arial" w:cs="Arial"/>
          <w:sz w:val="22"/>
          <w:szCs w:val="22"/>
        </w:rPr>
        <w:t>,</w:t>
      </w:r>
    </w:p>
    <w:p w14:paraId="199ADB71" w14:textId="77777777" w:rsidR="00A77B3E" w:rsidRPr="0030358C" w:rsidRDefault="00000000">
      <w:pPr>
        <w:pStyle w:val="22"/>
        <w:rPr>
          <w:rFonts w:ascii="Arial" w:hAnsi="Arial" w:cs="Arial"/>
          <w:sz w:val="22"/>
          <w:szCs w:val="22"/>
        </w:rPr>
      </w:pPr>
      <w:r w:rsidRPr="0030358C">
        <w:rPr>
          <w:rFonts w:ascii="Arial" w:hAnsi="Arial" w:cs="Arial"/>
          <w:sz w:val="22"/>
          <w:szCs w:val="22"/>
        </w:rPr>
        <w:t>h)    ohřívačů větru vysokých pecí,</w:t>
      </w:r>
    </w:p>
    <w:p w14:paraId="64E1338C" w14:textId="77777777" w:rsidR="00A77B3E" w:rsidRPr="0030358C" w:rsidRDefault="00000000">
      <w:pPr>
        <w:pStyle w:val="22"/>
        <w:rPr>
          <w:rFonts w:ascii="Arial" w:hAnsi="Arial" w:cs="Arial"/>
          <w:sz w:val="22"/>
          <w:szCs w:val="22"/>
        </w:rPr>
      </w:pPr>
      <w:r w:rsidRPr="0030358C">
        <w:rPr>
          <w:rFonts w:ascii="Arial" w:hAnsi="Arial" w:cs="Arial"/>
          <w:sz w:val="22"/>
          <w:szCs w:val="22"/>
        </w:rPr>
        <w:t>i)    plynových turbín a plynových motorů umístěných na těžebních plošinách,</w:t>
      </w:r>
    </w:p>
    <w:p w14:paraId="2E837639" w14:textId="77777777" w:rsidR="00A77B3E" w:rsidRPr="0030358C" w:rsidRDefault="00000000">
      <w:pPr>
        <w:pStyle w:val="22"/>
        <w:rPr>
          <w:rFonts w:ascii="Arial" w:hAnsi="Arial" w:cs="Arial"/>
          <w:sz w:val="22"/>
          <w:szCs w:val="22"/>
        </w:rPr>
      </w:pPr>
      <w:r w:rsidRPr="0030358C">
        <w:rPr>
          <w:rFonts w:ascii="Arial" w:hAnsi="Arial" w:cs="Arial"/>
          <w:sz w:val="22"/>
          <w:szCs w:val="22"/>
        </w:rPr>
        <w:t>j)    krematorií a zařízení k výhradnímu spalování těl zvířat,</w:t>
      </w:r>
    </w:p>
    <w:p w14:paraId="045B45EC" w14:textId="77777777" w:rsidR="00A77B3E" w:rsidRPr="0030358C" w:rsidRDefault="00000000">
      <w:pPr>
        <w:pStyle w:val="23"/>
        <w:rPr>
          <w:rFonts w:ascii="Arial" w:hAnsi="Arial" w:cs="Arial"/>
          <w:sz w:val="22"/>
          <w:szCs w:val="22"/>
        </w:rPr>
      </w:pPr>
      <w:r w:rsidRPr="0030358C">
        <w:rPr>
          <w:rFonts w:ascii="Arial" w:hAnsi="Arial" w:cs="Arial"/>
          <w:sz w:val="22"/>
          <w:szCs w:val="22"/>
        </w:rPr>
        <w:t>k)    stacionárních zdrojů o celkovém jmenovitém tepelném příkonu do 0,3 MW včetně.</w:t>
      </w:r>
    </w:p>
    <w:p w14:paraId="3C9620B6" w14:textId="77777777" w:rsidR="00A77B3E" w:rsidRPr="0030358C" w:rsidRDefault="00000000">
      <w:pPr>
        <w:pStyle w:val="15"/>
        <w:rPr>
          <w:rFonts w:ascii="Arial" w:hAnsi="Arial" w:cs="Arial"/>
          <w:sz w:val="22"/>
          <w:szCs w:val="22"/>
        </w:rPr>
      </w:pPr>
      <w:r w:rsidRPr="0030358C">
        <w:rPr>
          <w:rFonts w:ascii="Arial" w:hAnsi="Arial" w:cs="Arial"/>
          <w:sz w:val="22"/>
          <w:szCs w:val="22"/>
        </w:rPr>
        <w:t>§ 14</w:t>
      </w:r>
    </w:p>
    <w:p w14:paraId="6671C5E0" w14:textId="77777777" w:rsidR="00A77B3E" w:rsidRPr="0030358C" w:rsidRDefault="00000000">
      <w:pPr>
        <w:pStyle w:val="10"/>
        <w:rPr>
          <w:rFonts w:ascii="Arial" w:hAnsi="Arial" w:cs="Arial"/>
          <w:sz w:val="22"/>
          <w:szCs w:val="22"/>
        </w:rPr>
      </w:pPr>
      <w:r w:rsidRPr="0030358C">
        <w:rPr>
          <w:rFonts w:ascii="Arial" w:hAnsi="Arial" w:cs="Arial"/>
          <w:sz w:val="22"/>
          <w:szCs w:val="22"/>
        </w:rPr>
        <w:t>Specifické emisní limity</w:t>
      </w:r>
    </w:p>
    <w:p w14:paraId="35C10176"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4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DF6CB2" w:rsidRPr="0030358C">
        <w:rPr>
          <w:rFonts w:ascii="Arial" w:hAnsi="Arial" w:cs="Arial"/>
          <w:sz w:val="22"/>
          <w:szCs w:val="22"/>
          <w:highlight w:val="yellow"/>
        </w:rPr>
        <w:t>7</w:t>
      </w:r>
      <w:r w:rsidR="008F0377"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4861D299"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Specifické emisní limity a stavové a vztažné podmínky pro spalovací stacionární zdroje o celkovém jmenovitém tepelném příkonu 50 MW a vyšším, pro něž byla podána kompletní žádost o první povolení provozu, nebo obdobné povolení podle dřívějších právních předpisů, před 7. lednem 2013 a byly uvedeny do provozu nejpozději 7. ledna 2014, jsou uvedeny v </w:t>
      </w:r>
      <w:hyperlink w:history="1">
        <w:r w:rsidR="00A77B3E" w:rsidRPr="0030358C">
          <w:rPr>
            <w:rFonts w:ascii="Arial" w:hAnsi="Arial" w:cs="Arial"/>
            <w:sz w:val="22"/>
            <w:szCs w:val="22"/>
          </w:rPr>
          <w:t>tabulce 1 části I přílohy č. 2</w:t>
        </w:r>
      </w:hyperlink>
      <w:r w:rsidRPr="0030358C">
        <w:rPr>
          <w:rFonts w:ascii="Arial" w:hAnsi="Arial" w:cs="Arial"/>
          <w:sz w:val="22"/>
          <w:szCs w:val="22"/>
        </w:rPr>
        <w:t xml:space="preserve"> k této vyhlášce.</w:t>
      </w:r>
    </w:p>
    <w:p w14:paraId="6BD92367"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(2)    Specifické emisní limity a stavové a vztažné podmínky pro spalovací stacionární zdroje o celkovém jmenovitém tepelném příkonu 50 MW a vyšším, pro něž byla podána kompletní žádost o první povolení provozu 7. ledna 2013 nebo později nebo byly uvedeny do provozu po 7. lednu 2014, jsou uvedeny v </w:t>
      </w:r>
      <w:hyperlink w:history="1">
        <w:r w:rsidR="00A77B3E" w:rsidRPr="0030358C">
          <w:rPr>
            <w:rFonts w:ascii="Arial" w:hAnsi="Arial" w:cs="Arial"/>
            <w:sz w:val="22"/>
            <w:szCs w:val="22"/>
          </w:rPr>
          <w:t>tabulce 2 části I přílohy č. 2</w:t>
        </w:r>
      </w:hyperlink>
      <w:r w:rsidRPr="0030358C">
        <w:rPr>
          <w:rFonts w:ascii="Arial" w:hAnsi="Arial" w:cs="Arial"/>
          <w:sz w:val="22"/>
          <w:szCs w:val="22"/>
        </w:rPr>
        <w:t xml:space="preserve"> k této vyhlášce. Tyto specifické emisní limity a stavové a vztažné podmínky se použijí také pro spalovací stacionární zdroje o jmenovitém tepelném příkonu 50 MW a vyšším, u nichž došlo ke změně, která může mít dopad na životní prostředí.</w:t>
      </w:r>
    </w:p>
    <w:p w14:paraId="04300EDF"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(3)    Specifické emisní limity a stavové a vztažné podmínky pro spalovací stacionární zdroje o celkovém jmenovitém tepelném příkonu vyšším než 0,3 MW a nižším než 50 MW jsou stanoveny v </w:t>
      </w:r>
      <w:hyperlink w:history="1">
        <w:r w:rsidR="00A77B3E" w:rsidRPr="0030358C">
          <w:rPr>
            <w:rFonts w:ascii="Arial" w:hAnsi="Arial" w:cs="Arial"/>
            <w:sz w:val="22"/>
            <w:szCs w:val="22"/>
          </w:rPr>
          <w:t>části II přílohy č. 2</w:t>
        </w:r>
      </w:hyperlink>
      <w:r w:rsidRPr="0030358C">
        <w:rPr>
          <w:rFonts w:ascii="Arial" w:hAnsi="Arial" w:cs="Arial"/>
          <w:sz w:val="22"/>
          <w:szCs w:val="22"/>
        </w:rPr>
        <w:t xml:space="preserve"> k této vyhlášce.</w:t>
      </w:r>
    </w:p>
    <w:p w14:paraId="42B73C94" w14:textId="77777777" w:rsidR="00A77B3E" w:rsidRPr="0030358C" w:rsidRDefault="00000000">
      <w:pPr>
        <w:pStyle w:val="25"/>
        <w:rPr>
          <w:rFonts w:ascii="Arial" w:hAnsi="Arial" w:cs="Arial"/>
          <w:sz w:val="22"/>
          <w:szCs w:val="22"/>
        </w:rPr>
      </w:pPr>
      <w:r w:rsidRPr="0030358C">
        <w:rPr>
          <w:rFonts w:ascii="Arial" w:hAnsi="Arial" w:cs="Arial"/>
          <w:sz w:val="22"/>
          <w:szCs w:val="22"/>
        </w:rPr>
        <w:lastRenderedPageBreak/>
        <w:t xml:space="preserve">(4)    Pro spalovací stacionární zdroje, v nichž jsou současně nebo střídavě spalovány dva nebo více druhů paliv, se hodnoty specifických emisních limitů stanoví výpočtem uvedeným v </w:t>
      </w:r>
      <w:hyperlink w:history="1">
        <w:r w:rsidR="00A77B3E" w:rsidRPr="0030358C">
          <w:rPr>
            <w:rFonts w:ascii="Arial" w:hAnsi="Arial" w:cs="Arial"/>
            <w:sz w:val="22"/>
            <w:szCs w:val="22"/>
          </w:rPr>
          <w:t>části III přílohy č. 2</w:t>
        </w:r>
      </w:hyperlink>
      <w:r w:rsidRPr="0030358C">
        <w:rPr>
          <w:rFonts w:ascii="Arial" w:hAnsi="Arial" w:cs="Arial"/>
          <w:sz w:val="22"/>
          <w:szCs w:val="22"/>
        </w:rPr>
        <w:t xml:space="preserve"> k této vyhlášce. Použití jiných druhů paliv při uvádění stacionárního zdroje do provozu nebo při stabilizaci hoření, definované v provozním řádu, se nepovažuje za spalování více druhů paliv.</w:t>
      </w:r>
    </w:p>
    <w:p w14:paraId="0A9BE31E" w14:textId="77777777" w:rsidR="00A77B3E" w:rsidRPr="0030358C" w:rsidRDefault="00000000">
      <w:pPr>
        <w:pStyle w:val="15"/>
        <w:rPr>
          <w:rFonts w:ascii="Arial" w:hAnsi="Arial" w:cs="Arial"/>
          <w:sz w:val="22"/>
          <w:szCs w:val="22"/>
        </w:rPr>
      </w:pPr>
      <w:r w:rsidRPr="0030358C">
        <w:rPr>
          <w:rFonts w:ascii="Arial" w:hAnsi="Arial" w:cs="Arial"/>
          <w:sz w:val="22"/>
          <w:szCs w:val="22"/>
        </w:rPr>
        <w:t>§ 15</w:t>
      </w:r>
    </w:p>
    <w:p w14:paraId="1964B836" w14:textId="77777777" w:rsidR="00A77B3E" w:rsidRPr="0030358C" w:rsidRDefault="00000000">
      <w:pPr>
        <w:pStyle w:val="10"/>
        <w:rPr>
          <w:rFonts w:ascii="Arial" w:hAnsi="Arial" w:cs="Arial"/>
          <w:sz w:val="22"/>
          <w:szCs w:val="22"/>
        </w:rPr>
      </w:pPr>
      <w:r w:rsidRPr="0030358C">
        <w:rPr>
          <w:rFonts w:ascii="Arial" w:hAnsi="Arial" w:cs="Arial"/>
          <w:sz w:val="22"/>
          <w:szCs w:val="22"/>
        </w:rPr>
        <w:t>Technické podmínky provozu</w:t>
      </w:r>
    </w:p>
    <w:p w14:paraId="47FBBFF1"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4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DF6CB2" w:rsidRPr="0030358C">
        <w:rPr>
          <w:rFonts w:ascii="Arial" w:hAnsi="Arial" w:cs="Arial"/>
          <w:sz w:val="22"/>
          <w:szCs w:val="22"/>
          <w:highlight w:val="yellow"/>
        </w:rPr>
        <w:t>7</w:t>
      </w:r>
      <w:r w:rsidR="008F0377"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1FFF4F9A"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U spalovacích stacionárních zdrojů podle </w:t>
      </w:r>
      <w:hyperlink w:history="1">
        <w:r w:rsidR="00A77B3E" w:rsidRPr="0030358C">
          <w:rPr>
            <w:rFonts w:ascii="Arial" w:hAnsi="Arial" w:cs="Arial"/>
            <w:sz w:val="22"/>
            <w:szCs w:val="22"/>
          </w:rPr>
          <w:t>§ 4 odst. 6</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musí být plněn alespoň minimální poměr hmotnosti síry odloučené v místě spalovacího stacionárního zdroje v daném časovém úseku k hmotnosti síry obsažené v palivu, které bylo do spalovacího stacionárního zdroje přivedeno a ve stejném časovém úseku spáleno (dále jen „stupeň odsíření“). Stupeň odsíření se považuje za splněný, pokud vyhodnocení provedených měření prokáže, že všechny průměrné hodnoty stupně odsíření za daný kalendářní měsíc dosáhly stanoveného stupně. Do hodnot rozhodných pro posouzení dodržení minimálního stupně odsíření se nezahrnují údaje zjištěné v době uvádění stacionárního zdroje do provozu, v době jeho odstavování z provozu nebo při odstraňování poruchy nebo havárie.</w:t>
      </w:r>
    </w:p>
    <w:p w14:paraId="209D92A0"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(2)    Minimální stupně odsíření pro spalovací stacionární zdroje,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jsou stanoveny v </w:t>
      </w:r>
      <w:hyperlink w:history="1">
        <w:r w:rsidR="00A77B3E" w:rsidRPr="0030358C">
          <w:rPr>
            <w:rFonts w:ascii="Arial" w:hAnsi="Arial" w:cs="Arial"/>
            <w:sz w:val="22"/>
            <w:szCs w:val="22"/>
          </w:rPr>
          <w:t>tabulce 1 části IV přílohy č. 2</w:t>
        </w:r>
      </w:hyperlink>
      <w:r w:rsidRPr="0030358C">
        <w:rPr>
          <w:rFonts w:ascii="Arial" w:hAnsi="Arial" w:cs="Arial"/>
          <w:sz w:val="22"/>
          <w:szCs w:val="22"/>
        </w:rPr>
        <w:t xml:space="preserve"> k této vyhlášce.</w:t>
      </w:r>
    </w:p>
    <w:p w14:paraId="580EC922"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(3)    Minimální stupně odsíření pro spalovací stacionární zdroje, kterým bylo vydáno první povolení provozu, nebo obdobné povolení podle dřívějších právních předpisů, mezi 27. listopadem 2002 a 7. lednem 2013 nebo byly uvedeny do provozu mezi 27. listopadem 2003 a 7. lednem 2014, jsou stanoveny v </w:t>
      </w:r>
      <w:hyperlink w:history="1">
        <w:r w:rsidR="00A77B3E" w:rsidRPr="0030358C">
          <w:rPr>
            <w:rFonts w:ascii="Arial" w:hAnsi="Arial" w:cs="Arial"/>
            <w:sz w:val="22"/>
            <w:szCs w:val="22"/>
          </w:rPr>
          <w:t>tabulce 2 části IV přílohy č. 2</w:t>
        </w:r>
      </w:hyperlink>
      <w:r w:rsidRPr="0030358C">
        <w:rPr>
          <w:rFonts w:ascii="Arial" w:hAnsi="Arial" w:cs="Arial"/>
          <w:sz w:val="22"/>
          <w:szCs w:val="22"/>
        </w:rPr>
        <w:t xml:space="preserve"> k této vyhlášce.</w:t>
      </w:r>
    </w:p>
    <w:p w14:paraId="4A47025B"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(4)    Minimální stupně odsíření pro spalovací stacionární zdroje, kterým bylo vydáno první povolení provozu, nebo obdobné povolení podle dřívějších právních předpisů, 7. ledna 2013 nebo později nebo byly uvedeny do provozu po 7. lednu 2014, jsou stanoveny v </w:t>
      </w:r>
      <w:hyperlink w:history="1">
        <w:r w:rsidR="00A77B3E" w:rsidRPr="0030358C">
          <w:rPr>
            <w:rFonts w:ascii="Arial" w:hAnsi="Arial" w:cs="Arial"/>
            <w:sz w:val="22"/>
            <w:szCs w:val="22"/>
          </w:rPr>
          <w:t>tabulce 3 části IV přílohy č. 2</w:t>
        </w:r>
      </w:hyperlink>
      <w:r w:rsidRPr="0030358C">
        <w:rPr>
          <w:rFonts w:ascii="Arial" w:hAnsi="Arial" w:cs="Arial"/>
          <w:sz w:val="22"/>
          <w:szCs w:val="22"/>
        </w:rPr>
        <w:t xml:space="preserve"> k této vyhlášce.</w:t>
      </w:r>
    </w:p>
    <w:p w14:paraId="21323135" w14:textId="77777777" w:rsidR="00217043" w:rsidRPr="0030358C" w:rsidRDefault="00000000" w:rsidP="008F0377">
      <w:pPr>
        <w:pStyle w:val="30"/>
        <w:rPr>
          <w:rFonts w:ascii="Arial" w:hAnsi="Arial" w:cs="Arial"/>
          <w:sz w:val="22"/>
          <w:szCs w:val="22"/>
        </w:rPr>
      </w:pPr>
      <w:r w:rsidRPr="0030358C">
        <w:rPr>
          <w:rFonts w:ascii="Arial" w:hAnsi="Arial" w:cs="Arial"/>
          <w:sz w:val="22"/>
          <w:szCs w:val="22"/>
        </w:rPr>
        <w:t xml:space="preserve">(5)    </w:t>
      </w:r>
      <w:bookmarkStart w:id="26" w:name="_Hlk181203223"/>
      <w:r w:rsidRPr="0030358C">
        <w:rPr>
          <w:rFonts w:ascii="Arial" w:hAnsi="Arial" w:cs="Arial"/>
          <w:strike/>
          <w:sz w:val="22"/>
          <w:szCs w:val="22"/>
        </w:rPr>
        <w:t>Dřevotřísku, překližku, dřevovláknitou desku nebo jiné lepené dřevo lze spalovat pouze ve spalovacích stacionárních zdrojích o celkovém jmenovitém tepelném příkonu 3 MW a vyšším, a to pouze v případě, že neobsahují halogenované organické sloučeniny nebo těžké kovy v důsledku ošetření látkami na ochranu dřeva nebo povrchových úprav.</w:t>
      </w:r>
      <w:r w:rsidRPr="0030358C">
        <w:rPr>
          <w:rFonts w:ascii="Arial" w:hAnsi="Arial" w:cs="Arial"/>
          <w:sz w:val="22"/>
          <w:szCs w:val="22"/>
        </w:rPr>
        <w:t xml:space="preserve"> </w:t>
      </w:r>
      <w:r w:rsidR="008F0377" w:rsidRPr="0030358C">
        <w:rPr>
          <w:rFonts w:ascii="Arial" w:hAnsi="Arial" w:cs="Arial"/>
          <w:b/>
          <w:bCs/>
          <w:sz w:val="22"/>
          <w:szCs w:val="22"/>
        </w:rPr>
        <w:t>Dřevotřísku, překližku, dřevovláknitou desku nebo jiné lepené dřevo lze spalovat pouze v případě, že neobsahují halogenované organické sloučeniny nebo těžké kovy v důsledku ošetření látkami na ochranu dřeva nebo v důsledku povrchových úprav, a pouze ve spalovacích stacionárních zdrojích o celkovém jmenovitém tepelném příkonu 3 MW a vyšším</w:t>
      </w:r>
      <w:r w:rsidR="008F0377" w:rsidRPr="0030358C">
        <w:rPr>
          <w:rFonts w:ascii="Arial" w:hAnsi="Arial" w:cs="Arial"/>
          <w:sz w:val="22"/>
          <w:szCs w:val="22"/>
        </w:rPr>
        <w:t xml:space="preserve">. </w:t>
      </w:r>
      <w:bookmarkEnd w:id="26"/>
      <w:r w:rsidRPr="0030358C">
        <w:rPr>
          <w:rFonts w:ascii="Arial" w:hAnsi="Arial" w:cs="Arial"/>
          <w:sz w:val="22"/>
          <w:szCs w:val="22"/>
        </w:rPr>
        <w:t>V místě, kde toto palivo vzniká ve formě vedlejšího produktu výroby, jej lze spalovat také ve spalovacím stacionárním zdroji o celkovém jmenovitém tepelném příkonu od 0,3 MW do 3 MW vybaveném automatickým dávkováním paliva a automatickým řízením spalovacího procesu.</w:t>
      </w:r>
    </w:p>
    <w:p w14:paraId="1D96710F"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(6)    Spalovací stacionární zdroje se uvádí do provozu a odstavují z provozu v co nejkratší možné době. Tento požadavek se považuje za splněný, pokud je dodržena doba uvádění do provozu a odstavování z provozu stanovená podle rozhodnutí Evropské komise vydaného podle článku 41 písm. a) směrnice Evropského parlamentu a Rady </w:t>
      </w:r>
      <w:hyperlink w:history="1">
        <w:r w:rsidR="00A77B3E" w:rsidRPr="0030358C">
          <w:rPr>
            <w:rFonts w:ascii="Arial" w:hAnsi="Arial" w:cs="Arial"/>
            <w:sz w:val="22"/>
            <w:szCs w:val="22"/>
          </w:rPr>
          <w:t>2010/75/EU</w:t>
        </w:r>
      </w:hyperlink>
      <w:r w:rsidRPr="0030358C">
        <w:rPr>
          <w:rFonts w:ascii="Arial" w:hAnsi="Arial" w:cs="Arial"/>
          <w:sz w:val="22"/>
          <w:szCs w:val="22"/>
        </w:rPr>
        <w:t>.</w:t>
      </w:r>
    </w:p>
    <w:p w14:paraId="2F7C05C5" w14:textId="77777777" w:rsidR="00A77B3E" w:rsidRPr="0030358C" w:rsidRDefault="00000000">
      <w:pPr>
        <w:pStyle w:val="15"/>
        <w:rPr>
          <w:rFonts w:ascii="Arial" w:hAnsi="Arial" w:cs="Arial"/>
          <w:sz w:val="22"/>
          <w:szCs w:val="22"/>
        </w:rPr>
      </w:pPr>
      <w:r w:rsidRPr="0030358C">
        <w:rPr>
          <w:rFonts w:ascii="Arial" w:hAnsi="Arial" w:cs="Arial"/>
          <w:sz w:val="22"/>
          <w:szCs w:val="22"/>
        </w:rPr>
        <w:t>§ 16</w:t>
      </w:r>
    </w:p>
    <w:p w14:paraId="43F62EAF" w14:textId="77777777" w:rsidR="00A77B3E" w:rsidRPr="0030358C" w:rsidRDefault="00000000">
      <w:pPr>
        <w:pStyle w:val="10"/>
        <w:rPr>
          <w:rFonts w:ascii="Arial" w:hAnsi="Arial" w:cs="Arial"/>
          <w:sz w:val="22"/>
          <w:szCs w:val="22"/>
        </w:rPr>
      </w:pPr>
      <w:r w:rsidRPr="0030358C">
        <w:rPr>
          <w:rFonts w:ascii="Arial" w:hAnsi="Arial" w:cs="Arial"/>
          <w:sz w:val="22"/>
          <w:szCs w:val="22"/>
        </w:rPr>
        <w:lastRenderedPageBreak/>
        <w:t>Způsob stanovení počtu provozních hodin</w:t>
      </w:r>
    </w:p>
    <w:p w14:paraId="5669BA6D"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6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8F0377" w:rsidRPr="0030358C">
        <w:rPr>
          <w:rFonts w:ascii="Arial" w:hAnsi="Arial" w:cs="Arial"/>
          <w:sz w:val="22"/>
          <w:szCs w:val="22"/>
          <w:highlight w:val="yellow"/>
        </w:rPr>
        <w:t>10</w:t>
      </w:r>
      <w:r w:rsidR="008F0377"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3121D30C" w14:textId="77777777" w:rsidR="00A77B3E" w:rsidRPr="0030358C" w:rsidRDefault="00000000">
      <w:pPr>
        <w:pStyle w:val="24"/>
        <w:rPr>
          <w:rFonts w:ascii="Arial" w:hAnsi="Arial" w:cs="Arial"/>
          <w:sz w:val="22"/>
          <w:szCs w:val="22"/>
        </w:rPr>
      </w:pPr>
      <w:r w:rsidRPr="0030358C">
        <w:rPr>
          <w:rFonts w:ascii="Arial" w:hAnsi="Arial" w:cs="Arial"/>
          <w:sz w:val="22"/>
          <w:szCs w:val="22"/>
        </w:rPr>
        <w:t>(1)    U spalovacího stacionárního zdroje se provozní hodiny stanoví jako doba vyjádřená v hodinách, během níž je stacionární zdroj ve stabilizovaném provozu. Do této doby se nezapočítává doba uvádění spalovacího stacionárního zdroje do provozu a doba jeho odstavování z provozu, které se stanoví v provozním řádu.</w:t>
      </w:r>
    </w:p>
    <w:p w14:paraId="79AA38F7"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(2)    U spalovacích stacionárních zdrojů o celkovém jmenovitém tepelném příkonu 50 MW a vyšším se doba jejich uvádění do provozu a doba jejich odstavování z provozu stanovují postupem podle rozhodnutí Evropské komise vydaným podle článku 41 písm. a) směrnice Evropského parlamentu a Rady </w:t>
      </w:r>
      <w:hyperlink w:history="1">
        <w:r w:rsidR="00A77B3E" w:rsidRPr="0030358C">
          <w:rPr>
            <w:rFonts w:ascii="Arial" w:hAnsi="Arial" w:cs="Arial"/>
            <w:sz w:val="22"/>
            <w:szCs w:val="22"/>
          </w:rPr>
          <w:t>2010/75/EU</w:t>
        </w:r>
      </w:hyperlink>
      <w:r w:rsidRPr="0030358C">
        <w:rPr>
          <w:rFonts w:ascii="Arial" w:hAnsi="Arial" w:cs="Arial"/>
          <w:sz w:val="22"/>
          <w:szCs w:val="22"/>
        </w:rPr>
        <w:t>.</w:t>
      </w:r>
    </w:p>
    <w:p w14:paraId="1258521F" w14:textId="77777777" w:rsidR="00A822B4" w:rsidRPr="0030358C" w:rsidRDefault="00A822B4">
      <w:pPr>
        <w:pStyle w:val="25"/>
        <w:rPr>
          <w:rFonts w:ascii="Arial" w:hAnsi="Arial" w:cs="Arial"/>
          <w:sz w:val="22"/>
          <w:szCs w:val="22"/>
        </w:rPr>
      </w:pPr>
    </w:p>
    <w:p w14:paraId="61532270" w14:textId="77777777" w:rsidR="00A77B3E" w:rsidRPr="0030358C" w:rsidRDefault="00000000">
      <w:pPr>
        <w:pStyle w:val="7"/>
        <w:rPr>
          <w:rFonts w:ascii="Arial" w:hAnsi="Arial" w:cs="Arial"/>
          <w:sz w:val="22"/>
          <w:szCs w:val="22"/>
        </w:rPr>
      </w:pPr>
      <w:r w:rsidRPr="0030358C">
        <w:rPr>
          <w:rFonts w:ascii="Arial" w:hAnsi="Arial" w:cs="Arial"/>
          <w:sz w:val="22"/>
          <w:szCs w:val="22"/>
        </w:rPr>
        <w:t>ČÁST ČTVRTÁ</w:t>
      </w:r>
    </w:p>
    <w:p w14:paraId="4D5CFED9" w14:textId="77777777" w:rsidR="00A77B3E" w:rsidRPr="0030358C" w:rsidRDefault="00000000">
      <w:pPr>
        <w:pStyle w:val="8"/>
        <w:rPr>
          <w:rFonts w:ascii="Arial" w:hAnsi="Arial" w:cs="Arial"/>
          <w:sz w:val="22"/>
          <w:szCs w:val="22"/>
        </w:rPr>
      </w:pPr>
      <w:r w:rsidRPr="0030358C">
        <w:rPr>
          <w:rFonts w:ascii="Arial" w:hAnsi="Arial" w:cs="Arial"/>
          <w:sz w:val="22"/>
          <w:szCs w:val="22"/>
        </w:rPr>
        <w:t>POŽADAVKY NA KVALITU PALIV</w:t>
      </w:r>
    </w:p>
    <w:p w14:paraId="03A9B4B6" w14:textId="77777777" w:rsidR="00A77B3E" w:rsidRPr="0030358C" w:rsidRDefault="00000000">
      <w:pPr>
        <w:pStyle w:val="9"/>
        <w:rPr>
          <w:rFonts w:ascii="Arial" w:hAnsi="Arial" w:cs="Arial"/>
          <w:sz w:val="22"/>
          <w:szCs w:val="22"/>
        </w:rPr>
      </w:pPr>
      <w:r w:rsidRPr="0030358C">
        <w:rPr>
          <w:rFonts w:ascii="Arial" w:hAnsi="Arial" w:cs="Arial"/>
          <w:sz w:val="22"/>
          <w:szCs w:val="22"/>
        </w:rPr>
        <w:t>§ 17</w:t>
      </w:r>
    </w:p>
    <w:p w14:paraId="2086507C" w14:textId="77777777" w:rsidR="00A77B3E" w:rsidRPr="0030358C" w:rsidRDefault="00000000">
      <w:pPr>
        <w:pStyle w:val="10"/>
        <w:rPr>
          <w:rFonts w:ascii="Arial" w:hAnsi="Arial" w:cs="Arial"/>
          <w:sz w:val="22"/>
          <w:szCs w:val="22"/>
        </w:rPr>
      </w:pPr>
      <w:r w:rsidRPr="0030358C">
        <w:rPr>
          <w:rFonts w:ascii="Arial" w:hAnsi="Arial" w:cs="Arial"/>
          <w:sz w:val="22"/>
          <w:szCs w:val="22"/>
        </w:rPr>
        <w:t>Požadavky na kvalitu paliv a způsob prokazování jejich plnění</w:t>
      </w:r>
    </w:p>
    <w:p w14:paraId="5BCA5885"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16 odst. </w:t>
        </w:r>
        <w:r w:rsidR="00A77B3E" w:rsidRPr="0030358C">
          <w:rPr>
            <w:rFonts w:ascii="Arial" w:hAnsi="Arial" w:cs="Arial"/>
            <w:strike/>
            <w:sz w:val="22"/>
            <w:szCs w:val="22"/>
          </w:rPr>
          <w:t>10</w:t>
        </w:r>
      </w:hyperlink>
      <w:r w:rsidRPr="0030358C">
        <w:rPr>
          <w:rFonts w:ascii="Arial" w:hAnsi="Arial" w:cs="Arial"/>
          <w:sz w:val="22"/>
          <w:szCs w:val="22"/>
        </w:rPr>
        <w:t xml:space="preserve"> </w:t>
      </w:r>
      <w:r w:rsidR="00B34669" w:rsidRPr="0030358C">
        <w:rPr>
          <w:rFonts w:ascii="Arial" w:hAnsi="Arial" w:cs="Arial"/>
          <w:sz w:val="22"/>
          <w:szCs w:val="22"/>
          <w:highlight w:val="yellow"/>
        </w:rPr>
        <w:t>11</w:t>
      </w:r>
      <w:r w:rsidR="00B34669"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7CB2DE59"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Požadavky na kvalitu paliv jsou stanoveny v </w:t>
      </w:r>
      <w:hyperlink w:history="1">
        <w:r w:rsidR="00A77B3E" w:rsidRPr="0030358C">
          <w:rPr>
            <w:rFonts w:ascii="Arial" w:hAnsi="Arial" w:cs="Arial"/>
            <w:sz w:val="22"/>
            <w:szCs w:val="22"/>
          </w:rPr>
          <w:t>části I přílohy č. 3</w:t>
        </w:r>
      </w:hyperlink>
      <w:r w:rsidRPr="0030358C">
        <w:rPr>
          <w:rFonts w:ascii="Arial" w:hAnsi="Arial" w:cs="Arial"/>
          <w:sz w:val="22"/>
          <w:szCs w:val="22"/>
        </w:rPr>
        <w:t xml:space="preserve"> k této vyhlášce.</w:t>
      </w:r>
    </w:p>
    <w:p w14:paraId="7508FC15" w14:textId="77777777" w:rsidR="008545D6" w:rsidRPr="0030358C" w:rsidRDefault="00000000" w:rsidP="00405C34">
      <w:pPr>
        <w:pStyle w:val="25"/>
        <w:rPr>
          <w:rFonts w:ascii="Arial" w:hAnsi="Arial" w:cs="Arial"/>
          <w:sz w:val="22"/>
          <w:szCs w:val="22"/>
        </w:rPr>
      </w:pPr>
      <w:r w:rsidRPr="0030358C">
        <w:rPr>
          <w:rFonts w:ascii="Arial" w:hAnsi="Arial" w:cs="Arial"/>
          <w:sz w:val="22"/>
          <w:szCs w:val="22"/>
        </w:rPr>
        <w:t xml:space="preserve">(2)    Prokazování plnění požadavků na kvalitu paliva se provádí doklady o analýzách </w:t>
      </w:r>
      <w:bookmarkStart w:id="27" w:name="_Hlk181272673"/>
      <w:r w:rsidRPr="0030358C">
        <w:rPr>
          <w:rFonts w:ascii="Arial" w:hAnsi="Arial" w:cs="Arial"/>
          <w:sz w:val="22"/>
          <w:szCs w:val="22"/>
        </w:rPr>
        <w:t>odebraných</w:t>
      </w:r>
      <w:r w:rsidR="001D70D8" w:rsidRPr="0030358C">
        <w:rPr>
          <w:rFonts w:ascii="Arial" w:hAnsi="Arial" w:cs="Arial"/>
          <w:sz w:val="22"/>
          <w:szCs w:val="22"/>
        </w:rPr>
        <w:t xml:space="preserve"> </w:t>
      </w:r>
      <w:r w:rsidRPr="0030358C">
        <w:rPr>
          <w:rFonts w:ascii="Arial" w:hAnsi="Arial" w:cs="Arial"/>
          <w:sz w:val="22"/>
          <w:szCs w:val="22"/>
        </w:rPr>
        <w:t xml:space="preserve">vzorků paliva </w:t>
      </w:r>
      <w:bookmarkStart w:id="28" w:name="_Hlk184888678"/>
      <w:bookmarkEnd w:id="27"/>
      <w:r w:rsidR="001D70D8" w:rsidRPr="0030358C">
        <w:rPr>
          <w:rFonts w:ascii="Arial" w:hAnsi="Arial" w:cs="Arial"/>
          <w:strike/>
          <w:sz w:val="22"/>
          <w:szCs w:val="22"/>
        </w:rPr>
        <w:t xml:space="preserve">provedených </w:t>
      </w:r>
      <w:r w:rsidRPr="0030358C">
        <w:rPr>
          <w:rFonts w:ascii="Arial" w:hAnsi="Arial" w:cs="Arial"/>
          <w:strike/>
          <w:sz w:val="22"/>
          <w:szCs w:val="22"/>
        </w:rPr>
        <w:t>osobou akreditovanou</w:t>
      </w:r>
      <w:r w:rsidRPr="0030358C">
        <w:rPr>
          <w:rFonts w:ascii="Arial" w:hAnsi="Arial" w:cs="Arial"/>
          <w:sz w:val="22"/>
          <w:szCs w:val="22"/>
        </w:rPr>
        <w:t xml:space="preserve"> </w:t>
      </w:r>
      <w:r w:rsidR="001D70D8" w:rsidRPr="0030358C">
        <w:rPr>
          <w:rFonts w:ascii="Arial" w:hAnsi="Arial" w:cs="Arial"/>
          <w:b/>
          <w:bCs/>
          <w:sz w:val="22"/>
          <w:szCs w:val="22"/>
        </w:rPr>
        <w:t>, které odebrala a analyzovala osoba akreditovaná</w:t>
      </w:r>
      <w:bookmarkEnd w:id="28"/>
      <w:r w:rsidR="001D70D8" w:rsidRPr="0030358C">
        <w:rPr>
          <w:rFonts w:ascii="Arial" w:hAnsi="Arial" w:cs="Arial"/>
          <w:sz w:val="22"/>
          <w:szCs w:val="22"/>
        </w:rPr>
        <w:t xml:space="preserve"> </w:t>
      </w:r>
      <w:r w:rsidRPr="0030358C">
        <w:rPr>
          <w:rFonts w:ascii="Arial" w:hAnsi="Arial" w:cs="Arial"/>
          <w:sz w:val="22"/>
          <w:szCs w:val="22"/>
        </w:rPr>
        <w:t>vnitrostátním akreditačním orgánem pověřeným podle jiného právního předpisu</w:t>
      </w:r>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 xml:space="preserve">. Postupy pro odběr vzorků a provádění analýz musí být reprezentativní a průkazné a musí co nejpřesněji odrážet skutečnou kvalitu paliva. Tyto postupy se považují za splněné, je-li postupováno podle určených technických norem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w:t>
      </w:r>
    </w:p>
    <w:p w14:paraId="74BBA64A" w14:textId="77777777" w:rsidR="008545D6" w:rsidRPr="0030358C" w:rsidRDefault="008545D6">
      <w:pPr>
        <w:pStyle w:val="25"/>
        <w:rPr>
          <w:rFonts w:ascii="Arial" w:hAnsi="Arial" w:cs="Arial"/>
          <w:sz w:val="22"/>
          <w:szCs w:val="22"/>
        </w:rPr>
      </w:pPr>
    </w:p>
    <w:p w14:paraId="5DE75E0A" w14:textId="77777777" w:rsidR="00A77B3E" w:rsidRPr="0030358C" w:rsidRDefault="00000000">
      <w:pPr>
        <w:pStyle w:val="15"/>
        <w:rPr>
          <w:rFonts w:ascii="Arial" w:hAnsi="Arial" w:cs="Arial"/>
          <w:sz w:val="22"/>
          <w:szCs w:val="22"/>
        </w:rPr>
      </w:pPr>
      <w:r w:rsidRPr="0030358C">
        <w:rPr>
          <w:rFonts w:ascii="Arial" w:hAnsi="Arial" w:cs="Arial"/>
          <w:sz w:val="22"/>
          <w:szCs w:val="22"/>
        </w:rPr>
        <w:t>§ 18</w:t>
      </w:r>
    </w:p>
    <w:p w14:paraId="100F9AE6" w14:textId="77777777" w:rsidR="00A77B3E" w:rsidRPr="0030358C" w:rsidRDefault="00000000">
      <w:pPr>
        <w:pStyle w:val="10"/>
        <w:rPr>
          <w:rFonts w:ascii="Arial" w:hAnsi="Arial" w:cs="Arial"/>
          <w:sz w:val="22"/>
          <w:szCs w:val="22"/>
        </w:rPr>
      </w:pPr>
      <w:r w:rsidRPr="0030358C">
        <w:rPr>
          <w:rFonts w:ascii="Arial" w:hAnsi="Arial" w:cs="Arial"/>
          <w:sz w:val="22"/>
          <w:szCs w:val="22"/>
        </w:rPr>
        <w:t>Ohlašování údajů o kvalitě paliv</w:t>
      </w:r>
    </w:p>
    <w:p w14:paraId="41B6274C"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16 odst. </w:t>
        </w:r>
        <w:r w:rsidR="00A77B3E" w:rsidRPr="0030358C">
          <w:rPr>
            <w:rFonts w:ascii="Arial" w:hAnsi="Arial" w:cs="Arial"/>
            <w:strike/>
            <w:sz w:val="22"/>
            <w:szCs w:val="22"/>
          </w:rPr>
          <w:t>10</w:t>
        </w:r>
      </w:hyperlink>
      <w:r w:rsidRPr="0030358C">
        <w:rPr>
          <w:rFonts w:ascii="Arial" w:hAnsi="Arial" w:cs="Arial"/>
          <w:sz w:val="22"/>
          <w:szCs w:val="22"/>
        </w:rPr>
        <w:t xml:space="preserve"> </w:t>
      </w:r>
      <w:r w:rsidR="00B34669" w:rsidRPr="0030358C">
        <w:rPr>
          <w:rFonts w:ascii="Arial" w:hAnsi="Arial" w:cs="Arial"/>
          <w:sz w:val="22"/>
          <w:szCs w:val="22"/>
          <w:highlight w:val="yellow"/>
        </w:rPr>
        <w:t>11</w:t>
      </w:r>
      <w:r w:rsidR="00B34669"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040E5BDD"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Ohlašování údajů o kvalitě paliv podle </w:t>
      </w:r>
      <w:hyperlink w:history="1">
        <w:r w:rsidR="00A77B3E" w:rsidRPr="0030358C">
          <w:rPr>
            <w:rFonts w:ascii="Arial" w:hAnsi="Arial" w:cs="Arial"/>
            <w:sz w:val="22"/>
            <w:szCs w:val="22"/>
          </w:rPr>
          <w:t>§ 16 odst. 1</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se vztahuje na těžký topný olej, plynový olej a na pevná paliva určená pro spalovací stacionární zdroje o jmenovitém tepelném příkonu do 0,3 MW včetně, pro která jsou stanoveny požadavky na kvalitu paliv v </w:t>
      </w:r>
      <w:hyperlink w:history="1">
        <w:r w:rsidR="00A77B3E" w:rsidRPr="0030358C">
          <w:rPr>
            <w:rFonts w:ascii="Arial" w:hAnsi="Arial" w:cs="Arial"/>
            <w:sz w:val="22"/>
            <w:szCs w:val="22"/>
          </w:rPr>
          <w:t>příloze č. 3</w:t>
        </w:r>
      </w:hyperlink>
      <w:r w:rsidRPr="0030358C">
        <w:rPr>
          <w:rFonts w:ascii="Arial" w:hAnsi="Arial" w:cs="Arial"/>
          <w:sz w:val="22"/>
          <w:szCs w:val="22"/>
        </w:rPr>
        <w:t xml:space="preserve"> k této vyhlášce.</w:t>
      </w:r>
    </w:p>
    <w:p w14:paraId="35E6EB2D"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(2)    Náležitosti hlášení o kvalitě paliv jsou stanoveny v </w:t>
      </w:r>
      <w:hyperlink w:history="1">
        <w:r w:rsidR="00A77B3E" w:rsidRPr="0030358C">
          <w:rPr>
            <w:rFonts w:ascii="Arial" w:hAnsi="Arial" w:cs="Arial"/>
            <w:sz w:val="22"/>
            <w:szCs w:val="22"/>
          </w:rPr>
          <w:t>části II přílohy č. 3</w:t>
        </w:r>
      </w:hyperlink>
      <w:r w:rsidRPr="0030358C">
        <w:rPr>
          <w:rFonts w:ascii="Arial" w:hAnsi="Arial" w:cs="Arial"/>
          <w:sz w:val="22"/>
          <w:szCs w:val="22"/>
        </w:rPr>
        <w:t xml:space="preserve"> k této vyhlášce.</w:t>
      </w:r>
    </w:p>
    <w:p w14:paraId="76D8F888" w14:textId="77777777" w:rsidR="00A77B3E" w:rsidRPr="0030358C" w:rsidRDefault="00000000">
      <w:pPr>
        <w:pStyle w:val="7"/>
        <w:rPr>
          <w:rFonts w:ascii="Arial" w:hAnsi="Arial" w:cs="Arial"/>
          <w:sz w:val="22"/>
          <w:szCs w:val="22"/>
        </w:rPr>
      </w:pPr>
      <w:r w:rsidRPr="0030358C">
        <w:rPr>
          <w:rFonts w:ascii="Arial" w:hAnsi="Arial" w:cs="Arial"/>
          <w:sz w:val="22"/>
          <w:szCs w:val="22"/>
        </w:rPr>
        <w:t>ČÁST PÁTÁ</w:t>
      </w:r>
    </w:p>
    <w:p w14:paraId="7CC37BC7" w14:textId="77777777" w:rsidR="00A77B3E" w:rsidRPr="0030358C" w:rsidRDefault="00000000">
      <w:pPr>
        <w:pStyle w:val="8"/>
        <w:rPr>
          <w:rFonts w:ascii="Arial" w:hAnsi="Arial" w:cs="Arial"/>
          <w:sz w:val="22"/>
          <w:szCs w:val="22"/>
        </w:rPr>
      </w:pPr>
      <w:r w:rsidRPr="0030358C">
        <w:rPr>
          <w:rFonts w:ascii="Arial" w:hAnsi="Arial" w:cs="Arial"/>
          <w:sz w:val="22"/>
          <w:szCs w:val="22"/>
        </w:rPr>
        <w:t>TEPELNÉ ZPRACOVÁNÍ ODPADU</w:t>
      </w:r>
    </w:p>
    <w:p w14:paraId="72708397" w14:textId="77777777" w:rsidR="00A77B3E" w:rsidRPr="0030358C" w:rsidRDefault="00000000">
      <w:pPr>
        <w:pStyle w:val="9"/>
        <w:rPr>
          <w:rFonts w:ascii="Arial" w:hAnsi="Arial" w:cs="Arial"/>
          <w:sz w:val="22"/>
          <w:szCs w:val="22"/>
        </w:rPr>
      </w:pPr>
      <w:r w:rsidRPr="0030358C">
        <w:rPr>
          <w:rFonts w:ascii="Arial" w:hAnsi="Arial" w:cs="Arial"/>
          <w:sz w:val="22"/>
          <w:szCs w:val="22"/>
        </w:rPr>
        <w:t>§ 19</w:t>
      </w:r>
    </w:p>
    <w:p w14:paraId="61753343" w14:textId="77777777" w:rsidR="00A77B3E" w:rsidRPr="0030358C" w:rsidRDefault="00000000">
      <w:pPr>
        <w:pStyle w:val="10"/>
        <w:rPr>
          <w:rFonts w:ascii="Arial" w:hAnsi="Arial" w:cs="Arial"/>
          <w:sz w:val="22"/>
          <w:szCs w:val="22"/>
        </w:rPr>
      </w:pPr>
      <w:r w:rsidRPr="0030358C">
        <w:rPr>
          <w:rFonts w:ascii="Arial" w:hAnsi="Arial" w:cs="Arial"/>
          <w:sz w:val="22"/>
          <w:szCs w:val="22"/>
        </w:rPr>
        <w:t>Obecná ustanovení k tepelnému zpracování odpadu</w:t>
      </w:r>
    </w:p>
    <w:p w14:paraId="683C7179" w14:textId="77777777" w:rsidR="008545D6" w:rsidRPr="0030358C" w:rsidRDefault="00000000">
      <w:pPr>
        <w:pStyle w:val="16"/>
        <w:rPr>
          <w:rFonts w:ascii="Arial" w:hAnsi="Arial" w:cs="Arial"/>
          <w:strike/>
          <w:sz w:val="22"/>
          <w:szCs w:val="22"/>
        </w:rPr>
      </w:pPr>
      <w:r w:rsidRPr="0030358C">
        <w:rPr>
          <w:rFonts w:ascii="Arial" w:hAnsi="Arial" w:cs="Arial"/>
          <w:sz w:val="22"/>
          <w:szCs w:val="22"/>
        </w:rPr>
        <w:t xml:space="preserve">Tato část vyhlášky se vztahuje na stacionární zdroje, v nichž je tepelně zpracováván odpad, s výjimkou stacionárních zdrojů, v nichž je tepelně zpracováván pouze odpad spadající pod definici biomasy podle </w:t>
      </w:r>
      <w:hyperlink w:history="1">
        <w:r w:rsidR="008545D6" w:rsidRPr="0030358C">
          <w:rPr>
            <w:rFonts w:ascii="Arial" w:hAnsi="Arial" w:cs="Arial"/>
            <w:sz w:val="22"/>
            <w:szCs w:val="22"/>
          </w:rPr>
          <w:t>§ 2 písm. a)</w:t>
        </w:r>
      </w:hyperlink>
      <w:r w:rsidRPr="0030358C">
        <w:rPr>
          <w:rFonts w:ascii="Arial" w:hAnsi="Arial" w:cs="Arial"/>
          <w:sz w:val="22"/>
          <w:szCs w:val="22"/>
        </w:rPr>
        <w:t xml:space="preserve">, radioaktivní odpad, těla uhynulých zvířat nebo odpad vznikající při průzkumu a těžbě ložisek ropy a zemního plynu z námořních zařízení a spalovaný </w:t>
      </w:r>
      <w:r w:rsidRPr="0030358C">
        <w:rPr>
          <w:rFonts w:ascii="Arial" w:hAnsi="Arial" w:cs="Arial"/>
          <w:sz w:val="22"/>
          <w:szCs w:val="22"/>
        </w:rPr>
        <w:lastRenderedPageBreak/>
        <w:t xml:space="preserve">na palubě těchto zařízení. </w:t>
      </w:r>
      <w:bookmarkStart w:id="29" w:name="_Hlk181272728"/>
      <w:r w:rsidRPr="0030358C">
        <w:rPr>
          <w:rFonts w:ascii="Arial" w:hAnsi="Arial" w:cs="Arial"/>
          <w:strike/>
          <w:sz w:val="22"/>
          <w:szCs w:val="22"/>
        </w:rPr>
        <w:t>Tato část vyhlášky se nevztahuje na tepelné zpracování odpadu prováděné výhradně za účelem výzkumu a vývoje nebo zkoušení nových procesů tepelného zpracování odpadu, pokud je množství zpracovaného odpadu menší než 50 t za rok a cílem je zlepšení procesu tepelného zpracování odpadu.</w:t>
      </w:r>
    </w:p>
    <w:bookmarkEnd w:id="29"/>
    <w:p w14:paraId="71DA0A84" w14:textId="77777777" w:rsidR="008545D6" w:rsidRPr="0030358C" w:rsidRDefault="008545D6">
      <w:pPr>
        <w:pStyle w:val="16"/>
        <w:rPr>
          <w:rFonts w:ascii="Arial" w:hAnsi="Arial" w:cs="Arial"/>
          <w:strike/>
          <w:sz w:val="22"/>
          <w:szCs w:val="22"/>
        </w:rPr>
      </w:pPr>
    </w:p>
    <w:p w14:paraId="54D268CE" w14:textId="77777777" w:rsidR="00A77B3E" w:rsidRPr="0030358C" w:rsidRDefault="00000000">
      <w:pPr>
        <w:pStyle w:val="15"/>
        <w:rPr>
          <w:rFonts w:ascii="Arial" w:hAnsi="Arial" w:cs="Arial"/>
          <w:sz w:val="22"/>
          <w:szCs w:val="22"/>
        </w:rPr>
      </w:pPr>
      <w:r w:rsidRPr="0030358C">
        <w:rPr>
          <w:rFonts w:ascii="Arial" w:hAnsi="Arial" w:cs="Arial"/>
          <w:sz w:val="22"/>
          <w:szCs w:val="22"/>
        </w:rPr>
        <w:t>§ 20</w:t>
      </w:r>
    </w:p>
    <w:p w14:paraId="270B949C" w14:textId="77777777" w:rsidR="00A77B3E" w:rsidRPr="0030358C" w:rsidRDefault="00000000">
      <w:pPr>
        <w:pStyle w:val="10"/>
        <w:rPr>
          <w:rFonts w:ascii="Arial" w:hAnsi="Arial" w:cs="Arial"/>
          <w:sz w:val="22"/>
          <w:szCs w:val="22"/>
        </w:rPr>
      </w:pPr>
      <w:r w:rsidRPr="0030358C">
        <w:rPr>
          <w:rFonts w:ascii="Arial" w:hAnsi="Arial" w:cs="Arial"/>
          <w:sz w:val="22"/>
          <w:szCs w:val="22"/>
        </w:rPr>
        <w:t>Specifické emisní limity a technické podmínky provozu</w:t>
      </w:r>
    </w:p>
    <w:p w14:paraId="0250DC1F"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4 odst. </w:t>
        </w:r>
        <w:r w:rsidR="00A77B3E" w:rsidRPr="0030358C">
          <w:rPr>
            <w:rFonts w:ascii="Arial" w:hAnsi="Arial" w:cs="Arial"/>
            <w:strike/>
            <w:sz w:val="22"/>
            <w:szCs w:val="22"/>
          </w:rPr>
          <w:t>9</w:t>
        </w:r>
      </w:hyperlink>
      <w:r w:rsidRPr="0030358C">
        <w:rPr>
          <w:rFonts w:ascii="Arial" w:hAnsi="Arial" w:cs="Arial"/>
          <w:sz w:val="22"/>
          <w:szCs w:val="22"/>
        </w:rPr>
        <w:t xml:space="preserve"> </w:t>
      </w:r>
      <w:r w:rsidR="00537205" w:rsidRPr="0030358C">
        <w:rPr>
          <w:rFonts w:ascii="Arial" w:hAnsi="Arial" w:cs="Arial"/>
          <w:sz w:val="22"/>
          <w:szCs w:val="22"/>
          <w:highlight w:val="yellow"/>
        </w:rPr>
        <w:t>7</w:t>
      </w:r>
      <w:r w:rsidR="00537205"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7319549F"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Specifické emisní limity pro spalovny odpadu a stavové a vztažné podmínky jsou stanoveny v </w:t>
      </w:r>
      <w:hyperlink w:history="1">
        <w:r w:rsidR="00A77B3E" w:rsidRPr="0030358C">
          <w:rPr>
            <w:rFonts w:ascii="Arial" w:hAnsi="Arial" w:cs="Arial"/>
            <w:sz w:val="22"/>
            <w:szCs w:val="22"/>
          </w:rPr>
          <w:t>bodu 1. části I přílohy č. 4</w:t>
        </w:r>
      </w:hyperlink>
      <w:r w:rsidRPr="0030358C">
        <w:rPr>
          <w:rFonts w:ascii="Arial" w:hAnsi="Arial" w:cs="Arial"/>
          <w:sz w:val="22"/>
          <w:szCs w:val="22"/>
        </w:rPr>
        <w:t xml:space="preserve"> k této vyhlášce.</w:t>
      </w:r>
    </w:p>
    <w:p w14:paraId="2DD03CEB"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(2)    Způsob stanovení specifických emisních limitů a stavových a vztažných podmínek pro tepelné zpracování odpadu ve stacionárním zdroji jiném než spalovna odpadu je stanoven v </w:t>
      </w:r>
      <w:hyperlink w:history="1">
        <w:r w:rsidR="00A77B3E" w:rsidRPr="0030358C">
          <w:rPr>
            <w:rFonts w:ascii="Arial" w:hAnsi="Arial" w:cs="Arial"/>
            <w:sz w:val="22"/>
            <w:szCs w:val="22"/>
          </w:rPr>
          <w:t>bodu 2. části II přílohy č. 4</w:t>
        </w:r>
      </w:hyperlink>
      <w:r w:rsidRPr="0030358C">
        <w:rPr>
          <w:rFonts w:ascii="Arial" w:hAnsi="Arial" w:cs="Arial"/>
          <w:sz w:val="22"/>
          <w:szCs w:val="22"/>
        </w:rPr>
        <w:t xml:space="preserve"> k této vyhlášce.</w:t>
      </w:r>
    </w:p>
    <w:p w14:paraId="28BDD62B"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(3)    U spalovacích stacionárních zdrojů podle </w:t>
      </w:r>
      <w:hyperlink w:history="1">
        <w:r w:rsidR="00A77B3E" w:rsidRPr="0030358C">
          <w:rPr>
            <w:rFonts w:ascii="Arial" w:hAnsi="Arial" w:cs="Arial"/>
            <w:sz w:val="22"/>
            <w:szCs w:val="22"/>
          </w:rPr>
          <w:t>§ 4 odst. 6</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které tepelně zpracovávají odpad společně s palivem, musí být namísto emisního limitu pro oxid siřičitý plněn alespoň stupeň odsíření stanovený v </w:t>
      </w:r>
      <w:hyperlink w:history="1">
        <w:r w:rsidR="00A77B3E" w:rsidRPr="0030358C">
          <w:rPr>
            <w:rFonts w:ascii="Arial" w:hAnsi="Arial" w:cs="Arial"/>
            <w:sz w:val="22"/>
            <w:szCs w:val="22"/>
          </w:rPr>
          <w:t>části IV přílohy č. 2</w:t>
        </w:r>
      </w:hyperlink>
      <w:r w:rsidRPr="0030358C">
        <w:rPr>
          <w:rFonts w:ascii="Arial" w:hAnsi="Arial" w:cs="Arial"/>
          <w:sz w:val="22"/>
          <w:szCs w:val="22"/>
        </w:rPr>
        <w:t xml:space="preserve">. Požadované stupně odsíření se považují za splněné, pokud jsou splněny podmínky stanovené v </w:t>
      </w:r>
      <w:hyperlink w:history="1">
        <w:r w:rsidR="00A77B3E" w:rsidRPr="0030358C">
          <w:rPr>
            <w:rFonts w:ascii="Arial" w:hAnsi="Arial" w:cs="Arial"/>
            <w:sz w:val="22"/>
            <w:szCs w:val="22"/>
          </w:rPr>
          <w:t>§ 15 odst. 1.</w:t>
        </w:r>
      </w:hyperlink>
    </w:p>
    <w:p w14:paraId="15CDFE73"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(4)    Technické podmínky provozu pro stacionární zdroje tepelně zpracovávající odpad jsou stanoveny v </w:t>
      </w:r>
      <w:hyperlink w:history="1">
        <w:r w:rsidR="00A77B3E" w:rsidRPr="0030358C">
          <w:rPr>
            <w:rFonts w:ascii="Arial" w:hAnsi="Arial" w:cs="Arial"/>
            <w:sz w:val="22"/>
            <w:szCs w:val="22"/>
          </w:rPr>
          <w:t>části II přílohy č. 4</w:t>
        </w:r>
      </w:hyperlink>
      <w:r w:rsidRPr="0030358C">
        <w:rPr>
          <w:rFonts w:ascii="Arial" w:hAnsi="Arial" w:cs="Arial"/>
          <w:sz w:val="22"/>
          <w:szCs w:val="22"/>
        </w:rPr>
        <w:t xml:space="preserve"> k této vyhlášce.</w:t>
      </w:r>
    </w:p>
    <w:p w14:paraId="1AA7388D" w14:textId="77777777" w:rsidR="00A77B3E" w:rsidRPr="0030358C" w:rsidRDefault="00000000">
      <w:pPr>
        <w:pStyle w:val="7"/>
        <w:rPr>
          <w:rFonts w:ascii="Arial" w:hAnsi="Arial" w:cs="Arial"/>
          <w:sz w:val="22"/>
          <w:szCs w:val="22"/>
        </w:rPr>
      </w:pPr>
      <w:r w:rsidRPr="0030358C">
        <w:rPr>
          <w:rFonts w:ascii="Arial" w:hAnsi="Arial" w:cs="Arial"/>
          <w:sz w:val="22"/>
          <w:szCs w:val="22"/>
        </w:rPr>
        <w:t>ČÁST ŠESTÁ</w:t>
      </w:r>
    </w:p>
    <w:p w14:paraId="1C314A99" w14:textId="77777777" w:rsidR="00A77B3E" w:rsidRPr="0030358C" w:rsidRDefault="00000000">
      <w:pPr>
        <w:pStyle w:val="8"/>
        <w:rPr>
          <w:rFonts w:ascii="Arial" w:hAnsi="Arial" w:cs="Arial"/>
          <w:sz w:val="22"/>
          <w:szCs w:val="22"/>
        </w:rPr>
      </w:pPr>
      <w:r w:rsidRPr="0030358C">
        <w:rPr>
          <w:rFonts w:ascii="Arial" w:hAnsi="Arial" w:cs="Arial"/>
          <w:sz w:val="22"/>
          <w:szCs w:val="22"/>
        </w:rPr>
        <w:t>NAKLÁDÁNÍ S TĚKAVÝMI ORGANICKÝMI LÁTKAMI</w:t>
      </w:r>
    </w:p>
    <w:p w14:paraId="2A078D1A" w14:textId="77777777" w:rsidR="00A77B3E" w:rsidRPr="0030358C" w:rsidRDefault="00000000">
      <w:pPr>
        <w:pStyle w:val="9"/>
        <w:rPr>
          <w:rFonts w:ascii="Arial" w:hAnsi="Arial" w:cs="Arial"/>
          <w:sz w:val="22"/>
          <w:szCs w:val="22"/>
        </w:rPr>
      </w:pPr>
      <w:r w:rsidRPr="0030358C">
        <w:rPr>
          <w:rFonts w:ascii="Arial" w:hAnsi="Arial" w:cs="Arial"/>
          <w:sz w:val="22"/>
          <w:szCs w:val="22"/>
        </w:rPr>
        <w:t>§ 21</w:t>
      </w:r>
    </w:p>
    <w:p w14:paraId="7EBCD6CA" w14:textId="77777777" w:rsidR="00A77B3E" w:rsidRPr="0030358C" w:rsidRDefault="00000000">
      <w:pPr>
        <w:pStyle w:val="10"/>
        <w:rPr>
          <w:rFonts w:ascii="Arial" w:hAnsi="Arial" w:cs="Arial"/>
          <w:sz w:val="22"/>
          <w:szCs w:val="22"/>
        </w:rPr>
      </w:pPr>
      <w:r w:rsidRPr="0030358C">
        <w:rPr>
          <w:rFonts w:ascii="Arial" w:hAnsi="Arial" w:cs="Arial"/>
          <w:sz w:val="22"/>
          <w:szCs w:val="22"/>
        </w:rPr>
        <w:t>Obecná ustanovení k nakládání s těkavými organickými látkami</w:t>
      </w:r>
    </w:p>
    <w:p w14:paraId="2D88F400" w14:textId="77777777" w:rsidR="00A77B3E" w:rsidRPr="0030358C" w:rsidRDefault="00000000">
      <w:pPr>
        <w:pStyle w:val="16"/>
        <w:rPr>
          <w:rFonts w:ascii="Arial" w:hAnsi="Arial" w:cs="Arial"/>
          <w:sz w:val="22"/>
          <w:szCs w:val="22"/>
        </w:rPr>
      </w:pPr>
      <w:r w:rsidRPr="0030358C">
        <w:rPr>
          <w:rFonts w:ascii="Arial" w:hAnsi="Arial" w:cs="Arial"/>
          <w:sz w:val="22"/>
          <w:szCs w:val="22"/>
        </w:rPr>
        <w:t>Pro účely této vyhlášky se těkavé organické látky dělí na</w:t>
      </w:r>
    </w:p>
    <w:p w14:paraId="7A057E23" w14:textId="77777777" w:rsidR="00A77B3E" w:rsidRPr="0030358C" w:rsidRDefault="00000000">
      <w:pPr>
        <w:pStyle w:val="21"/>
        <w:rPr>
          <w:rFonts w:ascii="Arial" w:hAnsi="Arial" w:cs="Arial"/>
          <w:sz w:val="22"/>
          <w:szCs w:val="22"/>
        </w:rPr>
      </w:pPr>
      <w:r w:rsidRPr="0030358C">
        <w:rPr>
          <w:rFonts w:ascii="Arial" w:hAnsi="Arial" w:cs="Arial"/>
          <w:sz w:val="22"/>
          <w:szCs w:val="22"/>
        </w:rPr>
        <w:t>a)    těkavé organické látky, které jsou klasifikovány jako látky karcinogenní, mutagenní a toxické pro reprodukci a jimž jsou přiřazeny standardní věty o nebezpečnosti H340, H350, H350i, H360D nebo H360F, nebo které musí být těmito větami označovány,</w:t>
      </w:r>
    </w:p>
    <w:p w14:paraId="3FC4F243" w14:textId="77777777" w:rsidR="00A77B3E" w:rsidRPr="0030358C" w:rsidRDefault="00000000">
      <w:pPr>
        <w:pStyle w:val="22"/>
        <w:rPr>
          <w:rFonts w:ascii="Arial" w:hAnsi="Arial" w:cs="Arial"/>
          <w:sz w:val="22"/>
          <w:szCs w:val="22"/>
        </w:rPr>
      </w:pPr>
      <w:r w:rsidRPr="0030358C">
        <w:rPr>
          <w:rFonts w:ascii="Arial" w:hAnsi="Arial" w:cs="Arial"/>
          <w:sz w:val="22"/>
          <w:szCs w:val="22"/>
        </w:rPr>
        <w:t>b)    halogenované těkavé organické látky, jimž jsou přiřazeny standardní věty o nebezpečnosti H341 nebo H351, nebo které musí být těmito větami označovány,</w:t>
      </w:r>
    </w:p>
    <w:p w14:paraId="018EBD66" w14:textId="77777777" w:rsidR="00A77B3E" w:rsidRPr="0030358C" w:rsidRDefault="00000000">
      <w:pPr>
        <w:pStyle w:val="23"/>
        <w:rPr>
          <w:rFonts w:ascii="Arial" w:hAnsi="Arial" w:cs="Arial"/>
          <w:sz w:val="22"/>
          <w:szCs w:val="22"/>
        </w:rPr>
      </w:pPr>
      <w:r w:rsidRPr="0030358C">
        <w:rPr>
          <w:rFonts w:ascii="Arial" w:hAnsi="Arial" w:cs="Arial"/>
          <w:sz w:val="22"/>
          <w:szCs w:val="22"/>
        </w:rPr>
        <w:t xml:space="preserve">c)    těkavé organické látky, které nespadají pod </w:t>
      </w:r>
      <w:hyperlink w:history="1">
        <w:r w:rsidR="00A77B3E" w:rsidRPr="0030358C">
          <w:rPr>
            <w:rFonts w:ascii="Arial" w:hAnsi="Arial" w:cs="Arial"/>
            <w:sz w:val="22"/>
            <w:szCs w:val="22"/>
          </w:rPr>
          <w:t>písmeno a)</w:t>
        </w:r>
      </w:hyperlink>
      <w:r w:rsidRPr="0030358C">
        <w:rPr>
          <w:rFonts w:ascii="Arial" w:hAnsi="Arial" w:cs="Arial"/>
          <w:sz w:val="22"/>
          <w:szCs w:val="22"/>
        </w:rPr>
        <w:t xml:space="preserve"> nebo </w:t>
      </w:r>
      <w:hyperlink w:history="1">
        <w:r w:rsidR="00A77B3E" w:rsidRPr="0030358C">
          <w:rPr>
            <w:rFonts w:ascii="Arial" w:hAnsi="Arial" w:cs="Arial"/>
            <w:sz w:val="22"/>
            <w:szCs w:val="22"/>
          </w:rPr>
          <w:t>b)</w:t>
        </w:r>
      </w:hyperlink>
      <w:r w:rsidRPr="0030358C">
        <w:rPr>
          <w:rFonts w:ascii="Arial" w:hAnsi="Arial" w:cs="Arial"/>
          <w:sz w:val="22"/>
          <w:szCs w:val="22"/>
        </w:rPr>
        <w:t>.</w:t>
      </w:r>
    </w:p>
    <w:p w14:paraId="5C04A95A" w14:textId="77777777" w:rsidR="00A77B3E" w:rsidRPr="0030358C" w:rsidRDefault="00000000">
      <w:pPr>
        <w:pStyle w:val="15"/>
        <w:rPr>
          <w:rFonts w:ascii="Arial" w:hAnsi="Arial" w:cs="Arial"/>
          <w:sz w:val="22"/>
          <w:szCs w:val="22"/>
        </w:rPr>
      </w:pPr>
      <w:r w:rsidRPr="0030358C">
        <w:rPr>
          <w:rFonts w:ascii="Arial" w:hAnsi="Arial" w:cs="Arial"/>
          <w:sz w:val="22"/>
          <w:szCs w:val="22"/>
        </w:rPr>
        <w:t>§ 22</w:t>
      </w:r>
    </w:p>
    <w:p w14:paraId="39E1BD7C" w14:textId="77777777" w:rsidR="00A77B3E" w:rsidRPr="0030358C" w:rsidRDefault="00000000">
      <w:pPr>
        <w:pStyle w:val="10"/>
        <w:rPr>
          <w:rFonts w:ascii="Arial" w:hAnsi="Arial" w:cs="Arial"/>
          <w:sz w:val="22"/>
          <w:szCs w:val="22"/>
        </w:rPr>
      </w:pPr>
      <w:r w:rsidRPr="0030358C">
        <w:rPr>
          <w:rFonts w:ascii="Arial" w:hAnsi="Arial" w:cs="Arial"/>
          <w:sz w:val="22"/>
          <w:szCs w:val="22"/>
        </w:rPr>
        <w:t>Specifické emisní limity, emisní stropy a technické podmínky provozu</w:t>
      </w:r>
    </w:p>
    <w:p w14:paraId="242F108C" w14:textId="77777777" w:rsidR="00A77B3E" w:rsidRPr="0030358C" w:rsidRDefault="00000000">
      <w:pPr>
        <w:pStyle w:val="4"/>
        <w:rPr>
          <w:rFonts w:ascii="Arial" w:hAnsi="Arial" w:cs="Arial"/>
          <w:sz w:val="22"/>
          <w:szCs w:val="22"/>
        </w:rPr>
      </w:pPr>
      <w:r w:rsidRPr="0030358C">
        <w:rPr>
          <w:rFonts w:ascii="Arial" w:hAnsi="Arial" w:cs="Arial"/>
          <w:sz w:val="22"/>
          <w:szCs w:val="22"/>
        </w:rPr>
        <w:t>(</w:t>
      </w:r>
      <w:r w:rsidR="00537205" w:rsidRPr="0030358C">
        <w:rPr>
          <w:rFonts w:ascii="Arial" w:hAnsi="Arial" w:cs="Arial"/>
          <w:sz w:val="22"/>
          <w:szCs w:val="22"/>
        </w:rPr>
        <w:t xml:space="preserve">K </w:t>
      </w:r>
      <w:hyperlink w:history="1">
        <w:r w:rsidR="00537205" w:rsidRPr="0030358C">
          <w:rPr>
            <w:rFonts w:ascii="Arial" w:hAnsi="Arial" w:cs="Arial"/>
            <w:sz w:val="22"/>
            <w:szCs w:val="22"/>
          </w:rPr>
          <w:t xml:space="preserve">§ 4 odst. </w:t>
        </w:r>
        <w:r w:rsidR="00537205" w:rsidRPr="0030358C">
          <w:rPr>
            <w:rFonts w:ascii="Arial" w:hAnsi="Arial" w:cs="Arial"/>
            <w:strike/>
            <w:sz w:val="22"/>
            <w:szCs w:val="22"/>
          </w:rPr>
          <w:t>9</w:t>
        </w:r>
      </w:hyperlink>
      <w:r w:rsidR="00537205" w:rsidRPr="0030358C">
        <w:rPr>
          <w:rFonts w:ascii="Arial" w:hAnsi="Arial" w:cs="Arial"/>
          <w:sz w:val="22"/>
          <w:szCs w:val="22"/>
        </w:rPr>
        <w:t xml:space="preserve"> </w:t>
      </w:r>
      <w:r w:rsidR="00537205" w:rsidRPr="0030358C">
        <w:rPr>
          <w:rFonts w:ascii="Arial" w:hAnsi="Arial" w:cs="Arial"/>
          <w:sz w:val="22"/>
          <w:szCs w:val="22"/>
          <w:highlight w:val="yellow"/>
        </w:rPr>
        <w:t>7</w:t>
      </w:r>
      <w:r w:rsidR="00537205" w:rsidRPr="0030358C">
        <w:rPr>
          <w:rFonts w:ascii="Arial" w:hAnsi="Arial" w:cs="Arial"/>
          <w:sz w:val="22"/>
          <w:szCs w:val="22"/>
        </w:rPr>
        <w:t xml:space="preserve"> </w:t>
      </w:r>
      <w:hyperlink w:history="1">
        <w:r w:rsidR="00537205" w:rsidRPr="0030358C">
          <w:rPr>
            <w:rFonts w:ascii="Arial" w:hAnsi="Arial" w:cs="Arial"/>
            <w:sz w:val="22"/>
            <w:szCs w:val="22"/>
          </w:rPr>
          <w:t>zákona</w:t>
        </w:r>
      </w:hyperlink>
      <w:r w:rsidRPr="0030358C">
        <w:rPr>
          <w:rFonts w:ascii="Arial" w:hAnsi="Arial" w:cs="Arial"/>
          <w:sz w:val="22"/>
          <w:szCs w:val="22"/>
        </w:rPr>
        <w:t>)</w:t>
      </w:r>
    </w:p>
    <w:p w14:paraId="3C9A7DD0"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Specifické emisní limity, emisní stropy a technické podmínky provozu stacionárních zdrojů, ve kterých dochází k používání organických rozpouštědel, jsou uvedeny v </w:t>
      </w:r>
      <w:hyperlink w:history="1">
        <w:r w:rsidR="00A77B3E" w:rsidRPr="0030358C">
          <w:rPr>
            <w:rFonts w:ascii="Arial" w:hAnsi="Arial" w:cs="Arial"/>
            <w:sz w:val="22"/>
            <w:szCs w:val="22"/>
          </w:rPr>
          <w:t>příloze č. 5</w:t>
        </w:r>
      </w:hyperlink>
      <w:r w:rsidRPr="0030358C">
        <w:rPr>
          <w:rFonts w:ascii="Arial" w:hAnsi="Arial" w:cs="Arial"/>
          <w:sz w:val="22"/>
          <w:szCs w:val="22"/>
        </w:rPr>
        <w:t xml:space="preserve"> k této vyhlášce.</w:t>
      </w:r>
    </w:p>
    <w:p w14:paraId="0DD95BD3"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(2)    Specifické emisní limity a technické podmínky provozu pro stacionární zdroje, ve kterých dochází k nakládání s benzinem, jsou stanoveny v </w:t>
      </w:r>
      <w:hyperlink w:history="1">
        <w:r w:rsidR="00A77B3E" w:rsidRPr="0030358C">
          <w:rPr>
            <w:rFonts w:ascii="Arial" w:hAnsi="Arial" w:cs="Arial"/>
            <w:sz w:val="22"/>
            <w:szCs w:val="22"/>
          </w:rPr>
          <w:t>příloze č. 6</w:t>
        </w:r>
      </w:hyperlink>
      <w:r w:rsidRPr="0030358C">
        <w:rPr>
          <w:rFonts w:ascii="Arial" w:hAnsi="Arial" w:cs="Arial"/>
          <w:sz w:val="22"/>
          <w:szCs w:val="22"/>
        </w:rPr>
        <w:t xml:space="preserve"> k této vyhlášce.</w:t>
      </w:r>
    </w:p>
    <w:p w14:paraId="66A45729" w14:textId="77777777" w:rsidR="00A77B3E" w:rsidRPr="0030358C" w:rsidRDefault="00000000">
      <w:pPr>
        <w:pStyle w:val="15"/>
        <w:rPr>
          <w:rFonts w:ascii="Arial" w:hAnsi="Arial" w:cs="Arial"/>
          <w:sz w:val="22"/>
          <w:szCs w:val="22"/>
        </w:rPr>
      </w:pPr>
      <w:r w:rsidRPr="0030358C">
        <w:rPr>
          <w:rFonts w:ascii="Arial" w:hAnsi="Arial" w:cs="Arial"/>
          <w:sz w:val="22"/>
          <w:szCs w:val="22"/>
        </w:rPr>
        <w:t>§ 23</w:t>
      </w:r>
    </w:p>
    <w:p w14:paraId="49B0B1DC" w14:textId="77777777" w:rsidR="00A77B3E" w:rsidRPr="0030358C" w:rsidRDefault="00000000">
      <w:pPr>
        <w:pStyle w:val="10"/>
        <w:rPr>
          <w:rFonts w:ascii="Arial" w:hAnsi="Arial" w:cs="Arial"/>
          <w:sz w:val="22"/>
          <w:szCs w:val="22"/>
        </w:rPr>
      </w:pPr>
      <w:r w:rsidRPr="0030358C">
        <w:rPr>
          <w:rFonts w:ascii="Arial" w:hAnsi="Arial" w:cs="Arial"/>
          <w:sz w:val="22"/>
          <w:szCs w:val="22"/>
        </w:rPr>
        <w:t>Požadavky na výrobky s obsahem těkavých organických látek</w:t>
      </w:r>
    </w:p>
    <w:p w14:paraId="1AA42954"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xml:space="preserve">§ 18 odst. </w:t>
        </w:r>
        <w:r w:rsidR="00A77B3E" w:rsidRPr="0030358C">
          <w:rPr>
            <w:rFonts w:ascii="Arial" w:hAnsi="Arial" w:cs="Arial"/>
            <w:strike/>
            <w:sz w:val="22"/>
            <w:szCs w:val="22"/>
          </w:rPr>
          <w:t>4</w:t>
        </w:r>
      </w:hyperlink>
      <w:r w:rsidRPr="0030358C">
        <w:rPr>
          <w:rFonts w:ascii="Arial" w:hAnsi="Arial" w:cs="Arial"/>
          <w:sz w:val="22"/>
          <w:szCs w:val="22"/>
        </w:rPr>
        <w:t xml:space="preserve"> </w:t>
      </w:r>
      <w:r w:rsidR="00537205" w:rsidRPr="0030358C">
        <w:rPr>
          <w:rFonts w:ascii="Arial" w:hAnsi="Arial" w:cs="Arial"/>
          <w:sz w:val="22"/>
          <w:szCs w:val="22"/>
          <w:highlight w:val="yellow"/>
        </w:rPr>
        <w:t>5</w:t>
      </w:r>
      <w:r w:rsidR="00537205"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26D23E47" w14:textId="77777777" w:rsidR="00A77B3E" w:rsidRPr="0030358C" w:rsidRDefault="00000000">
      <w:pPr>
        <w:pStyle w:val="24"/>
        <w:rPr>
          <w:rFonts w:ascii="Arial" w:hAnsi="Arial" w:cs="Arial"/>
          <w:sz w:val="22"/>
          <w:szCs w:val="22"/>
        </w:rPr>
      </w:pPr>
      <w:r w:rsidRPr="0030358C">
        <w:rPr>
          <w:rFonts w:ascii="Arial" w:hAnsi="Arial" w:cs="Arial"/>
          <w:sz w:val="22"/>
          <w:szCs w:val="22"/>
        </w:rPr>
        <w:lastRenderedPageBreak/>
        <w:t xml:space="preserve">(1)    Seznam vybraných barev, laků a výrobků pro opravy nátěru vozidel podle </w:t>
      </w:r>
      <w:hyperlink w:history="1">
        <w:r w:rsidR="00A77B3E" w:rsidRPr="0030358C">
          <w:rPr>
            <w:rFonts w:ascii="Arial" w:hAnsi="Arial" w:cs="Arial"/>
            <w:sz w:val="22"/>
            <w:szCs w:val="22"/>
          </w:rPr>
          <w:t>§ 18</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(dále jen „vybrané výrobky“) je uvedený v </w:t>
      </w:r>
      <w:hyperlink w:history="1">
        <w:r w:rsidR="00A77B3E" w:rsidRPr="0030358C">
          <w:rPr>
            <w:rFonts w:ascii="Arial" w:hAnsi="Arial" w:cs="Arial"/>
            <w:sz w:val="22"/>
            <w:szCs w:val="22"/>
          </w:rPr>
          <w:t>části I přílohy č. 7</w:t>
        </w:r>
      </w:hyperlink>
      <w:r w:rsidRPr="0030358C">
        <w:rPr>
          <w:rFonts w:ascii="Arial" w:hAnsi="Arial" w:cs="Arial"/>
          <w:sz w:val="22"/>
          <w:szCs w:val="22"/>
        </w:rPr>
        <w:t xml:space="preserve"> k této vyhlášce.</w:t>
      </w:r>
    </w:p>
    <w:p w14:paraId="6AABFD8F"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(2)    Limitní hodnoty obsahu organických sloučenin nebo směsi organických sloučenin, s výjimkou methanu, jejichž počáteční bod varu je menší nebo roven 250 °C, při normálním atmosférickém tlaku 101,3 kPa ve vybraných výrobcích (dále jen „těkavá organická látka ve vybraném výrobku“), jsou stanoveny v </w:t>
      </w:r>
      <w:hyperlink w:history="1">
        <w:r w:rsidR="00A77B3E" w:rsidRPr="0030358C">
          <w:rPr>
            <w:rFonts w:ascii="Arial" w:hAnsi="Arial" w:cs="Arial"/>
            <w:sz w:val="22"/>
            <w:szCs w:val="22"/>
          </w:rPr>
          <w:t>části II přílohy č. 7</w:t>
        </w:r>
      </w:hyperlink>
      <w:r w:rsidRPr="0030358C">
        <w:rPr>
          <w:rFonts w:ascii="Arial" w:hAnsi="Arial" w:cs="Arial"/>
          <w:sz w:val="22"/>
          <w:szCs w:val="22"/>
        </w:rPr>
        <w:t xml:space="preserve"> k této vyhlášce.</w:t>
      </w:r>
    </w:p>
    <w:p w14:paraId="632B59FF"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(3)    Analytické metody pro stanovení obsahu těkavých organických látek ve vybraných výrobcích jsou uvedeny v </w:t>
      </w:r>
      <w:hyperlink w:history="1">
        <w:r w:rsidR="00A77B3E" w:rsidRPr="0030358C">
          <w:rPr>
            <w:rFonts w:ascii="Arial" w:hAnsi="Arial" w:cs="Arial"/>
            <w:sz w:val="22"/>
            <w:szCs w:val="22"/>
          </w:rPr>
          <w:t>části III přílohy č. 7</w:t>
        </w:r>
      </w:hyperlink>
      <w:r w:rsidRPr="0030358C">
        <w:rPr>
          <w:rFonts w:ascii="Arial" w:hAnsi="Arial" w:cs="Arial"/>
          <w:sz w:val="22"/>
          <w:szCs w:val="22"/>
        </w:rPr>
        <w:t xml:space="preserve"> k této vyhlášce.</w:t>
      </w:r>
    </w:p>
    <w:p w14:paraId="11287FEE" w14:textId="77777777" w:rsidR="00A77B3E" w:rsidRPr="0030358C" w:rsidRDefault="00000000">
      <w:pPr>
        <w:pStyle w:val="25"/>
        <w:rPr>
          <w:rFonts w:ascii="Arial" w:hAnsi="Arial" w:cs="Arial"/>
          <w:sz w:val="22"/>
          <w:szCs w:val="22"/>
        </w:rPr>
      </w:pPr>
      <w:r w:rsidRPr="0030358C">
        <w:rPr>
          <w:rFonts w:ascii="Arial" w:hAnsi="Arial" w:cs="Arial"/>
          <w:sz w:val="22"/>
          <w:szCs w:val="22"/>
        </w:rPr>
        <w:t>(4)    Vybrané výrobky jsou opatřeny štítkem s označením</w:t>
      </w:r>
    </w:p>
    <w:p w14:paraId="59C07D57" w14:textId="77777777" w:rsidR="00A77B3E" w:rsidRPr="0030358C" w:rsidRDefault="00000000">
      <w:pPr>
        <w:pStyle w:val="12"/>
        <w:rPr>
          <w:rFonts w:ascii="Arial" w:hAnsi="Arial" w:cs="Arial"/>
          <w:sz w:val="22"/>
          <w:szCs w:val="22"/>
        </w:rPr>
      </w:pPr>
      <w:r w:rsidRPr="0030358C">
        <w:rPr>
          <w:rFonts w:ascii="Arial" w:hAnsi="Arial" w:cs="Arial"/>
          <w:sz w:val="22"/>
          <w:szCs w:val="22"/>
        </w:rPr>
        <w:t xml:space="preserve">a)    kategorie a subkategorie vybraného výrobku podle </w:t>
      </w:r>
      <w:hyperlink w:history="1">
        <w:r w:rsidR="00A77B3E" w:rsidRPr="0030358C">
          <w:rPr>
            <w:rFonts w:ascii="Arial" w:hAnsi="Arial" w:cs="Arial"/>
            <w:sz w:val="22"/>
            <w:szCs w:val="22"/>
          </w:rPr>
          <w:t>části II přílohy č. 7</w:t>
        </w:r>
      </w:hyperlink>
      <w:r w:rsidRPr="0030358C">
        <w:rPr>
          <w:rFonts w:ascii="Arial" w:hAnsi="Arial" w:cs="Arial"/>
          <w:sz w:val="22"/>
          <w:szCs w:val="22"/>
        </w:rPr>
        <w:t>,</w:t>
      </w:r>
    </w:p>
    <w:p w14:paraId="48954F11" w14:textId="77777777" w:rsidR="00A77B3E" w:rsidRPr="0030358C" w:rsidRDefault="00000000">
      <w:pPr>
        <w:pStyle w:val="13"/>
        <w:rPr>
          <w:rFonts w:ascii="Arial" w:hAnsi="Arial" w:cs="Arial"/>
          <w:sz w:val="22"/>
          <w:szCs w:val="22"/>
        </w:rPr>
      </w:pPr>
      <w:r w:rsidRPr="0030358C">
        <w:rPr>
          <w:rFonts w:ascii="Arial" w:hAnsi="Arial" w:cs="Arial"/>
          <w:sz w:val="22"/>
          <w:szCs w:val="22"/>
        </w:rPr>
        <w:t xml:space="preserve">b)    limitní hodnoty obsahu těkavých organických látek ve vybraném výrobku v g/l podle </w:t>
      </w:r>
      <w:hyperlink w:history="1">
        <w:r w:rsidR="00A77B3E" w:rsidRPr="0030358C">
          <w:rPr>
            <w:rFonts w:ascii="Arial" w:hAnsi="Arial" w:cs="Arial"/>
            <w:sz w:val="22"/>
            <w:szCs w:val="22"/>
          </w:rPr>
          <w:t>části II přílohy č. 7</w:t>
        </w:r>
      </w:hyperlink>
      <w:r w:rsidRPr="0030358C">
        <w:rPr>
          <w:rFonts w:ascii="Arial" w:hAnsi="Arial" w:cs="Arial"/>
          <w:sz w:val="22"/>
          <w:szCs w:val="22"/>
        </w:rPr>
        <w:t xml:space="preserve"> a</w:t>
      </w:r>
    </w:p>
    <w:p w14:paraId="23071E90" w14:textId="77777777" w:rsidR="00A77B3E" w:rsidRPr="0030358C" w:rsidRDefault="00000000">
      <w:pPr>
        <w:pStyle w:val="14"/>
        <w:rPr>
          <w:rFonts w:ascii="Arial" w:hAnsi="Arial" w:cs="Arial"/>
          <w:sz w:val="22"/>
          <w:szCs w:val="22"/>
        </w:rPr>
      </w:pPr>
      <w:r w:rsidRPr="0030358C">
        <w:rPr>
          <w:rFonts w:ascii="Arial" w:hAnsi="Arial" w:cs="Arial"/>
          <w:sz w:val="22"/>
          <w:szCs w:val="22"/>
        </w:rPr>
        <w:t>c)    maximálního obsahu těkavých organických látek ve vybraném výrobku ve stavu připraveném k použití v g/l.</w:t>
      </w:r>
    </w:p>
    <w:p w14:paraId="632C368E"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(5)    U vybraných výrobků, u nichž se před použitím přidávají organická rozpouštědla, se limitní hodnoty obsahu těkavých organických látek uvedené v </w:t>
      </w:r>
      <w:hyperlink w:history="1">
        <w:r w:rsidR="00A77B3E" w:rsidRPr="0030358C">
          <w:rPr>
            <w:rFonts w:ascii="Arial" w:hAnsi="Arial" w:cs="Arial"/>
            <w:sz w:val="22"/>
            <w:szCs w:val="22"/>
          </w:rPr>
          <w:t>části II přílohy č. 7</w:t>
        </w:r>
      </w:hyperlink>
      <w:r w:rsidRPr="0030358C">
        <w:rPr>
          <w:rFonts w:ascii="Arial" w:hAnsi="Arial" w:cs="Arial"/>
          <w:sz w:val="22"/>
          <w:szCs w:val="22"/>
        </w:rPr>
        <w:t xml:space="preserve"> vztahují na výrobek ve stavu, ve kterém je připraven k použití. Za část obsahu těkavých organických látek se u vybraných výrobků nepovažuje hmotnost těkavých organických látek, které během zasychání chemicky reagují za vzniku ochranného filmu nátěrové hmoty.</w:t>
      </w:r>
    </w:p>
    <w:p w14:paraId="3235C0ED"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(6)    Výrobky podle </w:t>
      </w:r>
      <w:hyperlink w:history="1">
        <w:r w:rsidR="00A77B3E" w:rsidRPr="0030358C">
          <w:rPr>
            <w:rFonts w:ascii="Arial" w:hAnsi="Arial" w:cs="Arial"/>
            <w:sz w:val="22"/>
            <w:szCs w:val="22"/>
          </w:rPr>
          <w:t>§ 16 odst. 3</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jsou na štítku nebo v průvodní technické dokumentaci označeny</w:t>
      </w:r>
    </w:p>
    <w:p w14:paraId="533707AF" w14:textId="77777777" w:rsidR="00A77B3E" w:rsidRPr="0030358C" w:rsidRDefault="00000000">
      <w:pPr>
        <w:pStyle w:val="12"/>
        <w:rPr>
          <w:rFonts w:ascii="Arial" w:hAnsi="Arial" w:cs="Arial"/>
          <w:sz w:val="22"/>
          <w:szCs w:val="22"/>
        </w:rPr>
      </w:pPr>
      <w:r w:rsidRPr="0030358C">
        <w:rPr>
          <w:rFonts w:ascii="Arial" w:hAnsi="Arial" w:cs="Arial"/>
          <w:sz w:val="22"/>
          <w:szCs w:val="22"/>
        </w:rPr>
        <w:t xml:space="preserve">a)    údajem o celkovém obsahu těkavých organických látek dle </w:t>
      </w:r>
      <w:hyperlink w:history="1">
        <w:r w:rsidR="00A77B3E" w:rsidRPr="0030358C">
          <w:rPr>
            <w:rFonts w:ascii="Arial" w:hAnsi="Arial" w:cs="Arial"/>
            <w:sz w:val="22"/>
            <w:szCs w:val="22"/>
          </w:rPr>
          <w:t>§ 2 písm. m)</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 xml:space="preserve"> ve výrobku vyjádřeným hmotnostním zlomkem nebo v hmotnostních procentech a</w:t>
      </w:r>
    </w:p>
    <w:p w14:paraId="012E9846" w14:textId="77777777" w:rsidR="00A77B3E" w:rsidRPr="0030358C" w:rsidRDefault="00000000">
      <w:pPr>
        <w:pStyle w:val="14"/>
        <w:rPr>
          <w:rFonts w:ascii="Arial" w:hAnsi="Arial" w:cs="Arial"/>
          <w:sz w:val="22"/>
          <w:szCs w:val="22"/>
        </w:rPr>
      </w:pPr>
      <w:r w:rsidRPr="0030358C">
        <w:rPr>
          <w:rFonts w:ascii="Arial" w:hAnsi="Arial" w:cs="Arial"/>
          <w:sz w:val="22"/>
          <w:szCs w:val="22"/>
        </w:rPr>
        <w:t xml:space="preserve">b)    v případě nátěrových hmot, adhesivních materiálů nebo tiskařských barev uvedených v </w:t>
      </w:r>
      <w:hyperlink w:history="1">
        <w:r w:rsidR="00A77B3E" w:rsidRPr="0030358C">
          <w:rPr>
            <w:rFonts w:ascii="Arial" w:hAnsi="Arial" w:cs="Arial"/>
            <w:sz w:val="22"/>
            <w:szCs w:val="22"/>
          </w:rPr>
          <w:t>příloze č. 5</w:t>
        </w:r>
      </w:hyperlink>
      <w:r w:rsidRPr="0030358C">
        <w:rPr>
          <w:rFonts w:ascii="Arial" w:hAnsi="Arial" w:cs="Arial"/>
          <w:sz w:val="22"/>
          <w:szCs w:val="22"/>
        </w:rPr>
        <w:t xml:space="preserve"> také údajem o obsahu látek ve výrobku, které po odpaření vody nebo těkavých organických látek ztuhnou (dále jen „netěkavé látky“) v hmotnostních nebo objemových procentech a o hustotě výrobku v g/cm</w:t>
      </w:r>
      <w:r w:rsidRPr="0030358C">
        <w:rPr>
          <w:rFonts w:ascii="Arial" w:hAnsi="Arial" w:cs="Arial"/>
          <w:sz w:val="22"/>
          <w:szCs w:val="22"/>
          <w:vertAlign w:val="superscript"/>
        </w:rPr>
        <w:t>3</w:t>
      </w:r>
      <w:r w:rsidRPr="0030358C">
        <w:rPr>
          <w:rFonts w:ascii="Arial" w:hAnsi="Arial" w:cs="Arial"/>
          <w:sz w:val="22"/>
          <w:szCs w:val="22"/>
        </w:rPr>
        <w:t>, pokud je předchozí údaj uveden v objemových procentech.</w:t>
      </w:r>
    </w:p>
    <w:p w14:paraId="739464C8" w14:textId="77777777" w:rsidR="00A77B3E" w:rsidRPr="0030358C" w:rsidRDefault="00000000">
      <w:pPr>
        <w:pStyle w:val="7"/>
        <w:rPr>
          <w:rFonts w:ascii="Arial" w:hAnsi="Arial" w:cs="Arial"/>
          <w:sz w:val="22"/>
          <w:szCs w:val="22"/>
        </w:rPr>
      </w:pPr>
      <w:r w:rsidRPr="0030358C">
        <w:rPr>
          <w:rFonts w:ascii="Arial" w:hAnsi="Arial" w:cs="Arial"/>
          <w:sz w:val="22"/>
          <w:szCs w:val="22"/>
        </w:rPr>
        <w:t>ČÁST SEDMÁ</w:t>
      </w:r>
    </w:p>
    <w:p w14:paraId="1EEB4512" w14:textId="77777777" w:rsidR="00A77B3E" w:rsidRPr="0030358C" w:rsidRDefault="00000000">
      <w:pPr>
        <w:pStyle w:val="8"/>
        <w:rPr>
          <w:rFonts w:ascii="Arial" w:hAnsi="Arial" w:cs="Arial"/>
          <w:sz w:val="22"/>
          <w:szCs w:val="22"/>
        </w:rPr>
      </w:pPr>
      <w:r w:rsidRPr="0030358C">
        <w:rPr>
          <w:rFonts w:ascii="Arial" w:hAnsi="Arial" w:cs="Arial"/>
          <w:sz w:val="22"/>
          <w:szCs w:val="22"/>
        </w:rPr>
        <w:t>OSTATNÍ STACIONÁRNÍ ZDROJE</w:t>
      </w:r>
    </w:p>
    <w:p w14:paraId="42C57EA8" w14:textId="77777777" w:rsidR="00A77B3E" w:rsidRPr="0030358C" w:rsidRDefault="00000000">
      <w:pPr>
        <w:pStyle w:val="9"/>
        <w:rPr>
          <w:rFonts w:ascii="Arial" w:hAnsi="Arial" w:cs="Arial"/>
          <w:sz w:val="22"/>
          <w:szCs w:val="22"/>
        </w:rPr>
      </w:pPr>
      <w:r w:rsidRPr="0030358C">
        <w:rPr>
          <w:rFonts w:ascii="Arial" w:hAnsi="Arial" w:cs="Arial"/>
          <w:sz w:val="22"/>
          <w:szCs w:val="22"/>
        </w:rPr>
        <w:t>§ 24</w:t>
      </w:r>
    </w:p>
    <w:p w14:paraId="2D98D8EF" w14:textId="77777777" w:rsidR="00A77B3E" w:rsidRPr="0030358C" w:rsidRDefault="00000000">
      <w:pPr>
        <w:pStyle w:val="10"/>
        <w:rPr>
          <w:rFonts w:ascii="Arial" w:hAnsi="Arial" w:cs="Arial"/>
          <w:sz w:val="22"/>
          <w:szCs w:val="22"/>
        </w:rPr>
      </w:pPr>
      <w:r w:rsidRPr="0030358C">
        <w:rPr>
          <w:rFonts w:ascii="Arial" w:hAnsi="Arial" w:cs="Arial"/>
          <w:sz w:val="22"/>
          <w:szCs w:val="22"/>
        </w:rPr>
        <w:t>Specifické emisní limity a technické podmínky provozu</w:t>
      </w:r>
    </w:p>
    <w:p w14:paraId="5BC723DC" w14:textId="77777777" w:rsidR="00A77B3E" w:rsidRPr="0030358C" w:rsidRDefault="00000000">
      <w:pPr>
        <w:pStyle w:val="4"/>
        <w:rPr>
          <w:rFonts w:ascii="Arial" w:hAnsi="Arial" w:cs="Arial"/>
          <w:sz w:val="22"/>
          <w:szCs w:val="22"/>
        </w:rPr>
      </w:pPr>
      <w:r w:rsidRPr="0030358C">
        <w:rPr>
          <w:rFonts w:ascii="Arial" w:hAnsi="Arial" w:cs="Arial"/>
          <w:sz w:val="22"/>
          <w:szCs w:val="22"/>
        </w:rPr>
        <w:t>(</w:t>
      </w:r>
      <w:r w:rsidR="00E36C52" w:rsidRPr="0030358C">
        <w:rPr>
          <w:rFonts w:ascii="Arial" w:hAnsi="Arial" w:cs="Arial"/>
          <w:sz w:val="22"/>
          <w:szCs w:val="22"/>
        </w:rPr>
        <w:t xml:space="preserve">K </w:t>
      </w:r>
      <w:hyperlink w:history="1">
        <w:r w:rsidR="00E36C52" w:rsidRPr="0030358C">
          <w:rPr>
            <w:rFonts w:ascii="Arial" w:hAnsi="Arial" w:cs="Arial"/>
            <w:sz w:val="22"/>
            <w:szCs w:val="22"/>
          </w:rPr>
          <w:t xml:space="preserve">§ 4 odst. </w:t>
        </w:r>
        <w:r w:rsidR="00E36C52" w:rsidRPr="0030358C">
          <w:rPr>
            <w:rFonts w:ascii="Arial" w:hAnsi="Arial" w:cs="Arial"/>
            <w:strike/>
            <w:sz w:val="22"/>
            <w:szCs w:val="22"/>
          </w:rPr>
          <w:t>9</w:t>
        </w:r>
      </w:hyperlink>
      <w:r w:rsidR="00E36C52" w:rsidRPr="0030358C">
        <w:rPr>
          <w:rFonts w:ascii="Arial" w:hAnsi="Arial" w:cs="Arial"/>
          <w:sz w:val="22"/>
          <w:szCs w:val="22"/>
        </w:rPr>
        <w:t xml:space="preserve"> </w:t>
      </w:r>
      <w:r w:rsidR="00E36C52" w:rsidRPr="0030358C">
        <w:rPr>
          <w:rFonts w:ascii="Arial" w:hAnsi="Arial" w:cs="Arial"/>
          <w:sz w:val="22"/>
          <w:szCs w:val="22"/>
          <w:highlight w:val="yellow"/>
        </w:rPr>
        <w:t>7</w:t>
      </w:r>
      <w:r w:rsidR="00E36C52" w:rsidRPr="0030358C">
        <w:rPr>
          <w:rFonts w:ascii="Arial" w:hAnsi="Arial" w:cs="Arial"/>
          <w:sz w:val="22"/>
          <w:szCs w:val="22"/>
        </w:rPr>
        <w:t xml:space="preserve"> </w:t>
      </w:r>
      <w:hyperlink w:history="1">
        <w:r w:rsidR="00E36C52" w:rsidRPr="0030358C">
          <w:rPr>
            <w:rFonts w:ascii="Arial" w:hAnsi="Arial" w:cs="Arial"/>
            <w:sz w:val="22"/>
            <w:szCs w:val="22"/>
          </w:rPr>
          <w:t>zákona</w:t>
        </w:r>
      </w:hyperlink>
      <w:r w:rsidRPr="0030358C">
        <w:rPr>
          <w:rFonts w:ascii="Arial" w:hAnsi="Arial" w:cs="Arial"/>
          <w:sz w:val="22"/>
          <w:szCs w:val="22"/>
        </w:rPr>
        <w:t>)</w:t>
      </w:r>
    </w:p>
    <w:p w14:paraId="01B7A35D"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Specifické emisní limity, stavové a vztažné podmínky a technické podmínky provozu stacionárních zdrojů neuvedených v </w:t>
      </w:r>
      <w:hyperlink w:history="1">
        <w:r w:rsidR="00A77B3E" w:rsidRPr="0030358C">
          <w:rPr>
            <w:rFonts w:ascii="Arial" w:hAnsi="Arial" w:cs="Arial"/>
            <w:sz w:val="22"/>
            <w:szCs w:val="22"/>
          </w:rPr>
          <w:t>částech třetí</w:t>
        </w:r>
      </w:hyperlink>
      <w:r w:rsidRPr="0030358C">
        <w:rPr>
          <w:rFonts w:ascii="Arial" w:hAnsi="Arial" w:cs="Arial"/>
          <w:sz w:val="22"/>
          <w:szCs w:val="22"/>
        </w:rPr>
        <w:t xml:space="preserve">, </w:t>
      </w:r>
      <w:hyperlink w:history="1">
        <w:r w:rsidR="00A77B3E" w:rsidRPr="0030358C">
          <w:rPr>
            <w:rFonts w:ascii="Arial" w:hAnsi="Arial" w:cs="Arial"/>
            <w:sz w:val="22"/>
            <w:szCs w:val="22"/>
          </w:rPr>
          <w:t>páté</w:t>
        </w:r>
      </w:hyperlink>
      <w:r w:rsidRPr="0030358C">
        <w:rPr>
          <w:rFonts w:ascii="Arial" w:hAnsi="Arial" w:cs="Arial"/>
          <w:sz w:val="22"/>
          <w:szCs w:val="22"/>
        </w:rPr>
        <w:t xml:space="preserve"> a </w:t>
      </w:r>
      <w:hyperlink w:history="1">
        <w:r w:rsidR="00A77B3E" w:rsidRPr="0030358C">
          <w:rPr>
            <w:rFonts w:ascii="Arial" w:hAnsi="Arial" w:cs="Arial"/>
            <w:sz w:val="22"/>
            <w:szCs w:val="22"/>
          </w:rPr>
          <w:t>šesté</w:t>
        </w:r>
      </w:hyperlink>
      <w:r w:rsidRPr="0030358C">
        <w:rPr>
          <w:rFonts w:ascii="Arial" w:hAnsi="Arial" w:cs="Arial"/>
          <w:sz w:val="22"/>
          <w:szCs w:val="22"/>
        </w:rPr>
        <w:t xml:space="preserve"> (dále jen „ostatní stacionární zdroje“) jsou uvedeny v </w:t>
      </w:r>
      <w:hyperlink w:history="1">
        <w:r w:rsidR="00A77B3E" w:rsidRPr="0030358C">
          <w:rPr>
            <w:rFonts w:ascii="Arial" w:hAnsi="Arial" w:cs="Arial"/>
            <w:sz w:val="22"/>
            <w:szCs w:val="22"/>
          </w:rPr>
          <w:t>příloze č. 8</w:t>
        </w:r>
      </w:hyperlink>
      <w:r w:rsidRPr="0030358C">
        <w:rPr>
          <w:rFonts w:ascii="Arial" w:hAnsi="Arial" w:cs="Arial"/>
          <w:sz w:val="22"/>
          <w:szCs w:val="22"/>
        </w:rPr>
        <w:t xml:space="preserve"> k této vyhlášce.</w:t>
      </w:r>
    </w:p>
    <w:p w14:paraId="7D02E499" w14:textId="77777777" w:rsidR="00A77B3E" w:rsidRPr="0030358C" w:rsidRDefault="00000000">
      <w:pPr>
        <w:pStyle w:val="25"/>
        <w:rPr>
          <w:rFonts w:ascii="Arial" w:hAnsi="Arial" w:cs="Arial"/>
          <w:sz w:val="22"/>
          <w:szCs w:val="22"/>
        </w:rPr>
      </w:pPr>
      <w:r w:rsidRPr="0030358C">
        <w:rPr>
          <w:rFonts w:ascii="Arial" w:hAnsi="Arial" w:cs="Arial"/>
          <w:sz w:val="22"/>
          <w:szCs w:val="22"/>
        </w:rPr>
        <w:t xml:space="preserve">(2)    Způsob stanovení specifických emisních limitů </w:t>
      </w:r>
      <w:bookmarkStart w:id="30" w:name="_Hlk184889487"/>
      <w:r w:rsidRPr="0030358C">
        <w:rPr>
          <w:rFonts w:ascii="Arial" w:hAnsi="Arial" w:cs="Arial"/>
          <w:strike/>
          <w:sz w:val="22"/>
          <w:szCs w:val="22"/>
        </w:rPr>
        <w:t>pro látky obtěžující zápachem</w:t>
      </w:r>
      <w:r w:rsidRPr="0030358C">
        <w:rPr>
          <w:rFonts w:ascii="Arial" w:hAnsi="Arial" w:cs="Arial"/>
          <w:sz w:val="22"/>
          <w:szCs w:val="22"/>
        </w:rPr>
        <w:t xml:space="preserve"> </w:t>
      </w:r>
      <w:r w:rsidR="00127747" w:rsidRPr="0030358C">
        <w:rPr>
          <w:rFonts w:ascii="Arial" w:hAnsi="Arial" w:cs="Arial"/>
          <w:b/>
          <w:bCs/>
          <w:sz w:val="22"/>
          <w:szCs w:val="22"/>
        </w:rPr>
        <w:t>v povolení provozu podle § 4 odst. 2 písm. b) zákona</w:t>
      </w:r>
      <w:r w:rsidR="00127747" w:rsidRPr="0030358C">
        <w:rPr>
          <w:rFonts w:ascii="Arial" w:hAnsi="Arial" w:cs="Arial"/>
          <w:sz w:val="22"/>
          <w:szCs w:val="22"/>
        </w:rPr>
        <w:t xml:space="preserve"> </w:t>
      </w:r>
      <w:bookmarkEnd w:id="30"/>
      <w:r w:rsidRPr="0030358C">
        <w:rPr>
          <w:rFonts w:ascii="Arial" w:hAnsi="Arial" w:cs="Arial"/>
          <w:sz w:val="22"/>
          <w:szCs w:val="22"/>
        </w:rPr>
        <w:t xml:space="preserve">je uveden v </w:t>
      </w:r>
      <w:hyperlink w:history="1">
        <w:r w:rsidR="00A77B3E" w:rsidRPr="0030358C">
          <w:rPr>
            <w:rFonts w:ascii="Arial" w:hAnsi="Arial" w:cs="Arial"/>
            <w:sz w:val="22"/>
            <w:szCs w:val="22"/>
          </w:rPr>
          <w:t>příloze č. 17</w:t>
        </w:r>
      </w:hyperlink>
      <w:r w:rsidRPr="0030358C">
        <w:rPr>
          <w:rFonts w:ascii="Arial" w:hAnsi="Arial" w:cs="Arial"/>
          <w:sz w:val="22"/>
          <w:szCs w:val="22"/>
        </w:rPr>
        <w:t xml:space="preserve"> k této vyhlášce.</w:t>
      </w:r>
    </w:p>
    <w:p w14:paraId="7308BC2A" w14:textId="77777777" w:rsidR="00A77B3E" w:rsidRPr="0030358C" w:rsidRDefault="00000000">
      <w:pPr>
        <w:pStyle w:val="7"/>
        <w:rPr>
          <w:rFonts w:ascii="Arial" w:hAnsi="Arial" w:cs="Arial"/>
          <w:sz w:val="22"/>
          <w:szCs w:val="22"/>
        </w:rPr>
      </w:pPr>
      <w:r w:rsidRPr="0030358C">
        <w:rPr>
          <w:rFonts w:ascii="Arial" w:hAnsi="Arial" w:cs="Arial"/>
          <w:sz w:val="22"/>
          <w:szCs w:val="22"/>
        </w:rPr>
        <w:t>ČÁST OSMÁ</w:t>
      </w:r>
    </w:p>
    <w:p w14:paraId="31278E78" w14:textId="77777777" w:rsidR="00A77B3E" w:rsidRPr="0030358C" w:rsidRDefault="00000000">
      <w:pPr>
        <w:pStyle w:val="8"/>
        <w:rPr>
          <w:rFonts w:ascii="Arial" w:hAnsi="Arial" w:cs="Arial"/>
          <w:sz w:val="22"/>
          <w:szCs w:val="22"/>
        </w:rPr>
      </w:pPr>
      <w:r w:rsidRPr="0030358C">
        <w:rPr>
          <w:rFonts w:ascii="Arial" w:hAnsi="Arial" w:cs="Arial"/>
          <w:sz w:val="22"/>
          <w:szCs w:val="22"/>
        </w:rPr>
        <w:t>OBECNÉ EMISNÍ LIMITY, OBSAHOVÉ NÁLEŽITOSTI DOKUMENTŮ A ROZSAH ÚDAJŮ OHLAŠOVANÝCH PROSTŘEDNICTVÍM INTEGROVANÉHO SYSTÉMU PLNĚNÍ OHLAŠOVACÍCH POVINNOSTÍ</w:t>
      </w:r>
    </w:p>
    <w:p w14:paraId="55916B22" w14:textId="77777777" w:rsidR="00A77B3E" w:rsidRPr="0030358C" w:rsidRDefault="00000000">
      <w:pPr>
        <w:pStyle w:val="9"/>
        <w:rPr>
          <w:rFonts w:ascii="Arial" w:hAnsi="Arial" w:cs="Arial"/>
          <w:sz w:val="22"/>
          <w:szCs w:val="22"/>
        </w:rPr>
      </w:pPr>
      <w:r w:rsidRPr="0030358C">
        <w:rPr>
          <w:rFonts w:ascii="Arial" w:hAnsi="Arial" w:cs="Arial"/>
          <w:sz w:val="22"/>
          <w:szCs w:val="22"/>
        </w:rPr>
        <w:lastRenderedPageBreak/>
        <w:t>§ 25</w:t>
      </w:r>
    </w:p>
    <w:p w14:paraId="46C7D383" w14:textId="77777777" w:rsidR="00A77B3E" w:rsidRPr="0030358C" w:rsidRDefault="00000000">
      <w:pPr>
        <w:pStyle w:val="10"/>
        <w:rPr>
          <w:rFonts w:ascii="Arial" w:hAnsi="Arial" w:cs="Arial"/>
          <w:sz w:val="22"/>
          <w:szCs w:val="22"/>
        </w:rPr>
      </w:pPr>
      <w:r w:rsidRPr="0030358C">
        <w:rPr>
          <w:rFonts w:ascii="Arial" w:hAnsi="Arial" w:cs="Arial"/>
          <w:sz w:val="22"/>
          <w:szCs w:val="22"/>
        </w:rPr>
        <w:t>Obecné emisní limity</w:t>
      </w:r>
    </w:p>
    <w:p w14:paraId="7B0A3276" w14:textId="77777777" w:rsidR="00A77B3E" w:rsidRPr="0030358C" w:rsidRDefault="00000000">
      <w:pPr>
        <w:pStyle w:val="4"/>
        <w:rPr>
          <w:rFonts w:ascii="Arial" w:hAnsi="Arial" w:cs="Arial"/>
          <w:sz w:val="22"/>
          <w:szCs w:val="22"/>
        </w:rPr>
      </w:pPr>
      <w:r w:rsidRPr="0030358C">
        <w:rPr>
          <w:rFonts w:ascii="Arial" w:hAnsi="Arial" w:cs="Arial"/>
          <w:sz w:val="22"/>
          <w:szCs w:val="22"/>
        </w:rPr>
        <w:t>(</w:t>
      </w:r>
      <w:r w:rsidR="00E36C52" w:rsidRPr="0030358C">
        <w:rPr>
          <w:rFonts w:ascii="Arial" w:hAnsi="Arial" w:cs="Arial"/>
          <w:sz w:val="22"/>
          <w:szCs w:val="22"/>
        </w:rPr>
        <w:t xml:space="preserve">K </w:t>
      </w:r>
      <w:hyperlink w:history="1">
        <w:r w:rsidR="00E36C52" w:rsidRPr="0030358C">
          <w:rPr>
            <w:rFonts w:ascii="Arial" w:hAnsi="Arial" w:cs="Arial"/>
            <w:sz w:val="22"/>
            <w:szCs w:val="22"/>
          </w:rPr>
          <w:t xml:space="preserve">§ 4 odst. </w:t>
        </w:r>
        <w:r w:rsidR="00E36C52" w:rsidRPr="0030358C">
          <w:rPr>
            <w:rFonts w:ascii="Arial" w:hAnsi="Arial" w:cs="Arial"/>
            <w:strike/>
            <w:sz w:val="22"/>
            <w:szCs w:val="22"/>
          </w:rPr>
          <w:t>9</w:t>
        </w:r>
      </w:hyperlink>
      <w:r w:rsidR="00E36C52" w:rsidRPr="0030358C">
        <w:rPr>
          <w:rFonts w:ascii="Arial" w:hAnsi="Arial" w:cs="Arial"/>
          <w:sz w:val="22"/>
          <w:szCs w:val="22"/>
        </w:rPr>
        <w:t xml:space="preserve"> </w:t>
      </w:r>
      <w:r w:rsidR="00E36C52" w:rsidRPr="0030358C">
        <w:rPr>
          <w:rFonts w:ascii="Arial" w:hAnsi="Arial" w:cs="Arial"/>
          <w:sz w:val="22"/>
          <w:szCs w:val="22"/>
          <w:highlight w:val="yellow"/>
        </w:rPr>
        <w:t>7</w:t>
      </w:r>
      <w:r w:rsidR="00E36C52" w:rsidRPr="0030358C">
        <w:rPr>
          <w:rFonts w:ascii="Arial" w:hAnsi="Arial" w:cs="Arial"/>
          <w:sz w:val="22"/>
          <w:szCs w:val="22"/>
        </w:rPr>
        <w:t xml:space="preserve"> </w:t>
      </w:r>
      <w:hyperlink w:history="1">
        <w:r w:rsidR="00E36C52" w:rsidRPr="0030358C">
          <w:rPr>
            <w:rFonts w:ascii="Arial" w:hAnsi="Arial" w:cs="Arial"/>
            <w:sz w:val="22"/>
            <w:szCs w:val="22"/>
          </w:rPr>
          <w:t>zákona</w:t>
        </w:r>
      </w:hyperlink>
      <w:r w:rsidRPr="0030358C">
        <w:rPr>
          <w:rFonts w:ascii="Arial" w:hAnsi="Arial" w:cs="Arial"/>
          <w:sz w:val="22"/>
          <w:szCs w:val="22"/>
        </w:rPr>
        <w:t>)</w:t>
      </w:r>
    </w:p>
    <w:p w14:paraId="513ECBF5" w14:textId="77777777" w:rsidR="00A77B3E" w:rsidRPr="0030358C" w:rsidRDefault="00000000">
      <w:pPr>
        <w:pStyle w:val="16"/>
        <w:rPr>
          <w:rFonts w:ascii="Arial" w:hAnsi="Arial" w:cs="Arial"/>
          <w:sz w:val="22"/>
          <w:szCs w:val="22"/>
        </w:rPr>
      </w:pPr>
      <w:r w:rsidRPr="0030358C">
        <w:rPr>
          <w:rFonts w:ascii="Arial" w:hAnsi="Arial" w:cs="Arial"/>
          <w:sz w:val="22"/>
          <w:szCs w:val="22"/>
        </w:rPr>
        <w:t xml:space="preserve">Obecné emisní limity pro koncentrace znečišťujících látek při tlaku 101,325 kPa a teplotě 273,15 K ve vlhkém plynu jsou stanoveny v </w:t>
      </w:r>
      <w:hyperlink w:history="1">
        <w:r w:rsidR="00A77B3E" w:rsidRPr="0030358C">
          <w:rPr>
            <w:rFonts w:ascii="Arial" w:hAnsi="Arial" w:cs="Arial"/>
            <w:sz w:val="22"/>
            <w:szCs w:val="22"/>
          </w:rPr>
          <w:t>příloze č. 9</w:t>
        </w:r>
      </w:hyperlink>
      <w:r w:rsidRPr="0030358C">
        <w:rPr>
          <w:rFonts w:ascii="Arial" w:hAnsi="Arial" w:cs="Arial"/>
          <w:sz w:val="22"/>
          <w:szCs w:val="22"/>
        </w:rPr>
        <w:t xml:space="preserve"> k této vyhlášce.</w:t>
      </w:r>
    </w:p>
    <w:p w14:paraId="71234FD7" w14:textId="77777777" w:rsidR="00A77B3E" w:rsidRPr="0030358C" w:rsidRDefault="00000000">
      <w:pPr>
        <w:pStyle w:val="15"/>
        <w:rPr>
          <w:rFonts w:ascii="Arial" w:hAnsi="Arial" w:cs="Arial"/>
          <w:sz w:val="22"/>
          <w:szCs w:val="22"/>
        </w:rPr>
      </w:pPr>
      <w:r w:rsidRPr="0030358C">
        <w:rPr>
          <w:rFonts w:ascii="Arial" w:hAnsi="Arial" w:cs="Arial"/>
          <w:sz w:val="22"/>
          <w:szCs w:val="22"/>
        </w:rPr>
        <w:t>§ 26</w:t>
      </w:r>
    </w:p>
    <w:p w14:paraId="72BAE323" w14:textId="77777777" w:rsidR="00A77B3E" w:rsidRPr="0030358C" w:rsidRDefault="00000000">
      <w:pPr>
        <w:pStyle w:val="10"/>
        <w:rPr>
          <w:rFonts w:ascii="Arial" w:hAnsi="Arial" w:cs="Arial"/>
          <w:sz w:val="22"/>
          <w:szCs w:val="22"/>
        </w:rPr>
      </w:pPr>
      <w:r w:rsidRPr="0030358C">
        <w:rPr>
          <w:rFonts w:ascii="Arial" w:hAnsi="Arial" w:cs="Arial"/>
          <w:sz w:val="22"/>
          <w:szCs w:val="22"/>
        </w:rPr>
        <w:t>Obsahové náležitosti dokumentů a rozsah údajů ohlašovaných prostřednictvím integrovaného systému plnění ohlašovacích povinností</w:t>
      </w:r>
    </w:p>
    <w:p w14:paraId="06A8B59F"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12 odst. 8</w:t>
        </w:r>
      </w:hyperlink>
      <w:r w:rsidRPr="0030358C">
        <w:rPr>
          <w:rFonts w:ascii="Arial" w:hAnsi="Arial" w:cs="Arial"/>
          <w:sz w:val="22"/>
          <w:szCs w:val="22"/>
        </w:rPr>
        <w:t xml:space="preserve">, </w:t>
      </w:r>
      <w:hyperlink w:history="1">
        <w:r w:rsidR="00A77B3E" w:rsidRPr="0030358C">
          <w:rPr>
            <w:rFonts w:ascii="Arial" w:hAnsi="Arial" w:cs="Arial"/>
            <w:sz w:val="22"/>
            <w:szCs w:val="22"/>
          </w:rPr>
          <w:t xml:space="preserve">§ 16 odst. </w:t>
        </w:r>
        <w:r w:rsidR="00A77B3E" w:rsidRPr="0030358C">
          <w:rPr>
            <w:rFonts w:ascii="Arial" w:hAnsi="Arial" w:cs="Arial"/>
            <w:strike/>
            <w:sz w:val="22"/>
            <w:szCs w:val="22"/>
          </w:rPr>
          <w:t>10</w:t>
        </w:r>
      </w:hyperlink>
      <w:r w:rsidRPr="0030358C">
        <w:rPr>
          <w:rFonts w:ascii="Arial" w:hAnsi="Arial" w:cs="Arial"/>
          <w:sz w:val="22"/>
          <w:szCs w:val="22"/>
        </w:rPr>
        <w:t xml:space="preserve"> </w:t>
      </w:r>
      <w:r w:rsidR="00E36C52" w:rsidRPr="0030358C">
        <w:rPr>
          <w:rFonts w:ascii="Arial" w:hAnsi="Arial" w:cs="Arial"/>
          <w:sz w:val="22"/>
          <w:szCs w:val="22"/>
          <w:highlight w:val="yellow"/>
        </w:rPr>
        <w:t>11</w:t>
      </w:r>
      <w:r w:rsidR="00E36C52" w:rsidRPr="0030358C">
        <w:rPr>
          <w:rFonts w:ascii="Arial" w:hAnsi="Arial" w:cs="Arial"/>
          <w:sz w:val="22"/>
          <w:szCs w:val="22"/>
        </w:rPr>
        <w:t xml:space="preserve"> </w:t>
      </w:r>
      <w:r w:rsidRPr="0030358C">
        <w:rPr>
          <w:rFonts w:ascii="Arial" w:hAnsi="Arial" w:cs="Arial"/>
          <w:strike/>
          <w:sz w:val="22"/>
          <w:szCs w:val="22"/>
        </w:rPr>
        <w:t xml:space="preserve">a </w:t>
      </w:r>
      <w:hyperlink w:history="1">
        <w:r w:rsidR="00A77B3E" w:rsidRPr="0030358C">
          <w:rPr>
            <w:rFonts w:ascii="Arial" w:hAnsi="Arial" w:cs="Arial"/>
            <w:sz w:val="22"/>
            <w:szCs w:val="22"/>
          </w:rPr>
          <w:t>§ 17 odst. 7</w:t>
        </w:r>
      </w:hyperlink>
      <w:r w:rsidR="007F5645" w:rsidRPr="0030358C">
        <w:rPr>
          <w:rFonts w:ascii="Arial" w:hAnsi="Arial" w:cs="Arial"/>
          <w:sz w:val="22"/>
          <w:szCs w:val="22"/>
        </w:rPr>
        <w:t xml:space="preserve"> </w:t>
      </w:r>
      <w:bookmarkStart w:id="31" w:name="_Hlk190957241"/>
      <w:r w:rsidR="007F5645" w:rsidRPr="0030358C">
        <w:rPr>
          <w:rFonts w:ascii="Arial" w:hAnsi="Arial" w:cs="Arial"/>
          <w:sz w:val="22"/>
          <w:szCs w:val="22"/>
          <w:highlight w:val="yellow"/>
        </w:rPr>
        <w:t>a</w:t>
      </w:r>
      <w:r w:rsidR="00FB20B8" w:rsidRPr="0030358C">
        <w:rPr>
          <w:rFonts w:ascii="Arial" w:hAnsi="Arial" w:cs="Arial"/>
          <w:sz w:val="22"/>
          <w:szCs w:val="22"/>
          <w:highlight w:val="yellow"/>
        </w:rPr>
        <w:t xml:space="preserve"> § 32 odst. 8</w:t>
      </w:r>
      <w:r w:rsidRPr="0030358C">
        <w:rPr>
          <w:rFonts w:ascii="Arial" w:hAnsi="Arial" w:cs="Arial"/>
          <w:sz w:val="22"/>
          <w:szCs w:val="22"/>
          <w:highlight w:val="yellow"/>
        </w:rPr>
        <w:t xml:space="preserve"> </w:t>
      </w:r>
      <w:hyperlink w:history="1">
        <w:r w:rsidR="00A77B3E" w:rsidRPr="0030358C">
          <w:rPr>
            <w:rFonts w:ascii="Arial" w:hAnsi="Arial" w:cs="Arial"/>
            <w:sz w:val="22"/>
            <w:szCs w:val="22"/>
            <w:highlight w:val="yellow"/>
          </w:rPr>
          <w:t>zákona</w:t>
        </w:r>
      </w:hyperlink>
      <w:bookmarkEnd w:id="31"/>
      <w:r w:rsidRPr="0030358C">
        <w:rPr>
          <w:rFonts w:ascii="Arial" w:hAnsi="Arial" w:cs="Arial"/>
          <w:sz w:val="22"/>
          <w:szCs w:val="22"/>
        </w:rPr>
        <w:t>)</w:t>
      </w:r>
    </w:p>
    <w:p w14:paraId="114C4AA3"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Náležitosti provozní evidence jsou stanoveny v </w:t>
      </w:r>
      <w:hyperlink w:history="1">
        <w:r w:rsidR="00A77B3E" w:rsidRPr="0030358C">
          <w:rPr>
            <w:rFonts w:ascii="Arial" w:hAnsi="Arial" w:cs="Arial"/>
            <w:sz w:val="22"/>
            <w:szCs w:val="22"/>
          </w:rPr>
          <w:t>příloze č. 10</w:t>
        </w:r>
      </w:hyperlink>
      <w:r w:rsidRPr="0030358C">
        <w:rPr>
          <w:rFonts w:ascii="Arial" w:hAnsi="Arial" w:cs="Arial"/>
          <w:sz w:val="22"/>
          <w:szCs w:val="22"/>
        </w:rPr>
        <w:t xml:space="preserve"> k této vyhlášce.</w:t>
      </w:r>
    </w:p>
    <w:p w14:paraId="36D819B2"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(2)    Náležitosti souhrnné provozní evidence jsou stanoveny v </w:t>
      </w:r>
      <w:hyperlink w:history="1">
        <w:r w:rsidR="00A77B3E" w:rsidRPr="0030358C">
          <w:rPr>
            <w:rFonts w:ascii="Arial" w:hAnsi="Arial" w:cs="Arial"/>
            <w:sz w:val="22"/>
            <w:szCs w:val="22"/>
          </w:rPr>
          <w:t>příloze č. 11</w:t>
        </w:r>
      </w:hyperlink>
      <w:r w:rsidRPr="0030358C">
        <w:rPr>
          <w:rFonts w:ascii="Arial" w:hAnsi="Arial" w:cs="Arial"/>
          <w:sz w:val="22"/>
          <w:szCs w:val="22"/>
        </w:rPr>
        <w:t xml:space="preserve"> k této vyhlášce.</w:t>
      </w:r>
    </w:p>
    <w:p w14:paraId="1B5E8A46"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(3)    Náležitosti provozního řádu jsou stanoveny v </w:t>
      </w:r>
      <w:hyperlink w:history="1">
        <w:r w:rsidR="00A77B3E" w:rsidRPr="0030358C">
          <w:rPr>
            <w:rFonts w:ascii="Arial" w:hAnsi="Arial" w:cs="Arial"/>
            <w:sz w:val="22"/>
            <w:szCs w:val="22"/>
          </w:rPr>
          <w:t>příloze č. 12</w:t>
        </w:r>
      </w:hyperlink>
      <w:r w:rsidRPr="0030358C">
        <w:rPr>
          <w:rFonts w:ascii="Arial" w:hAnsi="Arial" w:cs="Arial"/>
          <w:sz w:val="22"/>
          <w:szCs w:val="22"/>
        </w:rPr>
        <w:t xml:space="preserve"> k této vyhlášce.</w:t>
      </w:r>
    </w:p>
    <w:p w14:paraId="14EB5348"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(4)    Náležitosti odborného posudku jsou stanoveny v </w:t>
      </w:r>
      <w:hyperlink w:history="1">
        <w:r w:rsidR="00A77B3E" w:rsidRPr="0030358C">
          <w:rPr>
            <w:rFonts w:ascii="Arial" w:hAnsi="Arial" w:cs="Arial"/>
            <w:sz w:val="22"/>
            <w:szCs w:val="22"/>
          </w:rPr>
          <w:t>příloze č. 13</w:t>
        </w:r>
      </w:hyperlink>
      <w:r w:rsidRPr="0030358C">
        <w:rPr>
          <w:rFonts w:ascii="Arial" w:hAnsi="Arial" w:cs="Arial"/>
          <w:sz w:val="22"/>
          <w:szCs w:val="22"/>
        </w:rPr>
        <w:t xml:space="preserve"> k této vyhlášce.</w:t>
      </w:r>
    </w:p>
    <w:p w14:paraId="22E6BF4F"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(5)    Náležitosti </w:t>
      </w:r>
      <w:bookmarkStart w:id="32" w:name="_Hlk181273978"/>
      <w:r w:rsidRPr="0030358C">
        <w:rPr>
          <w:rFonts w:ascii="Arial" w:hAnsi="Arial" w:cs="Arial"/>
          <w:strike/>
          <w:sz w:val="22"/>
          <w:szCs w:val="22"/>
        </w:rPr>
        <w:t>protokolu</w:t>
      </w:r>
      <w:r w:rsidR="00E80A49" w:rsidRPr="0030358C">
        <w:rPr>
          <w:rFonts w:ascii="Arial" w:hAnsi="Arial" w:cs="Arial"/>
          <w:sz w:val="22"/>
          <w:szCs w:val="22"/>
        </w:rPr>
        <w:t xml:space="preserve"> </w:t>
      </w:r>
      <w:r w:rsidR="00E80A49" w:rsidRPr="0030358C">
        <w:rPr>
          <w:rFonts w:ascii="Arial" w:hAnsi="Arial" w:cs="Arial"/>
          <w:b/>
          <w:bCs/>
          <w:sz w:val="22"/>
          <w:szCs w:val="22"/>
        </w:rPr>
        <w:t>dokumentů</w:t>
      </w:r>
      <w:r w:rsidRPr="0030358C">
        <w:rPr>
          <w:rFonts w:ascii="Arial" w:hAnsi="Arial" w:cs="Arial"/>
          <w:b/>
          <w:bCs/>
          <w:sz w:val="22"/>
          <w:szCs w:val="22"/>
        </w:rPr>
        <w:t xml:space="preserve"> </w:t>
      </w:r>
      <w:bookmarkEnd w:id="32"/>
      <w:r w:rsidRPr="0030358C">
        <w:rPr>
          <w:rFonts w:ascii="Arial" w:hAnsi="Arial" w:cs="Arial"/>
          <w:sz w:val="22"/>
          <w:szCs w:val="22"/>
        </w:rPr>
        <w:t xml:space="preserve">o jednorázovém měření jsou stanoveny v </w:t>
      </w:r>
      <w:hyperlink w:history="1">
        <w:r w:rsidR="00A77B3E" w:rsidRPr="0030358C">
          <w:rPr>
            <w:rFonts w:ascii="Arial" w:hAnsi="Arial" w:cs="Arial"/>
            <w:sz w:val="22"/>
            <w:szCs w:val="22"/>
          </w:rPr>
          <w:t>příloze č. 14</w:t>
        </w:r>
      </w:hyperlink>
      <w:r w:rsidRPr="0030358C">
        <w:rPr>
          <w:rFonts w:ascii="Arial" w:hAnsi="Arial" w:cs="Arial"/>
          <w:sz w:val="22"/>
          <w:szCs w:val="22"/>
        </w:rPr>
        <w:t xml:space="preserve"> k této vyhlášce.</w:t>
      </w:r>
    </w:p>
    <w:p w14:paraId="0945FE7D"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(6)    Náležitosti rozptylové studie jsou stanoveny v </w:t>
      </w:r>
      <w:hyperlink w:history="1">
        <w:r w:rsidR="00A77B3E" w:rsidRPr="0030358C">
          <w:rPr>
            <w:rFonts w:ascii="Arial" w:hAnsi="Arial" w:cs="Arial"/>
            <w:sz w:val="22"/>
            <w:szCs w:val="22"/>
          </w:rPr>
          <w:t>příloze č. 15</w:t>
        </w:r>
      </w:hyperlink>
      <w:r w:rsidRPr="0030358C">
        <w:rPr>
          <w:rFonts w:ascii="Arial" w:hAnsi="Arial" w:cs="Arial"/>
          <w:sz w:val="22"/>
          <w:szCs w:val="22"/>
        </w:rPr>
        <w:t xml:space="preserve"> k této vyhlášce.</w:t>
      </w:r>
    </w:p>
    <w:p w14:paraId="5D40AB25" w14:textId="77777777" w:rsidR="00A77B3E" w:rsidRPr="0030358C" w:rsidRDefault="00000000" w:rsidP="00914BA9">
      <w:pPr>
        <w:pStyle w:val="30"/>
        <w:rPr>
          <w:rFonts w:ascii="Arial" w:hAnsi="Arial" w:cs="Arial"/>
          <w:b/>
          <w:bCs/>
          <w:sz w:val="22"/>
          <w:szCs w:val="22"/>
        </w:rPr>
      </w:pPr>
      <w:r w:rsidRPr="0030358C">
        <w:rPr>
          <w:rFonts w:ascii="Arial" w:hAnsi="Arial" w:cs="Arial"/>
          <w:sz w:val="22"/>
          <w:szCs w:val="22"/>
        </w:rPr>
        <w:t>(7)    Náležitosti dokladu o kontrole technického stavu a provozu spalovacího stacionárního zdroje na pevná paliva o celkovém jmenovitém tepelném příkonu od 10 do 300 kW včetně, který slouží jako zdroj tepla pro teplovodní soustavu ústředního vytápění</w:t>
      </w:r>
      <w:r w:rsidR="00443445" w:rsidRPr="0030358C">
        <w:rPr>
          <w:rFonts w:ascii="Arial" w:hAnsi="Arial" w:cs="Arial"/>
          <w:b/>
          <w:bCs/>
          <w:sz w:val="22"/>
          <w:szCs w:val="22"/>
        </w:rPr>
        <w:t xml:space="preserve">, </w:t>
      </w:r>
      <w:r w:rsidRPr="0030358C">
        <w:rPr>
          <w:rFonts w:ascii="Arial" w:hAnsi="Arial" w:cs="Arial"/>
          <w:sz w:val="22"/>
          <w:szCs w:val="22"/>
        </w:rPr>
        <w:t xml:space="preserve">jsou stanoveny v </w:t>
      </w:r>
      <w:hyperlink w:history="1">
        <w:r w:rsidR="00A77B3E" w:rsidRPr="0030358C">
          <w:rPr>
            <w:rFonts w:ascii="Arial" w:hAnsi="Arial" w:cs="Arial"/>
            <w:sz w:val="22"/>
            <w:szCs w:val="22"/>
          </w:rPr>
          <w:t>příloze č. 18</w:t>
        </w:r>
      </w:hyperlink>
      <w:r w:rsidRPr="0030358C">
        <w:rPr>
          <w:rFonts w:ascii="Arial" w:hAnsi="Arial" w:cs="Arial"/>
          <w:sz w:val="22"/>
          <w:szCs w:val="22"/>
        </w:rPr>
        <w:t xml:space="preserve"> k této vyhlášce.</w:t>
      </w:r>
    </w:p>
    <w:p w14:paraId="14F28AF4" w14:textId="77777777" w:rsidR="00914BA9" w:rsidRPr="0030358C" w:rsidRDefault="00000000" w:rsidP="00914BA9">
      <w:pPr>
        <w:pStyle w:val="25"/>
        <w:rPr>
          <w:rFonts w:ascii="Arial" w:hAnsi="Arial" w:cs="Arial"/>
          <w:sz w:val="22"/>
          <w:szCs w:val="22"/>
        </w:rPr>
      </w:pPr>
      <w:r w:rsidRPr="0030358C">
        <w:rPr>
          <w:rFonts w:ascii="Arial" w:hAnsi="Arial" w:cs="Arial"/>
          <w:sz w:val="22"/>
          <w:szCs w:val="22"/>
        </w:rPr>
        <w:t xml:space="preserve">(8)    Údaje o spalovacím stacionárním zdroji na pevná paliva o celkovém jmenovitém tepelném příkonu od 10 do 300 kW včetně, který slouží jako zdroj tepla pro teplovodní soustavu ústředního vytápění, ohlašované prostřednictvím integrovaného systému plnění ohlašovacích povinností, jsou stanoveny v </w:t>
      </w:r>
      <w:hyperlink w:history="1">
        <w:r w:rsidR="00914BA9" w:rsidRPr="0030358C">
          <w:rPr>
            <w:rFonts w:ascii="Arial" w:hAnsi="Arial" w:cs="Arial"/>
            <w:sz w:val="22"/>
            <w:szCs w:val="22"/>
          </w:rPr>
          <w:t>části B) přílohy č. 18</w:t>
        </w:r>
      </w:hyperlink>
      <w:r w:rsidRPr="0030358C">
        <w:rPr>
          <w:rFonts w:ascii="Arial" w:hAnsi="Arial" w:cs="Arial"/>
          <w:sz w:val="22"/>
          <w:szCs w:val="22"/>
        </w:rPr>
        <w:t xml:space="preserve"> k této vyhlášce.</w:t>
      </w:r>
    </w:p>
    <w:p w14:paraId="37C96452" w14:textId="77777777" w:rsidR="008545D6" w:rsidRPr="0030358C" w:rsidRDefault="00000000" w:rsidP="00914BA9">
      <w:pPr>
        <w:pStyle w:val="25"/>
        <w:rPr>
          <w:rFonts w:ascii="Arial" w:hAnsi="Arial" w:cs="Arial"/>
          <w:b/>
          <w:bCs/>
          <w:sz w:val="22"/>
          <w:szCs w:val="22"/>
        </w:rPr>
      </w:pPr>
      <w:r w:rsidRPr="0030358C">
        <w:rPr>
          <w:rFonts w:ascii="Arial" w:hAnsi="Arial" w:cs="Arial"/>
          <w:b/>
          <w:bCs/>
          <w:sz w:val="22"/>
          <w:szCs w:val="22"/>
        </w:rPr>
        <w:t>(</w:t>
      </w:r>
      <w:bookmarkStart w:id="33" w:name="_Hlk181274056"/>
      <w:r w:rsidRPr="0030358C">
        <w:rPr>
          <w:rFonts w:ascii="Arial" w:hAnsi="Arial" w:cs="Arial"/>
          <w:b/>
          <w:bCs/>
          <w:sz w:val="22"/>
          <w:szCs w:val="22"/>
        </w:rPr>
        <w:t xml:space="preserve">9) Náležitosti hlášení o plnění opatření programu zlepšování kvality ovzduší a náležitosti časového plánu provádění opatření programu zlepšování kvality ovzduší jsou stanoveny v příloze </w:t>
      </w:r>
      <w:r w:rsidR="00EF10CA" w:rsidRPr="0030358C">
        <w:rPr>
          <w:rFonts w:ascii="Arial" w:hAnsi="Arial" w:cs="Arial"/>
          <w:b/>
          <w:bCs/>
          <w:sz w:val="22"/>
          <w:szCs w:val="22"/>
        </w:rPr>
        <w:t xml:space="preserve">č. </w:t>
      </w:r>
      <w:r w:rsidR="00CF583E" w:rsidRPr="0030358C">
        <w:rPr>
          <w:rFonts w:ascii="Arial" w:hAnsi="Arial" w:cs="Arial"/>
          <w:b/>
          <w:bCs/>
          <w:sz w:val="22"/>
          <w:szCs w:val="22"/>
        </w:rPr>
        <w:t>21</w:t>
      </w:r>
      <w:r w:rsidRPr="0030358C">
        <w:rPr>
          <w:rFonts w:ascii="Arial" w:hAnsi="Arial" w:cs="Arial"/>
          <w:b/>
          <w:bCs/>
          <w:sz w:val="22"/>
          <w:szCs w:val="22"/>
        </w:rPr>
        <w:t xml:space="preserve"> k této vyhlášce. </w:t>
      </w:r>
      <w:bookmarkEnd w:id="33"/>
    </w:p>
    <w:p w14:paraId="441A61AD" w14:textId="77777777" w:rsidR="00DB52FC" w:rsidRPr="0030358C" w:rsidRDefault="00000000" w:rsidP="00914BA9">
      <w:pPr>
        <w:pStyle w:val="25"/>
        <w:rPr>
          <w:rFonts w:ascii="Arial" w:hAnsi="Arial" w:cs="Arial"/>
          <w:b/>
          <w:bCs/>
          <w:sz w:val="22"/>
          <w:szCs w:val="22"/>
        </w:rPr>
      </w:pPr>
      <w:bookmarkStart w:id="34" w:name="_Hlk181783824"/>
      <w:r w:rsidRPr="0030358C">
        <w:rPr>
          <w:rFonts w:ascii="Arial" w:hAnsi="Arial" w:cs="Arial"/>
          <w:b/>
          <w:bCs/>
          <w:sz w:val="22"/>
          <w:szCs w:val="22"/>
        </w:rPr>
        <w:t>(10) Formát a struktura řádného a dodatečného poplatkového přiznání jsou stanoveny v příloze č. 22 k této vyhlášce.</w:t>
      </w:r>
    </w:p>
    <w:bookmarkEnd w:id="34"/>
    <w:p w14:paraId="4321F30D" w14:textId="77777777" w:rsidR="008545D6" w:rsidRPr="0030358C" w:rsidRDefault="008545D6">
      <w:pPr>
        <w:pStyle w:val="25"/>
        <w:rPr>
          <w:rFonts w:ascii="Arial" w:hAnsi="Arial" w:cs="Arial"/>
          <w:sz w:val="22"/>
          <w:szCs w:val="22"/>
        </w:rPr>
      </w:pPr>
    </w:p>
    <w:p w14:paraId="08762553" w14:textId="77777777" w:rsidR="00A77B3E" w:rsidRPr="0030358C" w:rsidRDefault="00000000">
      <w:pPr>
        <w:pStyle w:val="7"/>
        <w:rPr>
          <w:rFonts w:ascii="Arial" w:hAnsi="Arial" w:cs="Arial"/>
          <w:sz w:val="22"/>
          <w:szCs w:val="22"/>
        </w:rPr>
      </w:pPr>
      <w:r w:rsidRPr="0030358C">
        <w:rPr>
          <w:rFonts w:ascii="Arial" w:hAnsi="Arial" w:cs="Arial"/>
          <w:sz w:val="22"/>
          <w:szCs w:val="22"/>
        </w:rPr>
        <w:t>ČÁST DEVÁTÁ</w:t>
      </w:r>
    </w:p>
    <w:p w14:paraId="37828E56" w14:textId="77777777" w:rsidR="00A77B3E" w:rsidRPr="0030358C" w:rsidRDefault="00000000">
      <w:pPr>
        <w:pStyle w:val="8"/>
        <w:rPr>
          <w:rFonts w:ascii="Arial" w:hAnsi="Arial" w:cs="Arial"/>
          <w:sz w:val="22"/>
          <w:szCs w:val="22"/>
        </w:rPr>
      </w:pPr>
      <w:r w:rsidRPr="0030358C">
        <w:rPr>
          <w:rFonts w:ascii="Arial" w:hAnsi="Arial" w:cs="Arial"/>
          <w:sz w:val="22"/>
          <w:szCs w:val="22"/>
        </w:rPr>
        <w:t>KOMPENZAČNÍ OPATŘENÍ</w:t>
      </w:r>
    </w:p>
    <w:p w14:paraId="269B4106" w14:textId="77777777" w:rsidR="00A77B3E" w:rsidRPr="0030358C" w:rsidRDefault="00000000">
      <w:pPr>
        <w:pStyle w:val="9"/>
        <w:rPr>
          <w:rFonts w:ascii="Arial" w:hAnsi="Arial" w:cs="Arial"/>
          <w:sz w:val="22"/>
          <w:szCs w:val="22"/>
        </w:rPr>
      </w:pPr>
      <w:r w:rsidRPr="0030358C">
        <w:rPr>
          <w:rFonts w:ascii="Arial" w:hAnsi="Arial" w:cs="Arial"/>
          <w:sz w:val="22"/>
          <w:szCs w:val="22"/>
        </w:rPr>
        <w:t>§ 27</w:t>
      </w:r>
    </w:p>
    <w:p w14:paraId="2D1A5D78" w14:textId="77777777" w:rsidR="00A77B3E" w:rsidRPr="0030358C" w:rsidRDefault="00000000">
      <w:pPr>
        <w:pStyle w:val="10"/>
        <w:rPr>
          <w:rFonts w:ascii="Arial" w:hAnsi="Arial" w:cs="Arial"/>
          <w:sz w:val="22"/>
          <w:szCs w:val="22"/>
        </w:rPr>
      </w:pPr>
      <w:r w:rsidRPr="0030358C">
        <w:rPr>
          <w:rFonts w:ascii="Arial" w:hAnsi="Arial" w:cs="Arial"/>
          <w:sz w:val="22"/>
          <w:szCs w:val="22"/>
        </w:rPr>
        <w:t>Způsob uplatnění kompenzačních opatření</w:t>
      </w:r>
    </w:p>
    <w:p w14:paraId="678099B6"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trike/>
            <w:sz w:val="22"/>
            <w:szCs w:val="22"/>
          </w:rPr>
          <w:t>§ 12 odst. 8</w:t>
        </w:r>
      </w:hyperlink>
      <w:r w:rsidRPr="0030358C">
        <w:rPr>
          <w:rFonts w:ascii="Arial" w:hAnsi="Arial" w:cs="Arial"/>
          <w:sz w:val="22"/>
          <w:szCs w:val="22"/>
        </w:rPr>
        <w:t xml:space="preserve"> </w:t>
      </w:r>
      <w:r w:rsidR="00EF10CA" w:rsidRPr="0030358C">
        <w:rPr>
          <w:rFonts w:ascii="Arial" w:hAnsi="Arial" w:cs="Arial"/>
          <w:sz w:val="22"/>
          <w:szCs w:val="22"/>
          <w:highlight w:val="yellow"/>
        </w:rPr>
        <w:t>11 odst. 11</w:t>
      </w:r>
      <w:r w:rsidR="00EF10CA"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4B95C225" w14:textId="77777777" w:rsidR="00A77B3E" w:rsidRPr="0030358C" w:rsidRDefault="00000000">
      <w:pPr>
        <w:pStyle w:val="24"/>
        <w:rPr>
          <w:rFonts w:ascii="Arial" w:hAnsi="Arial" w:cs="Arial"/>
          <w:strike/>
          <w:sz w:val="22"/>
          <w:szCs w:val="22"/>
        </w:rPr>
      </w:pPr>
      <w:r w:rsidRPr="0030358C">
        <w:rPr>
          <w:rFonts w:ascii="Arial" w:hAnsi="Arial" w:cs="Arial"/>
          <w:strike/>
          <w:sz w:val="22"/>
          <w:szCs w:val="22"/>
        </w:rPr>
        <w:t xml:space="preserve">(1)    Kompenzační opatření se uloží u stacionárního zdroje a pozemní komunikace uvedené v </w:t>
      </w:r>
      <w:hyperlink w:history="1">
        <w:r w:rsidR="00A77B3E" w:rsidRPr="0030358C">
          <w:rPr>
            <w:rFonts w:ascii="Arial" w:hAnsi="Arial" w:cs="Arial"/>
            <w:strike/>
            <w:sz w:val="22"/>
            <w:szCs w:val="22"/>
          </w:rPr>
          <w:t>§ 11 odst. 1 písm. b)</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v případě, že by jejich umístěním došlo k nárůstu úrovně znečištění o více než 1 % imisního limitu pro znečišťující látku s dobou průměrování 1 kalendářní rok.</w:t>
      </w:r>
    </w:p>
    <w:p w14:paraId="4B45D5EA" w14:textId="77777777" w:rsidR="00A77B3E" w:rsidRPr="0030358C" w:rsidRDefault="00000000">
      <w:pPr>
        <w:pStyle w:val="30"/>
        <w:rPr>
          <w:rFonts w:ascii="Arial" w:hAnsi="Arial" w:cs="Arial"/>
          <w:sz w:val="22"/>
          <w:szCs w:val="22"/>
        </w:rPr>
      </w:pPr>
      <w:r w:rsidRPr="0030358C">
        <w:rPr>
          <w:rFonts w:ascii="Arial" w:hAnsi="Arial" w:cs="Arial"/>
          <w:strike/>
          <w:sz w:val="22"/>
          <w:szCs w:val="22"/>
        </w:rPr>
        <w:lastRenderedPageBreak/>
        <w:t>(2)</w:t>
      </w:r>
      <w:r w:rsidR="00423D00" w:rsidRPr="0030358C">
        <w:rPr>
          <w:rFonts w:ascii="Arial" w:hAnsi="Arial" w:cs="Arial"/>
          <w:b/>
          <w:bCs/>
          <w:sz w:val="22"/>
          <w:szCs w:val="22"/>
        </w:rPr>
        <w:t xml:space="preserve">(1) </w:t>
      </w:r>
      <w:r w:rsidRPr="0030358C">
        <w:rPr>
          <w:rFonts w:ascii="Arial" w:hAnsi="Arial" w:cs="Arial"/>
          <w:sz w:val="22"/>
          <w:szCs w:val="22"/>
        </w:rPr>
        <w:t xml:space="preserve">Pro účely vyhodnocování kompenzačního opatření jsou v </w:t>
      </w:r>
      <w:hyperlink w:history="1">
        <w:r w:rsidR="00A77B3E" w:rsidRPr="0030358C">
          <w:rPr>
            <w:rFonts w:ascii="Arial" w:hAnsi="Arial" w:cs="Arial"/>
            <w:sz w:val="22"/>
            <w:szCs w:val="22"/>
          </w:rPr>
          <w:t>příloze č. 16</w:t>
        </w:r>
      </w:hyperlink>
      <w:r w:rsidRPr="0030358C">
        <w:rPr>
          <w:rFonts w:ascii="Arial" w:hAnsi="Arial" w:cs="Arial"/>
          <w:sz w:val="22"/>
          <w:szCs w:val="22"/>
        </w:rPr>
        <w:t xml:space="preserve"> k této vyhlášce stanoveny koeficienty významnosti příspěvku zdroje ke znečištění ovzduší (dále jen „koeficient významnosti“), a to v závislosti na efektivní výšce zdroje.</w:t>
      </w:r>
    </w:p>
    <w:p w14:paraId="512C4EFE" w14:textId="77777777" w:rsidR="00A77B3E" w:rsidRPr="0030358C" w:rsidRDefault="00000000">
      <w:pPr>
        <w:pStyle w:val="30"/>
        <w:rPr>
          <w:rFonts w:ascii="Arial" w:hAnsi="Arial" w:cs="Arial"/>
          <w:sz w:val="22"/>
          <w:szCs w:val="22"/>
        </w:rPr>
      </w:pPr>
      <w:r w:rsidRPr="0030358C">
        <w:rPr>
          <w:rFonts w:ascii="Arial" w:hAnsi="Arial" w:cs="Arial"/>
          <w:strike/>
          <w:sz w:val="22"/>
          <w:szCs w:val="22"/>
        </w:rPr>
        <w:t>(3)</w:t>
      </w:r>
      <w:r w:rsidRPr="0030358C">
        <w:rPr>
          <w:rFonts w:ascii="Arial" w:hAnsi="Arial" w:cs="Arial"/>
          <w:sz w:val="22"/>
          <w:szCs w:val="22"/>
        </w:rPr>
        <w:t> </w:t>
      </w:r>
      <w:r w:rsidR="00423D00" w:rsidRPr="0030358C">
        <w:rPr>
          <w:rFonts w:ascii="Arial" w:hAnsi="Arial" w:cs="Arial"/>
          <w:b/>
          <w:bCs/>
          <w:sz w:val="22"/>
          <w:szCs w:val="22"/>
        </w:rPr>
        <w:t>(2)</w:t>
      </w:r>
      <w:r w:rsidRPr="0030358C">
        <w:rPr>
          <w:rFonts w:ascii="Arial" w:hAnsi="Arial" w:cs="Arial"/>
          <w:b/>
          <w:bCs/>
          <w:sz w:val="22"/>
          <w:szCs w:val="22"/>
        </w:rPr>
        <w:t xml:space="preserve"> </w:t>
      </w:r>
      <w:r w:rsidRPr="0030358C">
        <w:rPr>
          <w:rFonts w:ascii="Arial" w:hAnsi="Arial" w:cs="Arial"/>
          <w:sz w:val="22"/>
          <w:szCs w:val="22"/>
        </w:rPr>
        <w:t>Kompenzační opatření je uplatněno dostatečným způsobem, pokud je snížení součinu změny množství vypouštěné znečišťující látky v tunách za rok a koeficientu významnosti stacionárních nebo mobilních zdrojů, na nichž se realizuje kompenzační opatření, větší nebo rovno součinu změny množství vypouštěné znečišťující látky v tunách za rok a koeficientu významnosti nově umisťovaného stacionárního zdroje nebo mobilních zdrojů na posuzované pozemní komunikaci.</w:t>
      </w:r>
    </w:p>
    <w:p w14:paraId="2BDF5013" w14:textId="77777777" w:rsidR="00A77B3E" w:rsidRPr="0030358C" w:rsidRDefault="00000000">
      <w:pPr>
        <w:pStyle w:val="25"/>
        <w:rPr>
          <w:rFonts w:ascii="Arial" w:hAnsi="Arial" w:cs="Arial"/>
          <w:sz w:val="22"/>
          <w:szCs w:val="22"/>
        </w:rPr>
      </w:pPr>
      <w:r w:rsidRPr="0030358C">
        <w:rPr>
          <w:rFonts w:ascii="Arial" w:hAnsi="Arial" w:cs="Arial"/>
          <w:strike/>
          <w:sz w:val="22"/>
          <w:szCs w:val="22"/>
        </w:rPr>
        <w:t>(4)</w:t>
      </w:r>
      <w:r w:rsidRPr="0030358C">
        <w:rPr>
          <w:rFonts w:ascii="Arial" w:hAnsi="Arial" w:cs="Arial"/>
          <w:sz w:val="22"/>
          <w:szCs w:val="22"/>
        </w:rPr>
        <w:t> </w:t>
      </w:r>
      <w:r w:rsidR="00423D00" w:rsidRPr="0030358C">
        <w:rPr>
          <w:rFonts w:ascii="Arial" w:hAnsi="Arial" w:cs="Arial"/>
          <w:b/>
          <w:bCs/>
          <w:sz w:val="22"/>
          <w:szCs w:val="22"/>
        </w:rPr>
        <w:t>(3)</w:t>
      </w:r>
      <w:r w:rsidRPr="0030358C">
        <w:rPr>
          <w:rFonts w:ascii="Arial" w:hAnsi="Arial" w:cs="Arial"/>
          <w:sz w:val="22"/>
          <w:szCs w:val="22"/>
        </w:rPr>
        <w:t xml:space="preserve"> V případě uplatnění kompenzačního opatření formou izolační zeleně, čištění komunikací nebo jiných obdobných opatření se neuvažuje při hodnocení kompenzačního opatření podle </w:t>
      </w:r>
      <w:hyperlink w:history="1">
        <w:r w:rsidR="00A77B3E" w:rsidRPr="0030358C">
          <w:rPr>
            <w:rFonts w:ascii="Arial" w:hAnsi="Arial" w:cs="Arial"/>
            <w:sz w:val="22"/>
            <w:szCs w:val="22"/>
          </w:rPr>
          <w:t>odstavce 3</w:t>
        </w:r>
      </w:hyperlink>
      <w:r w:rsidRPr="0030358C">
        <w:rPr>
          <w:rFonts w:ascii="Arial" w:hAnsi="Arial" w:cs="Arial"/>
          <w:sz w:val="22"/>
          <w:szCs w:val="22"/>
        </w:rPr>
        <w:t xml:space="preserve"> o vypouštění znečišťujících látek do ovzduší, ale o odstraněném znečištění.</w:t>
      </w:r>
    </w:p>
    <w:p w14:paraId="310FAEA9" w14:textId="77777777" w:rsidR="00A77B3E" w:rsidRPr="0030358C" w:rsidRDefault="00000000">
      <w:pPr>
        <w:pStyle w:val="7"/>
        <w:rPr>
          <w:rFonts w:ascii="Arial" w:hAnsi="Arial" w:cs="Arial"/>
          <w:sz w:val="22"/>
          <w:szCs w:val="22"/>
        </w:rPr>
      </w:pPr>
      <w:r w:rsidRPr="0030358C">
        <w:rPr>
          <w:rFonts w:ascii="Arial" w:hAnsi="Arial" w:cs="Arial"/>
          <w:sz w:val="22"/>
          <w:szCs w:val="22"/>
        </w:rPr>
        <w:t>ČÁST DESÁTÁ</w:t>
      </w:r>
    </w:p>
    <w:p w14:paraId="41AC675B" w14:textId="77777777" w:rsidR="00A77B3E" w:rsidRPr="0030358C" w:rsidRDefault="00000000">
      <w:pPr>
        <w:pStyle w:val="8"/>
        <w:rPr>
          <w:rFonts w:ascii="Arial" w:hAnsi="Arial" w:cs="Arial"/>
          <w:strike/>
          <w:sz w:val="22"/>
          <w:szCs w:val="22"/>
        </w:rPr>
      </w:pPr>
      <w:r w:rsidRPr="0030358C">
        <w:rPr>
          <w:rFonts w:ascii="Arial" w:hAnsi="Arial" w:cs="Arial"/>
          <w:strike/>
          <w:sz w:val="22"/>
          <w:szCs w:val="22"/>
        </w:rPr>
        <w:t>REFERENČNÍ FINANČNÍ LIMIT</w:t>
      </w:r>
      <w:r w:rsidR="00D87BD4" w:rsidRPr="0030358C">
        <w:rPr>
          <w:rFonts w:ascii="Arial" w:hAnsi="Arial" w:cs="Arial"/>
          <w:strike/>
          <w:sz w:val="22"/>
          <w:szCs w:val="22"/>
        </w:rPr>
        <w:t xml:space="preserve"> </w:t>
      </w:r>
      <w:bookmarkStart w:id="35" w:name="_Hlk181274374"/>
      <w:r w:rsidR="00D87BD4" w:rsidRPr="0030358C">
        <w:rPr>
          <w:rFonts w:ascii="Arial" w:hAnsi="Arial" w:cs="Arial"/>
          <w:sz w:val="22"/>
          <w:szCs w:val="22"/>
        </w:rPr>
        <w:t>kontroly spalovacího stacionárního zdroje</w:t>
      </w:r>
      <w:bookmarkEnd w:id="35"/>
    </w:p>
    <w:p w14:paraId="0E05DF5C" w14:textId="77777777" w:rsidR="00A77B3E" w:rsidRPr="0030358C" w:rsidRDefault="00000000">
      <w:pPr>
        <w:pStyle w:val="9"/>
        <w:rPr>
          <w:rFonts w:ascii="Arial" w:hAnsi="Arial" w:cs="Arial"/>
          <w:sz w:val="22"/>
          <w:szCs w:val="22"/>
        </w:rPr>
      </w:pPr>
      <w:r w:rsidRPr="0030358C">
        <w:rPr>
          <w:rFonts w:ascii="Arial" w:hAnsi="Arial" w:cs="Arial"/>
          <w:sz w:val="22"/>
          <w:szCs w:val="22"/>
        </w:rPr>
        <w:t>§ 27a</w:t>
      </w:r>
    </w:p>
    <w:p w14:paraId="125682F9" w14:textId="77777777" w:rsidR="00D87BD4" w:rsidRPr="0030358C" w:rsidRDefault="00000000">
      <w:pPr>
        <w:pStyle w:val="9"/>
        <w:rPr>
          <w:rFonts w:ascii="Arial" w:hAnsi="Arial" w:cs="Arial"/>
          <w:b/>
          <w:bCs/>
          <w:sz w:val="22"/>
          <w:szCs w:val="22"/>
        </w:rPr>
      </w:pPr>
      <w:bookmarkStart w:id="36" w:name="_Hlk181622645"/>
      <w:r w:rsidRPr="0030358C">
        <w:rPr>
          <w:rFonts w:ascii="Arial" w:hAnsi="Arial" w:cs="Arial"/>
          <w:b/>
          <w:bCs/>
          <w:sz w:val="22"/>
          <w:szCs w:val="22"/>
        </w:rPr>
        <w:t>Referenční finanční limit</w:t>
      </w:r>
    </w:p>
    <w:p w14:paraId="1BEB46ED" w14:textId="77777777" w:rsidR="00A77B3E" w:rsidRPr="0030358C" w:rsidRDefault="00000000">
      <w:pPr>
        <w:pStyle w:val="4"/>
        <w:rPr>
          <w:rFonts w:ascii="Arial" w:hAnsi="Arial" w:cs="Arial"/>
          <w:sz w:val="22"/>
          <w:szCs w:val="22"/>
        </w:rPr>
      </w:pPr>
      <w:r w:rsidRPr="0030358C">
        <w:rPr>
          <w:rFonts w:ascii="Arial" w:hAnsi="Arial" w:cs="Arial"/>
          <w:sz w:val="22"/>
          <w:szCs w:val="22"/>
        </w:rPr>
        <w:t xml:space="preserve">[K </w:t>
      </w:r>
      <w:hyperlink w:history="1">
        <w:r w:rsidR="00A77B3E" w:rsidRPr="0030358C">
          <w:rPr>
            <w:rFonts w:ascii="Arial" w:hAnsi="Arial" w:cs="Arial"/>
            <w:sz w:val="22"/>
            <w:szCs w:val="22"/>
          </w:rPr>
          <w:t>§ 17 odst. 1 písm. h)</w:t>
        </w:r>
      </w:hyperlink>
      <w:r w:rsidRPr="0030358C">
        <w:rPr>
          <w:rFonts w:ascii="Arial" w:hAnsi="Arial" w:cs="Arial"/>
          <w:sz w:val="22"/>
          <w:szCs w:val="22"/>
        </w:rPr>
        <w:t xml:space="preserve"> a </w:t>
      </w:r>
      <w:hyperlink w:history="1">
        <w:r w:rsidR="00A77B3E" w:rsidRPr="0030358C">
          <w:rPr>
            <w:rFonts w:ascii="Arial" w:hAnsi="Arial" w:cs="Arial"/>
            <w:sz w:val="22"/>
            <w:szCs w:val="22"/>
          </w:rPr>
          <w:t>odst. 7</w:t>
        </w:r>
      </w:hyperlink>
      <w:r w:rsidRPr="0030358C">
        <w:rPr>
          <w:rFonts w:ascii="Arial" w:hAnsi="Arial" w:cs="Arial"/>
          <w:sz w:val="22"/>
          <w:szCs w:val="22"/>
        </w:rPr>
        <w:t xml:space="preserve"> </w:t>
      </w:r>
      <w:hyperlink w:history="1">
        <w:r w:rsidR="00A77B3E" w:rsidRPr="0030358C">
          <w:rPr>
            <w:rFonts w:ascii="Arial" w:hAnsi="Arial" w:cs="Arial"/>
            <w:sz w:val="22"/>
            <w:szCs w:val="22"/>
          </w:rPr>
          <w:t>zákona</w:t>
        </w:r>
      </w:hyperlink>
      <w:r w:rsidRPr="0030358C">
        <w:rPr>
          <w:rFonts w:ascii="Arial" w:hAnsi="Arial" w:cs="Arial"/>
          <w:sz w:val="22"/>
          <w:szCs w:val="22"/>
        </w:rPr>
        <w:t>]</w:t>
      </w:r>
    </w:p>
    <w:p w14:paraId="2C0CBBFA" w14:textId="77777777" w:rsidR="00914BA9" w:rsidRPr="0030358C" w:rsidRDefault="00000000">
      <w:pPr>
        <w:pStyle w:val="16"/>
        <w:rPr>
          <w:rFonts w:ascii="Arial" w:hAnsi="Arial" w:cs="Arial"/>
          <w:sz w:val="22"/>
          <w:szCs w:val="22"/>
        </w:rPr>
      </w:pPr>
      <w:r w:rsidRPr="0030358C">
        <w:rPr>
          <w:rFonts w:ascii="Arial" w:hAnsi="Arial" w:cs="Arial"/>
          <w:sz w:val="22"/>
          <w:szCs w:val="22"/>
        </w:rPr>
        <w:t xml:space="preserve">Referenční finanční limit rozhodný pro posouzení schopnosti výrobce zajistit odborně způsobilou osobu pro provedení kontroly technického stavu a provozu spalovacího stacionárního zdroje na pevná paliva o celkovém jmenovitém tepelném příkonu od 10 do 300 kW včetně, který slouží jako zdroj tepla pro teplovodní soustavu ústředního vytápění, je stanoven ve výši </w:t>
      </w:r>
      <w:bookmarkStart w:id="37" w:name="_Hlk181274453"/>
      <w:r w:rsidRPr="0030358C">
        <w:rPr>
          <w:rFonts w:ascii="Arial" w:hAnsi="Arial" w:cs="Arial"/>
          <w:strike/>
          <w:sz w:val="22"/>
          <w:szCs w:val="22"/>
        </w:rPr>
        <w:t>1 585</w:t>
      </w:r>
      <w:r w:rsidRPr="0030358C">
        <w:rPr>
          <w:rFonts w:ascii="Arial" w:hAnsi="Arial" w:cs="Arial"/>
          <w:sz w:val="22"/>
          <w:szCs w:val="22"/>
        </w:rPr>
        <w:t xml:space="preserve"> </w:t>
      </w:r>
      <w:r w:rsidRPr="0030358C">
        <w:rPr>
          <w:rFonts w:ascii="Arial" w:hAnsi="Arial" w:cs="Arial"/>
          <w:b/>
          <w:bCs/>
          <w:sz w:val="22"/>
          <w:szCs w:val="22"/>
        </w:rPr>
        <w:t>2</w:t>
      </w:r>
      <w:r w:rsidR="00127747" w:rsidRPr="0030358C">
        <w:rPr>
          <w:rFonts w:ascii="Arial" w:hAnsi="Arial" w:cs="Arial"/>
          <w:b/>
          <w:bCs/>
          <w:sz w:val="22"/>
          <w:szCs w:val="22"/>
        </w:rPr>
        <w:t xml:space="preserve"> </w:t>
      </w:r>
      <w:r w:rsidRPr="0030358C">
        <w:rPr>
          <w:rFonts w:ascii="Arial" w:hAnsi="Arial" w:cs="Arial"/>
          <w:b/>
          <w:bCs/>
          <w:sz w:val="22"/>
          <w:szCs w:val="22"/>
        </w:rPr>
        <w:t>222</w:t>
      </w:r>
      <w:r w:rsidRPr="0030358C">
        <w:rPr>
          <w:rFonts w:ascii="Arial" w:hAnsi="Arial" w:cs="Arial"/>
          <w:sz w:val="22"/>
          <w:szCs w:val="22"/>
        </w:rPr>
        <w:t xml:space="preserve"> Kč bez DPH pro spalovací stacionární zdroje bez řídicí jednotky a ve výši </w:t>
      </w:r>
      <w:r w:rsidRPr="0030358C">
        <w:rPr>
          <w:rFonts w:ascii="Arial" w:hAnsi="Arial" w:cs="Arial"/>
          <w:strike/>
          <w:sz w:val="22"/>
          <w:szCs w:val="22"/>
        </w:rPr>
        <w:t xml:space="preserve">1 848 </w:t>
      </w:r>
      <w:r w:rsidRPr="0030358C">
        <w:rPr>
          <w:rFonts w:ascii="Arial" w:hAnsi="Arial" w:cs="Arial"/>
          <w:sz w:val="22"/>
          <w:szCs w:val="22"/>
        </w:rPr>
        <w:t xml:space="preserve"> </w:t>
      </w:r>
      <w:r w:rsidRPr="0030358C">
        <w:rPr>
          <w:rFonts w:ascii="Arial" w:hAnsi="Arial" w:cs="Arial"/>
          <w:b/>
          <w:bCs/>
          <w:sz w:val="22"/>
          <w:szCs w:val="22"/>
        </w:rPr>
        <w:t>2</w:t>
      </w:r>
      <w:r w:rsidR="00127747" w:rsidRPr="0030358C">
        <w:rPr>
          <w:rFonts w:ascii="Arial" w:hAnsi="Arial" w:cs="Arial"/>
          <w:b/>
          <w:bCs/>
          <w:sz w:val="22"/>
          <w:szCs w:val="22"/>
        </w:rPr>
        <w:t xml:space="preserve"> </w:t>
      </w:r>
      <w:r w:rsidRPr="0030358C">
        <w:rPr>
          <w:rFonts w:ascii="Arial" w:hAnsi="Arial" w:cs="Arial"/>
          <w:b/>
          <w:bCs/>
          <w:sz w:val="22"/>
          <w:szCs w:val="22"/>
        </w:rPr>
        <w:t>590</w:t>
      </w:r>
      <w:r w:rsidRPr="0030358C">
        <w:rPr>
          <w:rFonts w:ascii="Arial" w:hAnsi="Arial" w:cs="Arial"/>
          <w:sz w:val="22"/>
          <w:szCs w:val="22"/>
        </w:rPr>
        <w:t xml:space="preserve"> </w:t>
      </w:r>
      <w:bookmarkEnd w:id="37"/>
      <w:r w:rsidRPr="0030358C">
        <w:rPr>
          <w:rFonts w:ascii="Arial" w:hAnsi="Arial" w:cs="Arial"/>
          <w:sz w:val="22"/>
          <w:szCs w:val="22"/>
        </w:rPr>
        <w:t>Kč bez DPH pro spalovací stacionární zdroje s řídicí jednotkou.</w:t>
      </w:r>
    </w:p>
    <w:p w14:paraId="7F944367" w14:textId="77777777" w:rsidR="00D87BD4" w:rsidRPr="0030358C" w:rsidRDefault="00D87BD4">
      <w:pPr>
        <w:pStyle w:val="16"/>
        <w:rPr>
          <w:rFonts w:ascii="Arial" w:hAnsi="Arial" w:cs="Arial"/>
          <w:sz w:val="22"/>
          <w:szCs w:val="22"/>
        </w:rPr>
      </w:pPr>
    </w:p>
    <w:p w14:paraId="75EAC199" w14:textId="77777777" w:rsidR="00D87BD4" w:rsidRPr="0030358C" w:rsidRDefault="00000000" w:rsidP="00D87BD4">
      <w:pPr>
        <w:pStyle w:val="16"/>
        <w:jc w:val="center"/>
        <w:rPr>
          <w:rFonts w:ascii="Arial" w:hAnsi="Arial" w:cs="Arial"/>
          <w:b/>
          <w:bCs/>
          <w:sz w:val="22"/>
          <w:szCs w:val="22"/>
        </w:rPr>
      </w:pPr>
      <w:bookmarkStart w:id="38" w:name="_Hlk181274994"/>
      <w:r w:rsidRPr="0030358C">
        <w:rPr>
          <w:rFonts w:ascii="Arial" w:hAnsi="Arial" w:cs="Arial"/>
          <w:b/>
          <w:bCs/>
          <w:sz w:val="22"/>
          <w:szCs w:val="22"/>
        </w:rPr>
        <w:t>§ 27</w:t>
      </w:r>
      <w:r w:rsidR="00130492" w:rsidRPr="0030358C">
        <w:rPr>
          <w:rFonts w:ascii="Arial" w:hAnsi="Arial" w:cs="Arial"/>
          <w:b/>
          <w:bCs/>
          <w:sz w:val="22"/>
          <w:szCs w:val="22"/>
        </w:rPr>
        <w:t>b</w:t>
      </w:r>
    </w:p>
    <w:p w14:paraId="4A11FC19" w14:textId="77777777" w:rsidR="00D87BD4" w:rsidRPr="0030358C" w:rsidRDefault="00000000" w:rsidP="00D87BD4">
      <w:pPr>
        <w:pStyle w:val="16"/>
        <w:jc w:val="center"/>
        <w:rPr>
          <w:rFonts w:ascii="Arial" w:hAnsi="Arial" w:cs="Arial"/>
          <w:b/>
          <w:bCs/>
          <w:sz w:val="22"/>
          <w:szCs w:val="22"/>
        </w:rPr>
      </w:pPr>
      <w:r w:rsidRPr="0030358C">
        <w:rPr>
          <w:rFonts w:ascii="Arial" w:hAnsi="Arial" w:cs="Arial"/>
          <w:b/>
          <w:bCs/>
          <w:sz w:val="22"/>
          <w:szCs w:val="22"/>
        </w:rPr>
        <w:t>Kontrola technického stavu a provozu</w:t>
      </w:r>
    </w:p>
    <w:p w14:paraId="2F012C1E" w14:textId="77777777" w:rsidR="00E9741C" w:rsidRPr="0030358C" w:rsidRDefault="00000000" w:rsidP="00D87BD4">
      <w:pPr>
        <w:pStyle w:val="16"/>
        <w:jc w:val="center"/>
        <w:rPr>
          <w:rFonts w:ascii="Arial" w:hAnsi="Arial" w:cs="Arial"/>
          <w:b/>
          <w:bCs/>
          <w:sz w:val="22"/>
          <w:szCs w:val="22"/>
        </w:rPr>
      </w:pPr>
      <w:r w:rsidRPr="0030358C">
        <w:rPr>
          <w:rFonts w:ascii="Arial" w:hAnsi="Arial" w:cs="Arial"/>
          <w:b/>
          <w:bCs/>
          <w:sz w:val="22"/>
          <w:szCs w:val="22"/>
        </w:rPr>
        <w:t xml:space="preserve">(K § </w:t>
      </w:r>
      <w:r w:rsidR="008D0B35" w:rsidRPr="0030358C">
        <w:rPr>
          <w:rFonts w:ascii="Arial" w:hAnsi="Arial" w:cs="Arial"/>
          <w:b/>
          <w:bCs/>
          <w:sz w:val="22"/>
          <w:szCs w:val="22"/>
        </w:rPr>
        <w:t>17 odst. 7 zákona)</w:t>
      </w:r>
    </w:p>
    <w:p w14:paraId="5B0636FD" w14:textId="77777777" w:rsidR="00D87BD4" w:rsidRPr="0030358C" w:rsidRDefault="00D87BD4" w:rsidP="00D87BD4">
      <w:pPr>
        <w:pStyle w:val="16"/>
        <w:jc w:val="center"/>
        <w:rPr>
          <w:rFonts w:ascii="Arial" w:hAnsi="Arial" w:cs="Arial"/>
          <w:b/>
          <w:bCs/>
          <w:sz w:val="22"/>
          <w:szCs w:val="22"/>
        </w:rPr>
      </w:pPr>
    </w:p>
    <w:p w14:paraId="18787BAD" w14:textId="77777777" w:rsidR="00D87BD4" w:rsidRPr="0030358C" w:rsidRDefault="00000000" w:rsidP="00D87BD4">
      <w:pPr>
        <w:pStyle w:val="16"/>
        <w:rPr>
          <w:rFonts w:ascii="Arial" w:hAnsi="Arial" w:cs="Arial"/>
          <w:b/>
          <w:bCs/>
          <w:sz w:val="22"/>
          <w:szCs w:val="22"/>
        </w:rPr>
      </w:pPr>
      <w:r w:rsidRPr="0030358C">
        <w:rPr>
          <w:rFonts w:ascii="Arial" w:hAnsi="Arial" w:cs="Arial"/>
          <w:b/>
          <w:bCs/>
          <w:sz w:val="22"/>
          <w:szCs w:val="22"/>
        </w:rPr>
        <w:t>Rozsah kontroly technického stavu a provozu spalovacího stacionárního zdroje na pevná paliva o celkovém jmenovitém tepelném příkonu od 10 do 300 kW včetně, který slouží jako zdroj tepla pro teplovodní soustavu ústředního vytápění, je uveden v příloze č. 2</w:t>
      </w:r>
      <w:r w:rsidR="002D3A13" w:rsidRPr="0030358C">
        <w:rPr>
          <w:rFonts w:ascii="Arial" w:hAnsi="Arial" w:cs="Arial"/>
          <w:b/>
          <w:bCs/>
          <w:sz w:val="22"/>
          <w:szCs w:val="22"/>
        </w:rPr>
        <w:t>3</w:t>
      </w:r>
      <w:r w:rsidR="000F7FB2" w:rsidRPr="0030358C">
        <w:rPr>
          <w:rFonts w:ascii="Arial" w:hAnsi="Arial" w:cs="Arial"/>
          <w:b/>
          <w:bCs/>
          <w:sz w:val="22"/>
          <w:szCs w:val="22"/>
        </w:rPr>
        <w:t xml:space="preserve"> k této vyhlášce</w:t>
      </w:r>
      <w:r w:rsidRPr="0030358C">
        <w:rPr>
          <w:rFonts w:ascii="Arial" w:hAnsi="Arial" w:cs="Arial"/>
          <w:b/>
          <w:bCs/>
          <w:sz w:val="22"/>
          <w:szCs w:val="22"/>
        </w:rPr>
        <w:t>.</w:t>
      </w:r>
    </w:p>
    <w:p w14:paraId="612D67AC" w14:textId="77777777" w:rsidR="00130492" w:rsidRPr="0030358C" w:rsidRDefault="00130492" w:rsidP="00D87BD4">
      <w:pPr>
        <w:pStyle w:val="16"/>
        <w:rPr>
          <w:rFonts w:ascii="Arial" w:hAnsi="Arial" w:cs="Arial"/>
          <w:b/>
          <w:bCs/>
          <w:sz w:val="22"/>
          <w:szCs w:val="22"/>
        </w:rPr>
      </w:pPr>
    </w:p>
    <w:p w14:paraId="25EF2ACC" w14:textId="77777777" w:rsidR="00D87BD4" w:rsidRPr="0030358C" w:rsidRDefault="00000000" w:rsidP="00130492">
      <w:pPr>
        <w:pStyle w:val="16"/>
        <w:jc w:val="center"/>
        <w:rPr>
          <w:rFonts w:ascii="Arial" w:hAnsi="Arial" w:cs="Arial"/>
          <w:b/>
          <w:bCs/>
          <w:sz w:val="22"/>
          <w:szCs w:val="22"/>
        </w:rPr>
      </w:pPr>
      <w:r w:rsidRPr="0030358C">
        <w:rPr>
          <w:rFonts w:ascii="Arial" w:hAnsi="Arial" w:cs="Arial"/>
          <w:b/>
          <w:bCs/>
          <w:sz w:val="22"/>
          <w:szCs w:val="22"/>
        </w:rPr>
        <w:t>§ 27c</w:t>
      </w:r>
    </w:p>
    <w:p w14:paraId="63498A81" w14:textId="77777777" w:rsidR="00130492" w:rsidRPr="0030358C" w:rsidRDefault="00000000" w:rsidP="00130492">
      <w:pPr>
        <w:pStyle w:val="16"/>
        <w:jc w:val="center"/>
        <w:rPr>
          <w:rFonts w:ascii="Arial" w:hAnsi="Arial" w:cs="Arial"/>
          <w:b/>
          <w:bCs/>
          <w:sz w:val="22"/>
          <w:szCs w:val="22"/>
        </w:rPr>
      </w:pPr>
      <w:r w:rsidRPr="0030358C">
        <w:rPr>
          <w:rFonts w:ascii="Arial" w:hAnsi="Arial" w:cs="Arial"/>
          <w:b/>
          <w:bCs/>
          <w:sz w:val="22"/>
          <w:szCs w:val="22"/>
        </w:rPr>
        <w:t>Prokazování tepelného zpracování odpadu</w:t>
      </w:r>
      <w:bookmarkEnd w:id="36"/>
    </w:p>
    <w:p w14:paraId="17537220" w14:textId="77777777" w:rsidR="008D0B35" w:rsidRPr="0030358C" w:rsidRDefault="00000000" w:rsidP="008D0B35">
      <w:pPr>
        <w:pStyle w:val="16"/>
        <w:jc w:val="center"/>
        <w:rPr>
          <w:rFonts w:ascii="Arial" w:hAnsi="Arial" w:cs="Arial"/>
          <w:b/>
          <w:bCs/>
          <w:sz w:val="22"/>
          <w:szCs w:val="22"/>
        </w:rPr>
      </w:pPr>
      <w:r w:rsidRPr="0030358C">
        <w:rPr>
          <w:rFonts w:ascii="Arial" w:hAnsi="Arial" w:cs="Arial"/>
          <w:b/>
          <w:bCs/>
          <w:sz w:val="22"/>
          <w:szCs w:val="22"/>
        </w:rPr>
        <w:t>(K § 16 odst. 11 zákona)</w:t>
      </w:r>
    </w:p>
    <w:p w14:paraId="774DE161" w14:textId="77777777" w:rsidR="008D0B35" w:rsidRPr="0030358C" w:rsidRDefault="008D0B35" w:rsidP="00130492">
      <w:pPr>
        <w:pStyle w:val="16"/>
        <w:jc w:val="center"/>
        <w:rPr>
          <w:rFonts w:ascii="Arial" w:hAnsi="Arial" w:cs="Arial"/>
          <w:b/>
          <w:bCs/>
          <w:sz w:val="22"/>
          <w:szCs w:val="22"/>
        </w:rPr>
      </w:pPr>
    </w:p>
    <w:p w14:paraId="01CC4971" w14:textId="77777777" w:rsidR="00D87BD4" w:rsidRPr="0030358C" w:rsidRDefault="00000000" w:rsidP="00D87BD4">
      <w:pPr>
        <w:pStyle w:val="16"/>
        <w:rPr>
          <w:rFonts w:ascii="Arial" w:hAnsi="Arial" w:cs="Arial"/>
          <w:b/>
          <w:bCs/>
          <w:sz w:val="22"/>
          <w:szCs w:val="22"/>
        </w:rPr>
      </w:pPr>
      <w:r w:rsidRPr="0030358C">
        <w:rPr>
          <w:rFonts w:ascii="Arial" w:hAnsi="Arial" w:cs="Arial"/>
          <w:b/>
          <w:bCs/>
          <w:sz w:val="22"/>
          <w:szCs w:val="22"/>
        </w:rPr>
        <w:t>Postup prokazování tepelného zpracování odpadu ve spalovacím stacionárním zdroji o celkovém jmenovitém tepelném příkonu do 300 kW včetně je stanoven v příloze č. 2</w:t>
      </w:r>
      <w:r w:rsidR="002D3A13" w:rsidRPr="0030358C">
        <w:rPr>
          <w:rFonts w:ascii="Arial" w:hAnsi="Arial" w:cs="Arial"/>
          <w:b/>
          <w:bCs/>
          <w:sz w:val="22"/>
          <w:szCs w:val="22"/>
        </w:rPr>
        <w:t>4</w:t>
      </w:r>
      <w:r w:rsidR="000F7FB2" w:rsidRPr="0030358C">
        <w:rPr>
          <w:rFonts w:ascii="Arial" w:hAnsi="Arial" w:cs="Arial"/>
          <w:b/>
          <w:bCs/>
          <w:sz w:val="22"/>
          <w:szCs w:val="22"/>
        </w:rPr>
        <w:t xml:space="preserve"> k této vyhlášce</w:t>
      </w:r>
      <w:r w:rsidRPr="0030358C">
        <w:rPr>
          <w:rFonts w:ascii="Arial" w:hAnsi="Arial" w:cs="Arial"/>
          <w:b/>
          <w:bCs/>
          <w:sz w:val="22"/>
          <w:szCs w:val="22"/>
        </w:rPr>
        <w:t>.</w:t>
      </w:r>
    </w:p>
    <w:bookmarkEnd w:id="38"/>
    <w:p w14:paraId="152A29A1" w14:textId="77777777" w:rsidR="00E9741C" w:rsidRPr="0030358C" w:rsidRDefault="00E9741C" w:rsidP="00D87BD4">
      <w:pPr>
        <w:pStyle w:val="16"/>
        <w:rPr>
          <w:rFonts w:ascii="Arial" w:hAnsi="Arial" w:cs="Arial"/>
          <w:b/>
          <w:bCs/>
          <w:sz w:val="22"/>
          <w:szCs w:val="22"/>
        </w:rPr>
      </w:pPr>
    </w:p>
    <w:p w14:paraId="0D8BB419" w14:textId="77777777" w:rsidR="008D0B35" w:rsidRPr="0030358C" w:rsidRDefault="00000000" w:rsidP="008D0B35">
      <w:pPr>
        <w:pStyle w:val="16"/>
        <w:jc w:val="center"/>
        <w:rPr>
          <w:rFonts w:ascii="Arial" w:hAnsi="Arial" w:cs="Arial"/>
          <w:b/>
          <w:bCs/>
          <w:sz w:val="22"/>
          <w:szCs w:val="22"/>
        </w:rPr>
      </w:pPr>
      <w:r w:rsidRPr="0030358C">
        <w:rPr>
          <w:rFonts w:ascii="Arial" w:hAnsi="Arial" w:cs="Arial"/>
          <w:b/>
          <w:bCs/>
          <w:sz w:val="22"/>
          <w:szCs w:val="22"/>
        </w:rPr>
        <w:t>ČÁST JEDENÁCTÁ</w:t>
      </w:r>
    </w:p>
    <w:p w14:paraId="4388ECD0" w14:textId="77777777" w:rsidR="008D0B35" w:rsidRPr="0030358C" w:rsidRDefault="00000000" w:rsidP="008D0B35">
      <w:pPr>
        <w:pStyle w:val="16"/>
        <w:jc w:val="center"/>
        <w:rPr>
          <w:rFonts w:ascii="Arial" w:hAnsi="Arial" w:cs="Arial"/>
          <w:b/>
          <w:bCs/>
          <w:sz w:val="22"/>
          <w:szCs w:val="22"/>
        </w:rPr>
      </w:pPr>
      <w:r w:rsidRPr="0030358C">
        <w:rPr>
          <w:rFonts w:ascii="Arial" w:hAnsi="Arial" w:cs="Arial"/>
          <w:b/>
          <w:bCs/>
          <w:sz w:val="22"/>
          <w:szCs w:val="22"/>
        </w:rPr>
        <w:t>MINIMÁLNÍ VZDÁLENOSTI</w:t>
      </w:r>
    </w:p>
    <w:p w14:paraId="76F1B735" w14:textId="77777777" w:rsidR="00E9741C" w:rsidRPr="0030358C" w:rsidRDefault="00000000" w:rsidP="00E9741C">
      <w:pPr>
        <w:pStyle w:val="25"/>
        <w:jc w:val="center"/>
        <w:rPr>
          <w:rFonts w:ascii="Arial" w:hAnsi="Arial" w:cs="Arial"/>
          <w:b/>
          <w:bCs/>
          <w:sz w:val="22"/>
          <w:szCs w:val="22"/>
        </w:rPr>
      </w:pPr>
      <w:r w:rsidRPr="0030358C">
        <w:rPr>
          <w:rFonts w:ascii="Arial" w:hAnsi="Arial" w:cs="Arial"/>
          <w:b/>
          <w:bCs/>
          <w:sz w:val="22"/>
          <w:szCs w:val="22"/>
        </w:rPr>
        <w:lastRenderedPageBreak/>
        <w:t>§ 27d</w:t>
      </w:r>
    </w:p>
    <w:p w14:paraId="320E6FAE" w14:textId="77777777" w:rsidR="00E9741C" w:rsidRPr="0030358C" w:rsidRDefault="00000000" w:rsidP="00E9741C">
      <w:pPr>
        <w:pStyle w:val="25"/>
        <w:jc w:val="center"/>
        <w:rPr>
          <w:rFonts w:ascii="Arial" w:hAnsi="Arial" w:cs="Arial"/>
          <w:b/>
          <w:bCs/>
          <w:sz w:val="22"/>
          <w:szCs w:val="22"/>
        </w:rPr>
      </w:pPr>
      <w:r w:rsidRPr="0030358C">
        <w:rPr>
          <w:rFonts w:ascii="Arial" w:hAnsi="Arial" w:cs="Arial"/>
          <w:b/>
          <w:bCs/>
          <w:sz w:val="22"/>
          <w:szCs w:val="22"/>
        </w:rPr>
        <w:t>Minimální vzdálenosti a způsob jejich použití</w:t>
      </w:r>
    </w:p>
    <w:p w14:paraId="6EDF30C3" w14:textId="77777777" w:rsidR="00E9741C" w:rsidRPr="0030358C" w:rsidRDefault="00000000" w:rsidP="00E9741C">
      <w:pPr>
        <w:pStyle w:val="25"/>
        <w:ind w:left="0" w:firstLine="0"/>
        <w:jc w:val="center"/>
        <w:rPr>
          <w:rFonts w:ascii="Arial" w:hAnsi="Arial" w:cs="Arial"/>
          <w:b/>
          <w:bCs/>
          <w:sz w:val="22"/>
          <w:szCs w:val="22"/>
        </w:rPr>
      </w:pPr>
      <w:r w:rsidRPr="0030358C">
        <w:rPr>
          <w:rFonts w:ascii="Arial" w:hAnsi="Arial" w:cs="Arial"/>
          <w:b/>
          <w:bCs/>
          <w:sz w:val="22"/>
          <w:szCs w:val="22"/>
        </w:rPr>
        <w:t>(K § 12a zákona)</w:t>
      </w:r>
    </w:p>
    <w:p w14:paraId="035E9EC8" w14:textId="77777777" w:rsidR="00E9741C" w:rsidRPr="0030358C" w:rsidRDefault="00E9741C" w:rsidP="00E9741C">
      <w:pPr>
        <w:pStyle w:val="25"/>
        <w:ind w:left="0" w:firstLine="0"/>
        <w:jc w:val="center"/>
        <w:rPr>
          <w:rFonts w:ascii="Arial" w:hAnsi="Arial" w:cs="Arial"/>
          <w:b/>
          <w:bCs/>
          <w:sz w:val="22"/>
          <w:szCs w:val="22"/>
        </w:rPr>
      </w:pPr>
    </w:p>
    <w:p w14:paraId="5FFE0E89" w14:textId="77777777" w:rsidR="00E9741C" w:rsidRPr="0030358C" w:rsidRDefault="00000000" w:rsidP="00E9741C">
      <w:pPr>
        <w:pStyle w:val="25"/>
        <w:numPr>
          <w:ilvl w:val="0"/>
          <w:numId w:val="54"/>
        </w:numPr>
        <w:rPr>
          <w:rFonts w:ascii="Arial" w:hAnsi="Arial" w:cs="Arial"/>
          <w:b/>
          <w:bCs/>
          <w:sz w:val="22"/>
          <w:szCs w:val="22"/>
        </w:rPr>
      </w:pPr>
      <w:bookmarkStart w:id="39" w:name="_Hlk184890084"/>
      <w:r w:rsidRPr="0030358C">
        <w:rPr>
          <w:rFonts w:ascii="Arial" w:hAnsi="Arial" w:cs="Arial"/>
          <w:b/>
          <w:bCs/>
          <w:sz w:val="22"/>
          <w:szCs w:val="22"/>
        </w:rPr>
        <w:t>Minimální vzdálenosti mezi stacionárním zdrojem uvedeným v příloze č. 2a zákona a stanovenými plochami vymezenými v územním plánu jsou uvedeny v části I přílohy č. 20</w:t>
      </w:r>
      <w:r w:rsidR="000F7FB2" w:rsidRPr="0030358C">
        <w:rPr>
          <w:rFonts w:ascii="Arial" w:hAnsi="Arial" w:cs="Arial"/>
          <w:b/>
          <w:bCs/>
          <w:sz w:val="22"/>
          <w:szCs w:val="22"/>
        </w:rPr>
        <w:t xml:space="preserve"> k této vyhlášce</w:t>
      </w:r>
      <w:r w:rsidRPr="0030358C">
        <w:rPr>
          <w:rFonts w:ascii="Arial" w:hAnsi="Arial" w:cs="Arial"/>
          <w:b/>
          <w:bCs/>
          <w:sz w:val="22"/>
          <w:szCs w:val="22"/>
        </w:rPr>
        <w:t>.</w:t>
      </w:r>
    </w:p>
    <w:p w14:paraId="30807A3B" w14:textId="77777777" w:rsidR="007F5645" w:rsidRPr="0030358C" w:rsidRDefault="00000000" w:rsidP="007F5645">
      <w:pPr>
        <w:pStyle w:val="Odstavecseseznamem"/>
        <w:numPr>
          <w:ilvl w:val="0"/>
          <w:numId w:val="54"/>
        </w:numPr>
        <w:rPr>
          <w:rFonts w:ascii="Arial" w:eastAsia="Times New Roman" w:hAnsi="Arial" w:cs="Arial"/>
          <w:b/>
          <w:bCs/>
        </w:rPr>
      </w:pPr>
      <w:r w:rsidRPr="0030358C">
        <w:rPr>
          <w:rFonts w:ascii="Arial" w:eastAsia="Times New Roman" w:hAnsi="Arial" w:cs="Arial"/>
          <w:b/>
          <w:bCs/>
        </w:rPr>
        <w:t>Plochy vymezené v územním plánu, u kterých se použijí minimální vzdálenosti podle odstavce 1, jsou stanoveny v části II přílohy č. 20 k této vyhlášce.</w:t>
      </w:r>
    </w:p>
    <w:p w14:paraId="4BDE08D1" w14:textId="77777777" w:rsidR="00E9741C" w:rsidRPr="0030358C" w:rsidRDefault="00000000" w:rsidP="00E9741C">
      <w:pPr>
        <w:pStyle w:val="25"/>
        <w:numPr>
          <w:ilvl w:val="0"/>
          <w:numId w:val="54"/>
        </w:numPr>
        <w:rPr>
          <w:rFonts w:ascii="Arial" w:hAnsi="Arial" w:cs="Arial"/>
          <w:b/>
          <w:bCs/>
          <w:sz w:val="22"/>
          <w:szCs w:val="22"/>
        </w:rPr>
      </w:pPr>
      <w:r w:rsidRPr="0030358C">
        <w:rPr>
          <w:rFonts w:ascii="Arial" w:hAnsi="Arial" w:cs="Arial"/>
          <w:b/>
          <w:bCs/>
          <w:sz w:val="22"/>
          <w:szCs w:val="22"/>
        </w:rPr>
        <w:t>Minimální vzdálenosti podle odstavce 1 se použijí na</w:t>
      </w:r>
    </w:p>
    <w:p w14:paraId="20051C89" w14:textId="77777777" w:rsidR="00E9741C" w:rsidRPr="0030358C" w:rsidRDefault="00000000" w:rsidP="00E9741C">
      <w:pPr>
        <w:pStyle w:val="25"/>
        <w:ind w:left="1020"/>
        <w:rPr>
          <w:rFonts w:ascii="Arial" w:hAnsi="Arial" w:cs="Arial"/>
          <w:b/>
          <w:bCs/>
          <w:sz w:val="22"/>
          <w:szCs w:val="22"/>
        </w:rPr>
      </w:pPr>
      <w:r w:rsidRPr="0030358C">
        <w:rPr>
          <w:rFonts w:ascii="Arial" w:hAnsi="Arial" w:cs="Arial"/>
          <w:b/>
          <w:bCs/>
          <w:sz w:val="22"/>
          <w:szCs w:val="22"/>
        </w:rPr>
        <w:t>a) vymezování zastavitelných ploch v územním plánu, které jsou plochou s rozdílným způsobem využití uvedenou v části II přílohy č. 20</w:t>
      </w:r>
      <w:r w:rsidR="000F7FB2" w:rsidRPr="0030358C">
        <w:rPr>
          <w:rFonts w:ascii="Arial" w:hAnsi="Arial" w:cs="Arial"/>
          <w:b/>
          <w:bCs/>
          <w:sz w:val="22"/>
          <w:szCs w:val="22"/>
        </w:rPr>
        <w:t xml:space="preserve"> k této vyhlášce</w:t>
      </w:r>
      <w:r w:rsidRPr="0030358C">
        <w:rPr>
          <w:rFonts w:ascii="Arial" w:hAnsi="Arial" w:cs="Arial"/>
          <w:b/>
          <w:bCs/>
          <w:sz w:val="22"/>
          <w:szCs w:val="22"/>
        </w:rPr>
        <w:t xml:space="preserve"> a </w:t>
      </w:r>
    </w:p>
    <w:p w14:paraId="7F2468BE" w14:textId="77777777" w:rsidR="00F67BE9" w:rsidRPr="0030358C" w:rsidRDefault="00000000" w:rsidP="00F67BE9">
      <w:pPr>
        <w:pStyle w:val="25"/>
        <w:ind w:left="1020"/>
        <w:rPr>
          <w:rFonts w:ascii="Arial" w:hAnsi="Arial" w:cs="Arial"/>
          <w:b/>
          <w:bCs/>
          <w:sz w:val="22"/>
          <w:szCs w:val="22"/>
        </w:rPr>
      </w:pPr>
      <w:r w:rsidRPr="0030358C">
        <w:rPr>
          <w:rFonts w:ascii="Arial" w:hAnsi="Arial" w:cs="Arial"/>
          <w:b/>
          <w:bCs/>
          <w:sz w:val="22"/>
          <w:szCs w:val="22"/>
        </w:rPr>
        <w:t xml:space="preserve">b) umisťování nových stacionárních zdrojů uvedených v části I přílohy č. 20 </w:t>
      </w:r>
      <w:bookmarkStart w:id="40" w:name="_Hlk181626914"/>
      <w:r w:rsidR="000F7FB2" w:rsidRPr="0030358C">
        <w:rPr>
          <w:rFonts w:ascii="Arial" w:hAnsi="Arial" w:cs="Arial"/>
          <w:b/>
          <w:bCs/>
          <w:sz w:val="22"/>
          <w:szCs w:val="22"/>
        </w:rPr>
        <w:t>k této vyhlášce</w:t>
      </w:r>
      <w:bookmarkEnd w:id="40"/>
      <w:r w:rsidR="000F7FB2" w:rsidRPr="0030358C">
        <w:rPr>
          <w:rFonts w:ascii="Arial" w:hAnsi="Arial" w:cs="Arial"/>
          <w:b/>
          <w:bCs/>
          <w:sz w:val="22"/>
          <w:szCs w:val="22"/>
        </w:rPr>
        <w:t xml:space="preserve"> </w:t>
      </w:r>
      <w:r w:rsidRPr="0030358C">
        <w:rPr>
          <w:rFonts w:ascii="Arial" w:hAnsi="Arial" w:cs="Arial"/>
          <w:b/>
          <w:bCs/>
          <w:sz w:val="22"/>
          <w:szCs w:val="22"/>
        </w:rPr>
        <w:t xml:space="preserve">do území. </w:t>
      </w:r>
    </w:p>
    <w:p w14:paraId="32D32AF9" w14:textId="77777777" w:rsidR="00F67BE9" w:rsidRPr="0030358C" w:rsidRDefault="00000000" w:rsidP="00F67BE9">
      <w:pPr>
        <w:pStyle w:val="25"/>
        <w:numPr>
          <w:ilvl w:val="0"/>
          <w:numId w:val="54"/>
        </w:numPr>
        <w:rPr>
          <w:rFonts w:ascii="Arial" w:hAnsi="Arial" w:cs="Arial"/>
          <w:b/>
          <w:bCs/>
          <w:sz w:val="22"/>
          <w:szCs w:val="22"/>
        </w:rPr>
      </w:pPr>
      <w:bookmarkStart w:id="41" w:name="_Hlk181808292"/>
      <w:r w:rsidRPr="0030358C">
        <w:rPr>
          <w:rFonts w:ascii="Arial" w:hAnsi="Arial" w:cs="Arial"/>
          <w:b/>
          <w:bCs/>
          <w:sz w:val="22"/>
          <w:szCs w:val="22"/>
        </w:rPr>
        <w:t>Pokud nov</w:t>
      </w:r>
      <w:r w:rsidR="00E3764C" w:rsidRPr="0030358C">
        <w:rPr>
          <w:rFonts w:ascii="Arial" w:hAnsi="Arial" w:cs="Arial"/>
          <w:b/>
          <w:bCs/>
          <w:sz w:val="22"/>
          <w:szCs w:val="22"/>
        </w:rPr>
        <w:t>ě pořizovaný</w:t>
      </w:r>
      <w:r w:rsidRPr="0030358C">
        <w:rPr>
          <w:rFonts w:ascii="Arial" w:hAnsi="Arial" w:cs="Arial"/>
          <w:b/>
          <w:bCs/>
          <w:sz w:val="22"/>
          <w:szCs w:val="22"/>
        </w:rPr>
        <w:t xml:space="preserve"> územní plán nahrazuje </w:t>
      </w:r>
      <w:r w:rsidR="00E3764C" w:rsidRPr="0030358C">
        <w:rPr>
          <w:rFonts w:ascii="Arial" w:hAnsi="Arial" w:cs="Arial"/>
          <w:b/>
          <w:bCs/>
          <w:sz w:val="22"/>
          <w:szCs w:val="22"/>
        </w:rPr>
        <w:t xml:space="preserve">platný </w:t>
      </w:r>
      <w:r w:rsidRPr="0030358C">
        <w:rPr>
          <w:rFonts w:ascii="Arial" w:hAnsi="Arial" w:cs="Arial"/>
          <w:b/>
          <w:bCs/>
          <w:sz w:val="22"/>
          <w:szCs w:val="22"/>
        </w:rPr>
        <w:t xml:space="preserve">územní plán, odchylně od odstavce 3 písm. b) se minimální vzdálenosti nepoužijí na plochy, které </w:t>
      </w:r>
      <w:r w:rsidR="00E3764C" w:rsidRPr="0030358C">
        <w:rPr>
          <w:rFonts w:ascii="Arial" w:hAnsi="Arial" w:cs="Arial"/>
          <w:b/>
          <w:bCs/>
          <w:sz w:val="22"/>
          <w:szCs w:val="22"/>
        </w:rPr>
        <w:t xml:space="preserve">již </w:t>
      </w:r>
      <w:r w:rsidRPr="0030358C">
        <w:rPr>
          <w:rFonts w:ascii="Arial" w:hAnsi="Arial" w:cs="Arial"/>
          <w:b/>
          <w:bCs/>
          <w:sz w:val="22"/>
          <w:szCs w:val="22"/>
        </w:rPr>
        <w:t>byly vymezeny v</w:t>
      </w:r>
      <w:r w:rsidR="00E3764C" w:rsidRPr="0030358C">
        <w:rPr>
          <w:rFonts w:ascii="Arial" w:hAnsi="Arial" w:cs="Arial"/>
          <w:b/>
          <w:bCs/>
          <w:sz w:val="22"/>
          <w:szCs w:val="22"/>
        </w:rPr>
        <w:t xml:space="preserve"> platném</w:t>
      </w:r>
      <w:r w:rsidRPr="0030358C">
        <w:rPr>
          <w:rFonts w:ascii="Arial" w:hAnsi="Arial" w:cs="Arial"/>
          <w:b/>
          <w:bCs/>
          <w:sz w:val="22"/>
          <w:szCs w:val="22"/>
        </w:rPr>
        <w:t xml:space="preserve"> územním plánu.</w:t>
      </w:r>
    </w:p>
    <w:p w14:paraId="6A24664D" w14:textId="77777777" w:rsidR="00E9741C" w:rsidRPr="0030358C" w:rsidRDefault="00000000" w:rsidP="00E9741C">
      <w:pPr>
        <w:pStyle w:val="25"/>
        <w:rPr>
          <w:rFonts w:ascii="Arial" w:hAnsi="Arial" w:cs="Arial"/>
          <w:b/>
          <w:bCs/>
          <w:sz w:val="22"/>
          <w:szCs w:val="22"/>
        </w:rPr>
      </w:pPr>
      <w:r w:rsidRPr="0030358C">
        <w:rPr>
          <w:rFonts w:ascii="Arial" w:hAnsi="Arial" w:cs="Arial"/>
          <w:b/>
          <w:bCs/>
          <w:sz w:val="22"/>
          <w:szCs w:val="22"/>
        </w:rPr>
        <w:t>(</w:t>
      </w:r>
      <w:r w:rsidR="00E3764C" w:rsidRPr="0030358C">
        <w:rPr>
          <w:rFonts w:ascii="Arial" w:hAnsi="Arial" w:cs="Arial"/>
          <w:b/>
          <w:bCs/>
          <w:sz w:val="22"/>
          <w:szCs w:val="22"/>
        </w:rPr>
        <w:t>5</w:t>
      </w:r>
      <w:r w:rsidRPr="0030358C">
        <w:rPr>
          <w:rFonts w:ascii="Arial" w:hAnsi="Arial" w:cs="Arial"/>
          <w:b/>
          <w:bCs/>
          <w:sz w:val="22"/>
          <w:szCs w:val="22"/>
        </w:rPr>
        <w:t xml:space="preserve">) Minimální vzdálenost se </w:t>
      </w:r>
      <w:r w:rsidR="00DF0C23" w:rsidRPr="0030358C">
        <w:rPr>
          <w:rFonts w:ascii="Arial" w:hAnsi="Arial" w:cs="Arial"/>
          <w:b/>
          <w:bCs/>
          <w:sz w:val="22"/>
          <w:szCs w:val="22"/>
        </w:rPr>
        <w:t xml:space="preserve">u stacionárního zdroje umístěného ve stavebním objektu </w:t>
      </w:r>
      <w:r w:rsidRPr="0030358C">
        <w:rPr>
          <w:rFonts w:ascii="Arial" w:hAnsi="Arial" w:cs="Arial"/>
          <w:b/>
          <w:bCs/>
          <w:sz w:val="22"/>
          <w:szCs w:val="22"/>
        </w:rPr>
        <w:t>určuje od hrany stavebního objektu, který má unikátní identifikátor v základní bázi geografických dat</w:t>
      </w:r>
      <w:r w:rsidR="00340873" w:rsidRPr="0030358C">
        <w:rPr>
          <w:rFonts w:ascii="Arial" w:hAnsi="Arial" w:cs="Arial"/>
          <w:b/>
          <w:bCs/>
          <w:sz w:val="22"/>
          <w:szCs w:val="22"/>
          <w:vertAlign w:val="superscript"/>
        </w:rPr>
        <w:t>10</w:t>
      </w:r>
      <w:r w:rsidRPr="0030358C">
        <w:rPr>
          <w:rFonts w:ascii="Arial" w:hAnsi="Arial" w:cs="Arial"/>
          <w:b/>
          <w:bCs/>
          <w:sz w:val="22"/>
          <w:szCs w:val="22"/>
          <w:vertAlign w:val="superscript"/>
        </w:rPr>
        <w:t>)</w:t>
      </w:r>
      <w:r w:rsidR="00DF0C23" w:rsidRPr="0030358C">
        <w:rPr>
          <w:rFonts w:ascii="Arial" w:hAnsi="Arial" w:cs="Arial"/>
          <w:b/>
          <w:bCs/>
          <w:sz w:val="22"/>
          <w:szCs w:val="22"/>
        </w:rPr>
        <w:t>,</w:t>
      </w:r>
      <w:r w:rsidRPr="0030358C">
        <w:rPr>
          <w:rFonts w:ascii="Arial" w:hAnsi="Arial" w:cs="Arial"/>
          <w:b/>
          <w:bCs/>
          <w:sz w:val="22"/>
          <w:szCs w:val="22"/>
        </w:rPr>
        <w:t xml:space="preserve"> nebo </w:t>
      </w:r>
      <w:r w:rsidR="00943AAE" w:rsidRPr="0030358C">
        <w:rPr>
          <w:rFonts w:ascii="Arial" w:hAnsi="Arial" w:cs="Arial"/>
          <w:b/>
          <w:bCs/>
          <w:sz w:val="22"/>
          <w:szCs w:val="22"/>
        </w:rPr>
        <w:t>od hrany</w:t>
      </w:r>
      <w:r w:rsidR="00DA2450" w:rsidRPr="0030358C">
        <w:rPr>
          <w:rFonts w:ascii="Arial" w:hAnsi="Arial" w:cs="Arial"/>
          <w:b/>
          <w:bCs/>
          <w:sz w:val="22"/>
          <w:szCs w:val="22"/>
        </w:rPr>
        <w:t xml:space="preserve"> stavební</w:t>
      </w:r>
      <w:r w:rsidR="00943AAE" w:rsidRPr="0030358C">
        <w:rPr>
          <w:rFonts w:ascii="Arial" w:hAnsi="Arial" w:cs="Arial"/>
          <w:b/>
          <w:bCs/>
          <w:sz w:val="22"/>
          <w:szCs w:val="22"/>
        </w:rPr>
        <w:t>ho</w:t>
      </w:r>
      <w:r w:rsidR="00DA2450" w:rsidRPr="0030358C">
        <w:rPr>
          <w:rFonts w:ascii="Arial" w:hAnsi="Arial" w:cs="Arial"/>
          <w:b/>
          <w:bCs/>
          <w:sz w:val="22"/>
          <w:szCs w:val="22"/>
        </w:rPr>
        <w:t xml:space="preserve"> </w:t>
      </w:r>
      <w:r w:rsidRPr="0030358C">
        <w:rPr>
          <w:rFonts w:ascii="Arial" w:hAnsi="Arial" w:cs="Arial"/>
          <w:b/>
          <w:bCs/>
          <w:sz w:val="22"/>
          <w:szCs w:val="22"/>
        </w:rPr>
        <w:t>objektu, který je nově umisťován jako součást záměru. V ostatních případech se minimální vzdálenost určuje od geometrického středu stacionárního zdroje.</w:t>
      </w:r>
    </w:p>
    <w:p w14:paraId="11757BA1" w14:textId="77777777" w:rsidR="00E9741C" w:rsidRPr="0030358C" w:rsidRDefault="00000000" w:rsidP="00E9741C">
      <w:pPr>
        <w:pStyle w:val="25"/>
        <w:rPr>
          <w:rFonts w:ascii="Arial" w:hAnsi="Arial" w:cs="Arial"/>
          <w:b/>
          <w:bCs/>
          <w:sz w:val="22"/>
          <w:szCs w:val="22"/>
        </w:rPr>
      </w:pPr>
      <w:r w:rsidRPr="0030358C">
        <w:rPr>
          <w:rFonts w:ascii="Arial" w:hAnsi="Arial" w:cs="Arial"/>
          <w:b/>
          <w:bCs/>
          <w:sz w:val="22"/>
          <w:szCs w:val="22"/>
        </w:rPr>
        <w:t>(</w:t>
      </w:r>
      <w:r w:rsidR="00E3764C" w:rsidRPr="0030358C">
        <w:rPr>
          <w:rFonts w:ascii="Arial" w:hAnsi="Arial" w:cs="Arial"/>
          <w:b/>
          <w:bCs/>
          <w:sz w:val="22"/>
          <w:szCs w:val="22"/>
        </w:rPr>
        <w:t>6</w:t>
      </w:r>
      <w:r w:rsidRPr="0030358C">
        <w:rPr>
          <w:rFonts w:ascii="Arial" w:hAnsi="Arial" w:cs="Arial"/>
          <w:b/>
          <w:bCs/>
          <w:sz w:val="22"/>
          <w:szCs w:val="22"/>
        </w:rPr>
        <w:t>)</w:t>
      </w:r>
      <w:r w:rsidRPr="0030358C">
        <w:rPr>
          <w:rFonts w:ascii="Arial" w:hAnsi="Arial" w:cs="Arial"/>
          <w:b/>
          <w:bCs/>
          <w:sz w:val="22"/>
          <w:szCs w:val="22"/>
        </w:rPr>
        <w:tab/>
        <w:t xml:space="preserve">Odchylně od odstavce </w:t>
      </w:r>
      <w:r w:rsidR="00E3764C" w:rsidRPr="0030358C">
        <w:rPr>
          <w:rFonts w:ascii="Arial" w:hAnsi="Arial" w:cs="Arial"/>
          <w:b/>
          <w:bCs/>
          <w:sz w:val="22"/>
          <w:szCs w:val="22"/>
        </w:rPr>
        <w:t>5</w:t>
      </w:r>
      <w:r w:rsidRPr="0030358C">
        <w:rPr>
          <w:rFonts w:ascii="Arial" w:hAnsi="Arial" w:cs="Arial"/>
          <w:b/>
          <w:bCs/>
          <w:sz w:val="22"/>
          <w:szCs w:val="22"/>
        </w:rPr>
        <w:t xml:space="preserve"> se v případě stacionárních zdrojů uvedených pod kódy 2.2</w:t>
      </w:r>
      <w:r w:rsidR="00DA2450" w:rsidRPr="0030358C">
        <w:rPr>
          <w:rFonts w:ascii="Arial" w:hAnsi="Arial" w:cs="Arial"/>
          <w:b/>
          <w:bCs/>
          <w:sz w:val="22"/>
          <w:szCs w:val="22"/>
        </w:rPr>
        <w:t>.</w:t>
      </w:r>
      <w:r w:rsidRPr="0030358C">
        <w:rPr>
          <w:rFonts w:ascii="Arial" w:hAnsi="Arial" w:cs="Arial"/>
          <w:b/>
          <w:bCs/>
          <w:sz w:val="22"/>
          <w:szCs w:val="22"/>
        </w:rPr>
        <w:t>, 2.7</w:t>
      </w:r>
      <w:r w:rsidR="00DA2450" w:rsidRPr="0030358C">
        <w:rPr>
          <w:rFonts w:ascii="Arial" w:hAnsi="Arial" w:cs="Arial"/>
          <w:b/>
          <w:bCs/>
          <w:sz w:val="22"/>
          <w:szCs w:val="22"/>
        </w:rPr>
        <w:t>.</w:t>
      </w:r>
      <w:r w:rsidRPr="0030358C">
        <w:rPr>
          <w:rFonts w:ascii="Arial" w:hAnsi="Arial" w:cs="Arial"/>
          <w:b/>
          <w:bCs/>
          <w:sz w:val="22"/>
          <w:szCs w:val="22"/>
        </w:rPr>
        <w:t xml:space="preserve"> a 8</w:t>
      </w:r>
      <w:r w:rsidR="00DA2450" w:rsidRPr="0030358C">
        <w:rPr>
          <w:rFonts w:ascii="Arial" w:hAnsi="Arial" w:cs="Arial"/>
          <w:b/>
          <w:bCs/>
          <w:sz w:val="22"/>
          <w:szCs w:val="22"/>
        </w:rPr>
        <w:t>.</w:t>
      </w:r>
      <w:r w:rsidRPr="0030358C">
        <w:rPr>
          <w:rFonts w:ascii="Arial" w:hAnsi="Arial" w:cs="Arial"/>
          <w:b/>
          <w:bCs/>
          <w:sz w:val="22"/>
          <w:szCs w:val="22"/>
        </w:rPr>
        <w:t xml:space="preserve"> v příloze č. 2</w:t>
      </w:r>
      <w:r w:rsidR="00FA77A7" w:rsidRPr="0030358C">
        <w:rPr>
          <w:rFonts w:ascii="Arial" w:hAnsi="Arial" w:cs="Arial"/>
          <w:b/>
          <w:bCs/>
          <w:sz w:val="22"/>
          <w:szCs w:val="22"/>
        </w:rPr>
        <w:t>a</w:t>
      </w:r>
      <w:r w:rsidRPr="0030358C">
        <w:rPr>
          <w:rFonts w:ascii="Arial" w:hAnsi="Arial" w:cs="Arial"/>
          <w:b/>
          <w:bCs/>
          <w:sz w:val="22"/>
          <w:szCs w:val="22"/>
        </w:rPr>
        <w:t xml:space="preserve"> zákona minimální vzdálenost vždy určuj</w:t>
      </w:r>
      <w:r w:rsidR="00DA2450" w:rsidRPr="0030358C">
        <w:rPr>
          <w:rFonts w:ascii="Arial" w:hAnsi="Arial" w:cs="Arial"/>
          <w:b/>
          <w:bCs/>
          <w:sz w:val="22"/>
          <w:szCs w:val="22"/>
        </w:rPr>
        <w:t>e</w:t>
      </w:r>
      <w:r w:rsidRPr="0030358C">
        <w:rPr>
          <w:rFonts w:ascii="Arial" w:hAnsi="Arial" w:cs="Arial"/>
          <w:b/>
          <w:bCs/>
          <w:sz w:val="22"/>
          <w:szCs w:val="22"/>
        </w:rPr>
        <w:t xml:space="preserve"> od hranice provozovny tak, jak je zakreslená v základní bázi geografických dat nebo parcelních pozemků, na kterých jsou nebo budou stacionární zdroje umístěny v případě, že hranice provozovny nejsou zaneseny v základní bázi geografických dat.</w:t>
      </w:r>
      <w:r w:rsidRPr="0030358C">
        <w:rPr>
          <w:rFonts w:ascii="Arial" w:hAnsi="Arial" w:cs="Arial"/>
          <w:b/>
          <w:bCs/>
          <w:sz w:val="22"/>
          <w:szCs w:val="22"/>
        </w:rPr>
        <w:tab/>
      </w:r>
    </w:p>
    <w:p w14:paraId="6314994A" w14:textId="77777777" w:rsidR="00E9741C" w:rsidRPr="0030358C" w:rsidRDefault="00000000" w:rsidP="00E9741C">
      <w:pPr>
        <w:pStyle w:val="25"/>
        <w:rPr>
          <w:rFonts w:ascii="Arial" w:hAnsi="Arial" w:cs="Arial"/>
          <w:b/>
          <w:bCs/>
          <w:sz w:val="22"/>
          <w:szCs w:val="22"/>
        </w:rPr>
      </w:pPr>
      <w:r w:rsidRPr="0030358C">
        <w:rPr>
          <w:rFonts w:ascii="Arial" w:hAnsi="Arial" w:cs="Arial"/>
          <w:b/>
          <w:bCs/>
          <w:sz w:val="22"/>
          <w:szCs w:val="22"/>
        </w:rPr>
        <w:t>(</w:t>
      </w:r>
      <w:r w:rsidR="00E3764C" w:rsidRPr="0030358C">
        <w:rPr>
          <w:rFonts w:ascii="Arial" w:hAnsi="Arial" w:cs="Arial"/>
          <w:b/>
          <w:bCs/>
          <w:sz w:val="22"/>
          <w:szCs w:val="22"/>
        </w:rPr>
        <w:t>7</w:t>
      </w:r>
      <w:r w:rsidRPr="0030358C">
        <w:rPr>
          <w:rFonts w:ascii="Arial" w:hAnsi="Arial" w:cs="Arial"/>
          <w:b/>
          <w:bCs/>
          <w:sz w:val="22"/>
          <w:szCs w:val="22"/>
        </w:rPr>
        <w:t>)</w:t>
      </w:r>
      <w:r w:rsidRPr="0030358C">
        <w:rPr>
          <w:rFonts w:ascii="Arial" w:hAnsi="Arial" w:cs="Arial"/>
          <w:b/>
          <w:bCs/>
          <w:sz w:val="22"/>
          <w:szCs w:val="22"/>
        </w:rPr>
        <w:tab/>
        <w:t>Odchylně od odstavce</w:t>
      </w:r>
      <w:r w:rsidR="00E3764C" w:rsidRPr="0030358C">
        <w:rPr>
          <w:rFonts w:ascii="Arial" w:hAnsi="Arial" w:cs="Arial"/>
          <w:b/>
          <w:bCs/>
          <w:sz w:val="22"/>
          <w:szCs w:val="22"/>
        </w:rPr>
        <w:t xml:space="preserve"> 5</w:t>
      </w:r>
      <w:r w:rsidRPr="0030358C">
        <w:rPr>
          <w:rFonts w:ascii="Arial" w:hAnsi="Arial" w:cs="Arial"/>
          <w:b/>
          <w:bCs/>
          <w:sz w:val="22"/>
          <w:szCs w:val="22"/>
        </w:rPr>
        <w:t xml:space="preserve"> se v případě stacionárních zdrojů uvedených pod kód</w:t>
      </w:r>
      <w:r w:rsidR="00DA2450" w:rsidRPr="0030358C">
        <w:rPr>
          <w:rFonts w:ascii="Arial" w:hAnsi="Arial" w:cs="Arial"/>
          <w:b/>
          <w:bCs/>
          <w:sz w:val="22"/>
          <w:szCs w:val="22"/>
        </w:rPr>
        <w:t>y</w:t>
      </w:r>
      <w:r w:rsidRPr="0030358C">
        <w:rPr>
          <w:rFonts w:ascii="Arial" w:hAnsi="Arial" w:cs="Arial"/>
          <w:b/>
          <w:bCs/>
          <w:sz w:val="22"/>
          <w:szCs w:val="22"/>
        </w:rPr>
        <w:t xml:space="preserve"> 2.3. a 5.11</w:t>
      </w:r>
      <w:r w:rsidR="00DA2450" w:rsidRPr="0030358C">
        <w:rPr>
          <w:rFonts w:ascii="Arial" w:hAnsi="Arial" w:cs="Arial"/>
          <w:b/>
          <w:bCs/>
          <w:sz w:val="22"/>
          <w:szCs w:val="22"/>
        </w:rPr>
        <w:t>.</w:t>
      </w:r>
      <w:r w:rsidRPr="0030358C">
        <w:rPr>
          <w:rFonts w:ascii="Arial" w:hAnsi="Arial" w:cs="Arial"/>
          <w:b/>
          <w:bCs/>
          <w:sz w:val="22"/>
          <w:szCs w:val="22"/>
        </w:rPr>
        <w:t xml:space="preserve"> přílohy č. 2</w:t>
      </w:r>
      <w:r w:rsidR="00FA77A7" w:rsidRPr="0030358C">
        <w:rPr>
          <w:rFonts w:ascii="Arial" w:hAnsi="Arial" w:cs="Arial"/>
          <w:b/>
          <w:bCs/>
          <w:sz w:val="22"/>
          <w:szCs w:val="22"/>
        </w:rPr>
        <w:t>a</w:t>
      </w:r>
      <w:r w:rsidRPr="0030358C">
        <w:rPr>
          <w:rFonts w:ascii="Arial" w:hAnsi="Arial" w:cs="Arial"/>
          <w:b/>
          <w:bCs/>
          <w:sz w:val="22"/>
          <w:szCs w:val="22"/>
        </w:rPr>
        <w:t xml:space="preserve"> zákona minimální vzdálenost vždy určuje od geometrického středu stacionárního zdroje. </w:t>
      </w:r>
    </w:p>
    <w:p w14:paraId="2849A8DD" w14:textId="77777777" w:rsidR="00E9741C" w:rsidRPr="0030358C" w:rsidRDefault="00000000" w:rsidP="00DF0C23">
      <w:pPr>
        <w:pStyle w:val="25"/>
        <w:rPr>
          <w:rFonts w:ascii="Arial" w:hAnsi="Arial" w:cs="Arial"/>
          <w:b/>
          <w:bCs/>
          <w:sz w:val="22"/>
          <w:szCs w:val="22"/>
        </w:rPr>
      </w:pPr>
      <w:r w:rsidRPr="0030358C">
        <w:rPr>
          <w:rFonts w:ascii="Arial" w:hAnsi="Arial" w:cs="Arial"/>
          <w:b/>
          <w:bCs/>
          <w:sz w:val="22"/>
          <w:szCs w:val="22"/>
        </w:rPr>
        <w:t>(</w:t>
      </w:r>
      <w:r w:rsidR="00557F16" w:rsidRPr="0030358C">
        <w:rPr>
          <w:rFonts w:ascii="Arial" w:hAnsi="Arial" w:cs="Arial"/>
          <w:b/>
          <w:bCs/>
          <w:sz w:val="22"/>
          <w:szCs w:val="22"/>
        </w:rPr>
        <w:t>8</w:t>
      </w:r>
      <w:r w:rsidRPr="0030358C">
        <w:rPr>
          <w:rFonts w:ascii="Arial" w:hAnsi="Arial" w:cs="Arial"/>
          <w:b/>
          <w:bCs/>
          <w:sz w:val="22"/>
          <w:szCs w:val="22"/>
        </w:rPr>
        <w:t>)</w:t>
      </w:r>
      <w:r w:rsidRPr="0030358C">
        <w:rPr>
          <w:rFonts w:ascii="Arial" w:hAnsi="Arial" w:cs="Arial"/>
          <w:b/>
          <w:bCs/>
          <w:sz w:val="22"/>
          <w:szCs w:val="22"/>
        </w:rPr>
        <w:tab/>
        <w:t>Minimální vzdálenost se určuje vůči hranici plochy, a to v místě nejkratší spojnice hranice plochy a hrany stavebního objektu, hranice provozovny, případně parcelních území, na kterých budou stacionární zdroje umístěny</w:t>
      </w:r>
      <w:r w:rsidR="00B85146" w:rsidRPr="0030358C">
        <w:rPr>
          <w:rFonts w:ascii="Arial" w:hAnsi="Arial" w:cs="Arial"/>
          <w:b/>
          <w:bCs/>
          <w:sz w:val="22"/>
          <w:szCs w:val="22"/>
        </w:rPr>
        <w:t>,</w:t>
      </w:r>
      <w:r w:rsidRPr="0030358C">
        <w:rPr>
          <w:rFonts w:ascii="Arial" w:hAnsi="Arial" w:cs="Arial"/>
          <w:b/>
          <w:bCs/>
          <w:sz w:val="22"/>
          <w:szCs w:val="22"/>
        </w:rPr>
        <w:t xml:space="preserve"> nebo geometrického středu zdroje podle odstavc</w:t>
      </w:r>
      <w:r w:rsidR="00DA2450" w:rsidRPr="0030358C">
        <w:rPr>
          <w:rFonts w:ascii="Arial" w:hAnsi="Arial" w:cs="Arial"/>
          <w:b/>
          <w:bCs/>
          <w:sz w:val="22"/>
          <w:szCs w:val="22"/>
        </w:rPr>
        <w:t>ů</w:t>
      </w:r>
      <w:r w:rsidRPr="0030358C">
        <w:rPr>
          <w:rFonts w:ascii="Arial" w:hAnsi="Arial" w:cs="Arial"/>
          <w:b/>
          <w:bCs/>
          <w:sz w:val="22"/>
          <w:szCs w:val="22"/>
        </w:rPr>
        <w:t xml:space="preserve"> </w:t>
      </w:r>
      <w:r w:rsidR="00E3764C" w:rsidRPr="0030358C">
        <w:rPr>
          <w:rFonts w:ascii="Arial" w:hAnsi="Arial" w:cs="Arial"/>
          <w:b/>
          <w:bCs/>
          <w:sz w:val="22"/>
          <w:szCs w:val="22"/>
        </w:rPr>
        <w:t>5</w:t>
      </w:r>
      <w:r w:rsidRPr="0030358C">
        <w:rPr>
          <w:rFonts w:ascii="Arial" w:hAnsi="Arial" w:cs="Arial"/>
          <w:b/>
          <w:bCs/>
          <w:sz w:val="22"/>
          <w:szCs w:val="22"/>
        </w:rPr>
        <w:t xml:space="preserve"> až </w:t>
      </w:r>
      <w:r w:rsidR="00E3764C" w:rsidRPr="0030358C">
        <w:rPr>
          <w:rFonts w:ascii="Arial" w:hAnsi="Arial" w:cs="Arial"/>
          <w:b/>
          <w:bCs/>
          <w:sz w:val="22"/>
          <w:szCs w:val="22"/>
        </w:rPr>
        <w:t>7</w:t>
      </w:r>
      <w:r w:rsidRPr="0030358C">
        <w:rPr>
          <w:rFonts w:ascii="Arial" w:hAnsi="Arial" w:cs="Arial"/>
          <w:b/>
          <w:bCs/>
          <w:sz w:val="22"/>
          <w:szCs w:val="22"/>
        </w:rPr>
        <w:t>.</w:t>
      </w:r>
      <w:r w:rsidRPr="0030358C">
        <w:rPr>
          <w:rFonts w:ascii="Arial" w:hAnsi="Arial" w:cs="Arial"/>
          <w:b/>
          <w:bCs/>
          <w:sz w:val="22"/>
          <w:szCs w:val="22"/>
        </w:rPr>
        <w:tab/>
      </w:r>
    </w:p>
    <w:p w14:paraId="2CDFFF3A" w14:textId="77777777" w:rsidR="00F67BE9" w:rsidRPr="0030358C" w:rsidRDefault="00000000" w:rsidP="00F67BE9">
      <w:pPr>
        <w:pStyle w:val="25"/>
        <w:rPr>
          <w:rFonts w:ascii="Arial" w:hAnsi="Arial" w:cs="Arial"/>
          <w:b/>
          <w:bCs/>
          <w:sz w:val="22"/>
          <w:szCs w:val="22"/>
        </w:rPr>
      </w:pPr>
      <w:r w:rsidRPr="0030358C">
        <w:rPr>
          <w:rFonts w:ascii="Arial" w:hAnsi="Arial" w:cs="Arial"/>
          <w:b/>
          <w:bCs/>
          <w:sz w:val="22"/>
          <w:szCs w:val="22"/>
        </w:rPr>
        <w:t>(</w:t>
      </w:r>
      <w:r w:rsidR="00557F16" w:rsidRPr="0030358C">
        <w:rPr>
          <w:rFonts w:ascii="Arial" w:hAnsi="Arial" w:cs="Arial"/>
          <w:b/>
          <w:bCs/>
          <w:sz w:val="22"/>
          <w:szCs w:val="22"/>
        </w:rPr>
        <w:t>9</w:t>
      </w:r>
      <w:r w:rsidRPr="0030358C">
        <w:rPr>
          <w:rFonts w:ascii="Arial" w:hAnsi="Arial" w:cs="Arial"/>
          <w:b/>
          <w:bCs/>
          <w:sz w:val="22"/>
          <w:szCs w:val="22"/>
        </w:rPr>
        <w:t>)</w:t>
      </w:r>
      <w:r w:rsidRPr="0030358C">
        <w:rPr>
          <w:rFonts w:ascii="Arial" w:hAnsi="Arial" w:cs="Arial"/>
          <w:b/>
          <w:bCs/>
          <w:sz w:val="22"/>
          <w:szCs w:val="22"/>
        </w:rPr>
        <w:tab/>
        <w:t xml:space="preserve">V případě, že je pro stacionární zdroj aplikována výjimka podle § 12a odst. 1 písm. b) </w:t>
      </w:r>
      <w:r w:rsidR="00DA52C7" w:rsidRPr="0030358C">
        <w:rPr>
          <w:rFonts w:ascii="Arial" w:hAnsi="Arial" w:cs="Arial"/>
          <w:b/>
          <w:bCs/>
          <w:sz w:val="22"/>
          <w:szCs w:val="22"/>
        </w:rPr>
        <w:t xml:space="preserve">nebo </w:t>
      </w:r>
      <w:r w:rsidRPr="0030358C">
        <w:rPr>
          <w:rFonts w:ascii="Arial" w:hAnsi="Arial" w:cs="Arial"/>
          <w:b/>
          <w:bCs/>
          <w:sz w:val="22"/>
          <w:szCs w:val="22"/>
        </w:rPr>
        <w:t xml:space="preserve">c) nebo </w:t>
      </w:r>
      <w:r w:rsidR="00DA52C7" w:rsidRPr="0030358C">
        <w:rPr>
          <w:rFonts w:ascii="Arial" w:hAnsi="Arial" w:cs="Arial"/>
          <w:b/>
          <w:bCs/>
          <w:sz w:val="22"/>
          <w:szCs w:val="22"/>
        </w:rPr>
        <w:t xml:space="preserve">podle § 12a </w:t>
      </w:r>
      <w:r w:rsidRPr="0030358C">
        <w:rPr>
          <w:rFonts w:ascii="Arial" w:hAnsi="Arial" w:cs="Arial"/>
          <w:b/>
          <w:bCs/>
          <w:sz w:val="22"/>
          <w:szCs w:val="22"/>
        </w:rPr>
        <w:t xml:space="preserve">odst. 4 zákona, hodnoty minimálních vzdáleností </w:t>
      </w:r>
      <w:r w:rsidR="00B85146" w:rsidRPr="0030358C">
        <w:rPr>
          <w:rFonts w:ascii="Arial" w:hAnsi="Arial" w:cs="Arial"/>
          <w:b/>
          <w:bCs/>
          <w:sz w:val="22"/>
          <w:szCs w:val="22"/>
        </w:rPr>
        <w:t xml:space="preserve">se </w:t>
      </w:r>
      <w:r w:rsidRPr="0030358C">
        <w:rPr>
          <w:rFonts w:ascii="Arial" w:hAnsi="Arial" w:cs="Arial"/>
          <w:b/>
          <w:bCs/>
          <w:sz w:val="22"/>
          <w:szCs w:val="22"/>
        </w:rPr>
        <w:t xml:space="preserve">při vymezování ploch v územních plánech </w:t>
      </w:r>
      <w:r w:rsidR="00B85146" w:rsidRPr="0030358C">
        <w:rPr>
          <w:rFonts w:ascii="Arial" w:hAnsi="Arial" w:cs="Arial"/>
          <w:b/>
          <w:bCs/>
          <w:sz w:val="22"/>
          <w:szCs w:val="22"/>
        </w:rPr>
        <w:t xml:space="preserve">podle odstavce 2 </w:t>
      </w:r>
      <w:r w:rsidRPr="0030358C">
        <w:rPr>
          <w:rFonts w:ascii="Arial" w:hAnsi="Arial" w:cs="Arial"/>
          <w:b/>
          <w:bCs/>
          <w:sz w:val="22"/>
          <w:szCs w:val="22"/>
        </w:rPr>
        <w:t>neuplatní.</w:t>
      </w:r>
    </w:p>
    <w:bookmarkEnd w:id="39"/>
    <w:bookmarkEnd w:id="41"/>
    <w:p w14:paraId="284F1EDA" w14:textId="77777777" w:rsidR="00A77B3E" w:rsidRPr="0030358C" w:rsidRDefault="00A77B3E">
      <w:pPr>
        <w:pStyle w:val="16"/>
        <w:rPr>
          <w:rFonts w:ascii="Arial" w:hAnsi="Arial" w:cs="Arial"/>
          <w:sz w:val="22"/>
          <w:szCs w:val="22"/>
        </w:rPr>
      </w:pPr>
    </w:p>
    <w:p w14:paraId="7E5F4F4F" w14:textId="77777777" w:rsidR="00A77B3E" w:rsidRPr="0030358C" w:rsidRDefault="00000000">
      <w:pPr>
        <w:pStyle w:val="7"/>
        <w:rPr>
          <w:rFonts w:ascii="Arial" w:hAnsi="Arial" w:cs="Arial"/>
          <w:sz w:val="22"/>
          <w:szCs w:val="22"/>
        </w:rPr>
      </w:pPr>
      <w:r w:rsidRPr="0030358C">
        <w:rPr>
          <w:rFonts w:ascii="Arial" w:hAnsi="Arial" w:cs="Arial"/>
          <w:sz w:val="22"/>
          <w:szCs w:val="22"/>
        </w:rPr>
        <w:t xml:space="preserve">ČÁST </w:t>
      </w:r>
      <w:r w:rsidRPr="0030358C">
        <w:rPr>
          <w:rFonts w:ascii="Arial" w:hAnsi="Arial" w:cs="Arial"/>
          <w:strike/>
          <w:sz w:val="22"/>
          <w:szCs w:val="22"/>
        </w:rPr>
        <w:t>JEDENÁCTÁ</w:t>
      </w:r>
      <w:r w:rsidR="003133F6" w:rsidRPr="0030358C">
        <w:rPr>
          <w:rFonts w:ascii="Arial" w:hAnsi="Arial" w:cs="Arial"/>
          <w:strike/>
          <w:sz w:val="22"/>
          <w:szCs w:val="22"/>
        </w:rPr>
        <w:t xml:space="preserve"> </w:t>
      </w:r>
      <w:r w:rsidR="003133F6" w:rsidRPr="0030358C">
        <w:rPr>
          <w:rFonts w:ascii="Arial" w:hAnsi="Arial" w:cs="Arial"/>
          <w:sz w:val="22"/>
          <w:szCs w:val="22"/>
          <w:highlight w:val="yellow"/>
        </w:rPr>
        <w:t>DVANÁCTÁ</w:t>
      </w:r>
    </w:p>
    <w:p w14:paraId="297279CB" w14:textId="77777777" w:rsidR="00A77B3E" w:rsidRPr="0030358C" w:rsidRDefault="00000000">
      <w:pPr>
        <w:pStyle w:val="8"/>
        <w:rPr>
          <w:rFonts w:ascii="Arial" w:hAnsi="Arial" w:cs="Arial"/>
          <w:sz w:val="22"/>
          <w:szCs w:val="22"/>
        </w:rPr>
      </w:pPr>
      <w:r w:rsidRPr="0030358C">
        <w:rPr>
          <w:rFonts w:ascii="Arial" w:hAnsi="Arial" w:cs="Arial"/>
          <w:sz w:val="22"/>
          <w:szCs w:val="22"/>
        </w:rPr>
        <w:t>USTANOVENÍ PŘECHODNÁ A ZÁVĚREČNÁ</w:t>
      </w:r>
    </w:p>
    <w:p w14:paraId="27B73066" w14:textId="77777777" w:rsidR="00A77B3E" w:rsidRPr="0030358C" w:rsidRDefault="00000000">
      <w:pPr>
        <w:pStyle w:val="32"/>
        <w:rPr>
          <w:rFonts w:ascii="Arial" w:hAnsi="Arial" w:cs="Arial"/>
          <w:sz w:val="22"/>
          <w:szCs w:val="22"/>
        </w:rPr>
      </w:pPr>
      <w:r w:rsidRPr="0030358C">
        <w:rPr>
          <w:rFonts w:ascii="Arial" w:hAnsi="Arial" w:cs="Arial"/>
          <w:sz w:val="22"/>
          <w:szCs w:val="22"/>
        </w:rPr>
        <w:t>Přechodná ustanovení</w:t>
      </w:r>
    </w:p>
    <w:p w14:paraId="39C86FC1" w14:textId="77777777" w:rsidR="00A77B3E" w:rsidRPr="0030358C" w:rsidRDefault="00000000">
      <w:pPr>
        <w:pStyle w:val="33"/>
        <w:rPr>
          <w:rFonts w:ascii="Arial" w:hAnsi="Arial" w:cs="Arial"/>
          <w:sz w:val="22"/>
          <w:szCs w:val="22"/>
        </w:rPr>
      </w:pPr>
      <w:r w:rsidRPr="0030358C">
        <w:rPr>
          <w:rFonts w:ascii="Arial" w:hAnsi="Arial" w:cs="Arial"/>
          <w:sz w:val="22"/>
          <w:szCs w:val="22"/>
        </w:rPr>
        <w:lastRenderedPageBreak/>
        <w:t>§ 28</w:t>
      </w:r>
    </w:p>
    <w:p w14:paraId="59740984" w14:textId="77777777" w:rsidR="00A77B3E" w:rsidRPr="0030358C" w:rsidRDefault="00000000">
      <w:pPr>
        <w:pStyle w:val="34"/>
        <w:rPr>
          <w:rFonts w:ascii="Arial" w:hAnsi="Arial" w:cs="Arial"/>
          <w:sz w:val="22"/>
          <w:szCs w:val="22"/>
        </w:rPr>
      </w:pPr>
      <w:r w:rsidRPr="0030358C">
        <w:rPr>
          <w:rFonts w:ascii="Arial" w:hAnsi="Arial" w:cs="Arial"/>
          <w:sz w:val="22"/>
          <w:szCs w:val="22"/>
        </w:rPr>
        <w:t xml:space="preserve">(1)    U stacionárních zdrojů, u nichž na základě </w:t>
      </w:r>
      <w:hyperlink w:history="1">
        <w:r w:rsidR="00A77B3E" w:rsidRPr="0030358C">
          <w:rPr>
            <w:rFonts w:ascii="Arial" w:hAnsi="Arial" w:cs="Arial"/>
            <w:sz w:val="22"/>
            <w:szCs w:val="22"/>
          </w:rPr>
          <w:t>§ 3</w:t>
        </w:r>
      </w:hyperlink>
      <w:r w:rsidRPr="0030358C">
        <w:rPr>
          <w:rFonts w:ascii="Arial" w:hAnsi="Arial" w:cs="Arial"/>
          <w:sz w:val="22"/>
          <w:szCs w:val="22"/>
        </w:rPr>
        <w:t xml:space="preserve"> nově vzniká nebo se zvyšuje četnost jednorázového měření emisí na měření jedenkrát ročně, se první měření provede nejpozději do 31. prosince 2013.</w:t>
      </w:r>
    </w:p>
    <w:p w14:paraId="539DF4F4" w14:textId="77777777" w:rsidR="00A77B3E" w:rsidRPr="0030358C" w:rsidRDefault="00000000">
      <w:pPr>
        <w:pStyle w:val="35"/>
        <w:rPr>
          <w:rFonts w:ascii="Arial" w:hAnsi="Arial" w:cs="Arial"/>
          <w:sz w:val="22"/>
          <w:szCs w:val="22"/>
        </w:rPr>
      </w:pPr>
      <w:r w:rsidRPr="0030358C">
        <w:rPr>
          <w:rFonts w:ascii="Arial" w:hAnsi="Arial" w:cs="Arial"/>
          <w:sz w:val="22"/>
          <w:szCs w:val="22"/>
        </w:rPr>
        <w:t>(2)    U stacionárních zdrojů, u nichž bylo v roce 2012 provedeno jednorázové měření emisí podle dosavadní právní úpravy, se toto měření započítává do četnosti měření podle požadavků stanovených v této vyhlášce.</w:t>
      </w:r>
    </w:p>
    <w:p w14:paraId="6DCB12F9" w14:textId="77777777" w:rsidR="00A77B3E" w:rsidRPr="0030358C" w:rsidRDefault="00000000">
      <w:pPr>
        <w:pStyle w:val="35"/>
        <w:rPr>
          <w:rFonts w:ascii="Arial" w:hAnsi="Arial" w:cs="Arial"/>
          <w:sz w:val="22"/>
          <w:szCs w:val="22"/>
        </w:rPr>
      </w:pPr>
      <w:r w:rsidRPr="0030358C">
        <w:rPr>
          <w:rFonts w:ascii="Arial" w:hAnsi="Arial" w:cs="Arial"/>
          <w:sz w:val="22"/>
          <w:szCs w:val="22"/>
        </w:rPr>
        <w:t xml:space="preserve">(3)    U metod a postupů pro měření emisí uvedených pod body 11. a 12. v </w:t>
      </w:r>
      <w:hyperlink w:history="1">
        <w:r w:rsidR="00A77B3E" w:rsidRPr="0030358C">
          <w:rPr>
            <w:rFonts w:ascii="Arial" w:hAnsi="Arial" w:cs="Arial"/>
            <w:sz w:val="22"/>
            <w:szCs w:val="22"/>
          </w:rPr>
          <w:t>části II přílohy č. 1</w:t>
        </w:r>
      </w:hyperlink>
      <w:r w:rsidRPr="0030358C">
        <w:rPr>
          <w:rFonts w:ascii="Arial" w:hAnsi="Arial" w:cs="Arial"/>
          <w:sz w:val="22"/>
          <w:szCs w:val="22"/>
        </w:rPr>
        <w:t xml:space="preserve"> je akreditace vyžadována od 1. září 2013.</w:t>
      </w:r>
    </w:p>
    <w:p w14:paraId="22A3CE99" w14:textId="77777777" w:rsidR="00A77B3E" w:rsidRPr="0030358C" w:rsidRDefault="00000000">
      <w:pPr>
        <w:pStyle w:val="35"/>
        <w:rPr>
          <w:rFonts w:ascii="Arial" w:hAnsi="Arial" w:cs="Arial"/>
          <w:sz w:val="22"/>
          <w:szCs w:val="22"/>
        </w:rPr>
      </w:pPr>
      <w:r w:rsidRPr="0030358C">
        <w:rPr>
          <w:rFonts w:ascii="Arial" w:hAnsi="Arial" w:cs="Arial"/>
          <w:sz w:val="22"/>
          <w:szCs w:val="22"/>
        </w:rPr>
        <w:t xml:space="preserve">(4)    Údaje souhrnné provozní evidence podle </w:t>
      </w:r>
      <w:hyperlink w:history="1">
        <w:r w:rsidR="00A77B3E" w:rsidRPr="0030358C">
          <w:rPr>
            <w:rFonts w:ascii="Arial" w:hAnsi="Arial" w:cs="Arial"/>
            <w:sz w:val="22"/>
            <w:szCs w:val="22"/>
          </w:rPr>
          <w:t>přílohy č. 11</w:t>
        </w:r>
      </w:hyperlink>
      <w:r w:rsidRPr="0030358C">
        <w:rPr>
          <w:rFonts w:ascii="Arial" w:hAnsi="Arial" w:cs="Arial"/>
          <w:sz w:val="22"/>
          <w:szCs w:val="22"/>
        </w:rPr>
        <w:t xml:space="preserve"> se ohlašují poprvé za rok 2013. Údaje souhrnné provozní evidence za rok 2012 se ohlašují podle dosavadní právní úpravy, a to do 31. března 2013.</w:t>
      </w:r>
    </w:p>
    <w:p w14:paraId="01398C0B" w14:textId="77777777" w:rsidR="00A77B3E" w:rsidRPr="0030358C" w:rsidRDefault="00000000">
      <w:pPr>
        <w:pStyle w:val="35"/>
        <w:rPr>
          <w:rFonts w:ascii="Arial" w:hAnsi="Arial" w:cs="Arial"/>
          <w:sz w:val="22"/>
          <w:szCs w:val="22"/>
        </w:rPr>
      </w:pPr>
      <w:r w:rsidRPr="0030358C">
        <w:rPr>
          <w:rFonts w:ascii="Arial" w:hAnsi="Arial" w:cs="Arial"/>
          <w:sz w:val="22"/>
          <w:szCs w:val="22"/>
        </w:rPr>
        <w:t xml:space="preserve">(5)    Pro Lepolovy pece a dlouhé rotační pece může krajský úřad do 1. ledna 2016 povolit výjimku z plnění emisních limitů pro oxidy dusíku stanovených v </w:t>
      </w:r>
      <w:hyperlink w:history="1">
        <w:r w:rsidR="00A77B3E" w:rsidRPr="0030358C">
          <w:rPr>
            <w:rFonts w:ascii="Arial" w:hAnsi="Arial" w:cs="Arial"/>
            <w:sz w:val="22"/>
            <w:szCs w:val="22"/>
          </w:rPr>
          <w:t>příloze č. 4</w:t>
        </w:r>
      </w:hyperlink>
      <w:r w:rsidRPr="0030358C">
        <w:rPr>
          <w:rFonts w:ascii="Arial" w:hAnsi="Arial" w:cs="Arial"/>
          <w:sz w:val="22"/>
          <w:szCs w:val="22"/>
        </w:rPr>
        <w:t>, pokud emisní limit stanovený v povolení provozu nepřekročí 800 mg.m</w:t>
      </w:r>
      <w:r w:rsidRPr="0030358C">
        <w:rPr>
          <w:rFonts w:ascii="Arial" w:hAnsi="Arial" w:cs="Arial"/>
          <w:sz w:val="22"/>
          <w:szCs w:val="22"/>
          <w:vertAlign w:val="superscript"/>
        </w:rPr>
        <w:t>-3</w:t>
      </w:r>
      <w:r w:rsidRPr="0030358C">
        <w:rPr>
          <w:rFonts w:ascii="Arial" w:hAnsi="Arial" w:cs="Arial"/>
          <w:sz w:val="22"/>
          <w:szCs w:val="22"/>
        </w:rPr>
        <w:t>.</w:t>
      </w:r>
    </w:p>
    <w:p w14:paraId="17BE27EA" w14:textId="77777777" w:rsidR="00A77B3E" w:rsidRPr="0030358C" w:rsidRDefault="00000000">
      <w:pPr>
        <w:pStyle w:val="35"/>
        <w:rPr>
          <w:rFonts w:ascii="Arial" w:hAnsi="Arial" w:cs="Arial"/>
          <w:sz w:val="22"/>
          <w:szCs w:val="22"/>
        </w:rPr>
      </w:pPr>
      <w:r w:rsidRPr="0030358C">
        <w:rPr>
          <w:rFonts w:ascii="Arial" w:hAnsi="Arial" w:cs="Arial"/>
          <w:sz w:val="22"/>
          <w:szCs w:val="22"/>
        </w:rPr>
        <w:t>(6)    Těkavé organické látky, které jsou klasifikovány jako látky karcinogenní, mutagenní a toxické pro reprodukci a jimž jsou přiřazeny standardní věty o nebezpečnosti H340, H350, H350i, H360D nebo H360F, s výjimkou benzinu, mohou být do 31. května 2015 zároveň označeny větami označujícími specifickou rizikovost R45, R46, R49, R60 nebo R61. Halogenované těkavé organické látky, jimž jsou přiřazeny standardní věty o nebezpečnosti H341 nebo H351, mohou být do 31. května 2015 zároveň označeny větami označujícími specifickou rizikovost R40 nebo R68.</w:t>
      </w:r>
    </w:p>
    <w:p w14:paraId="750DEC09" w14:textId="77777777" w:rsidR="00A77B3E" w:rsidRPr="0030358C" w:rsidRDefault="00000000">
      <w:pPr>
        <w:pStyle w:val="36"/>
        <w:rPr>
          <w:rFonts w:ascii="Arial" w:hAnsi="Arial" w:cs="Arial"/>
          <w:sz w:val="22"/>
          <w:szCs w:val="22"/>
        </w:rPr>
      </w:pPr>
      <w:r w:rsidRPr="0030358C">
        <w:rPr>
          <w:rFonts w:ascii="Arial" w:hAnsi="Arial" w:cs="Arial"/>
          <w:sz w:val="22"/>
          <w:szCs w:val="22"/>
        </w:rPr>
        <w:t xml:space="preserve">(8)    Do 31. prosince 2015 se namísto </w:t>
      </w:r>
      <w:hyperlink w:history="1">
        <w:r w:rsidR="00A77B3E" w:rsidRPr="0030358C">
          <w:rPr>
            <w:rFonts w:ascii="Arial" w:hAnsi="Arial" w:cs="Arial"/>
            <w:sz w:val="22"/>
            <w:szCs w:val="22"/>
          </w:rPr>
          <w:t>§ 9 odst. 1</w:t>
        </w:r>
      </w:hyperlink>
      <w:r w:rsidRPr="0030358C">
        <w:rPr>
          <w:rFonts w:ascii="Arial" w:hAnsi="Arial" w:cs="Arial"/>
          <w:sz w:val="22"/>
          <w:szCs w:val="22"/>
        </w:rPr>
        <w:t xml:space="preserve"> při kontinuálním měření u spalovacích stacionárních zdrojů, pro něž byla podána kompletní žádost o první povolení provozu před nabytím účinnosti této vyhlášky, emisní limit považuje za splněný, jestliže jsou v průběhu kalendářního roku splněny tyto podmínky</w:t>
      </w:r>
    </w:p>
    <w:p w14:paraId="32250B2C" w14:textId="77777777" w:rsidR="00A77B3E" w:rsidRPr="0030358C" w:rsidRDefault="00000000">
      <w:pPr>
        <w:pStyle w:val="12"/>
        <w:rPr>
          <w:rFonts w:ascii="Arial" w:hAnsi="Arial" w:cs="Arial"/>
          <w:sz w:val="22"/>
          <w:szCs w:val="22"/>
        </w:rPr>
      </w:pPr>
      <w:r w:rsidRPr="0030358C">
        <w:rPr>
          <w:rFonts w:ascii="Arial" w:hAnsi="Arial" w:cs="Arial"/>
          <w:sz w:val="22"/>
          <w:szCs w:val="22"/>
        </w:rPr>
        <w:t>a)    roční průměr denních průměrných hodnot je nižší než hodnota emisního limitu,</w:t>
      </w:r>
    </w:p>
    <w:p w14:paraId="522A5673" w14:textId="77777777" w:rsidR="00A77B3E" w:rsidRPr="0030358C" w:rsidRDefault="00000000">
      <w:pPr>
        <w:pStyle w:val="13"/>
        <w:rPr>
          <w:rFonts w:ascii="Arial" w:hAnsi="Arial" w:cs="Arial"/>
          <w:sz w:val="22"/>
          <w:szCs w:val="22"/>
        </w:rPr>
      </w:pPr>
      <w:r w:rsidRPr="0030358C">
        <w:rPr>
          <w:rFonts w:ascii="Arial" w:hAnsi="Arial" w:cs="Arial"/>
          <w:sz w:val="22"/>
          <w:szCs w:val="22"/>
        </w:rPr>
        <w:t>b)    95 % všech půlhodinových průměrných hodnot je nižší než 120 % hodnoty emisního limitu,</w:t>
      </w:r>
    </w:p>
    <w:p w14:paraId="3D434DD9" w14:textId="77777777" w:rsidR="00A77B3E" w:rsidRPr="0030358C" w:rsidRDefault="00000000">
      <w:pPr>
        <w:pStyle w:val="13"/>
        <w:rPr>
          <w:rFonts w:ascii="Arial" w:hAnsi="Arial" w:cs="Arial"/>
          <w:sz w:val="22"/>
          <w:szCs w:val="22"/>
        </w:rPr>
      </w:pPr>
      <w:r w:rsidRPr="0030358C">
        <w:rPr>
          <w:rFonts w:ascii="Arial" w:hAnsi="Arial" w:cs="Arial"/>
          <w:sz w:val="22"/>
          <w:szCs w:val="22"/>
        </w:rPr>
        <w:t>c)    všechny půlhodinové průměrné hodnoty jsou nižší než dvojnásobek hodnoty emisního limitu a</w:t>
      </w:r>
    </w:p>
    <w:p w14:paraId="5A0E5007" w14:textId="77777777" w:rsidR="00A77B3E" w:rsidRPr="0030358C" w:rsidRDefault="00000000">
      <w:pPr>
        <w:pStyle w:val="14"/>
        <w:rPr>
          <w:rFonts w:ascii="Arial" w:hAnsi="Arial" w:cs="Arial"/>
          <w:sz w:val="22"/>
          <w:szCs w:val="22"/>
        </w:rPr>
      </w:pPr>
      <w:r w:rsidRPr="0030358C">
        <w:rPr>
          <w:rFonts w:ascii="Arial" w:hAnsi="Arial" w:cs="Arial"/>
          <w:sz w:val="22"/>
          <w:szCs w:val="22"/>
        </w:rPr>
        <w:t>d)    žádná z měsíčních průměrných hodnot nepřesáhne emisní limit a pro oxid siřičitý a tuhé znečišťující látky 97 % a pro oxidy dusíku 95 % všech 48hodinových průměrných hodnot nepřesáhne 110 % emisního limitu; 48hodinovou průměrnou hodnotou se rozumí aritmetický průměr dvou platných po sobě jdoucích denních průměrných hodnot; pro výpočet 48hodinové průměrné hodnoty se použijí denní průměrné hodnoty počínaje 1. lednem a konče 31. prosincem kalendářního roku, přičemž pro výpočet 48hodinové průměrné hodnoty může být každý ze dnů v roce použit pouze jednou; osamocené denní průměry v průběhu roku se pro výpočet 48hodinové průměrné hodnoty nesčítají.</w:t>
      </w:r>
    </w:p>
    <w:p w14:paraId="72210058" w14:textId="77777777" w:rsidR="00A77B3E" w:rsidRPr="0030358C" w:rsidRDefault="00000000">
      <w:pPr>
        <w:pStyle w:val="37"/>
        <w:rPr>
          <w:rFonts w:ascii="Arial" w:hAnsi="Arial" w:cs="Arial"/>
          <w:sz w:val="22"/>
          <w:szCs w:val="22"/>
        </w:rPr>
      </w:pPr>
      <w:r w:rsidRPr="0030358C">
        <w:rPr>
          <w:rFonts w:ascii="Arial" w:hAnsi="Arial" w:cs="Arial"/>
          <w:sz w:val="22"/>
          <w:szCs w:val="22"/>
        </w:rPr>
        <w:t>§ 29</w:t>
      </w:r>
    </w:p>
    <w:p w14:paraId="77172E12" w14:textId="77777777" w:rsidR="00A77B3E" w:rsidRPr="0030358C" w:rsidRDefault="00000000">
      <w:pPr>
        <w:pStyle w:val="34"/>
        <w:rPr>
          <w:rFonts w:ascii="Arial" w:hAnsi="Arial" w:cs="Arial"/>
          <w:sz w:val="22"/>
          <w:szCs w:val="22"/>
        </w:rPr>
      </w:pPr>
      <w:r w:rsidRPr="0030358C">
        <w:rPr>
          <w:rFonts w:ascii="Arial" w:hAnsi="Arial" w:cs="Arial"/>
          <w:sz w:val="22"/>
          <w:szCs w:val="22"/>
        </w:rPr>
        <w:t xml:space="preserve">(1)    Specifické emisní limity stanovené v </w:t>
      </w:r>
      <w:hyperlink w:history="1">
        <w:r w:rsidR="00A77B3E" w:rsidRPr="0030358C">
          <w:rPr>
            <w:rFonts w:ascii="Arial" w:hAnsi="Arial" w:cs="Arial"/>
            <w:sz w:val="22"/>
            <w:szCs w:val="22"/>
          </w:rPr>
          <w:t>§ 14 odst. 1</w:t>
        </w:r>
      </w:hyperlink>
      <w:r w:rsidRPr="0030358C">
        <w:rPr>
          <w:rFonts w:ascii="Arial" w:hAnsi="Arial" w:cs="Arial"/>
          <w:sz w:val="22"/>
          <w:szCs w:val="22"/>
        </w:rPr>
        <w:t xml:space="preserve"> se uplatní od 1. ledna 2016. Do 31. prosince 2015 platí pro spalovací stacionární zdroje,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specifické emisní limity stanovené v </w:t>
      </w:r>
      <w:hyperlink w:history="1">
        <w:r w:rsidR="00A77B3E" w:rsidRPr="0030358C">
          <w:rPr>
            <w:rFonts w:ascii="Arial" w:hAnsi="Arial" w:cs="Arial"/>
            <w:sz w:val="22"/>
            <w:szCs w:val="22"/>
          </w:rPr>
          <w:t>tabulce 3 části I přílohy č. 2</w:t>
        </w:r>
      </w:hyperlink>
      <w:r w:rsidRPr="0030358C">
        <w:rPr>
          <w:rFonts w:ascii="Arial" w:hAnsi="Arial" w:cs="Arial"/>
          <w:sz w:val="22"/>
          <w:szCs w:val="22"/>
        </w:rPr>
        <w:t xml:space="preserve"> a pro spalovací stacionární zdroje, kterým bylo vydáno první povolení provozu nebo obdobné povolení podle dřívějších právních předpisů mezi 27. listopadem 2002 a 7. lednem 2013 nebo byly uvedeny do provozu mezi </w:t>
      </w:r>
      <w:r w:rsidRPr="0030358C">
        <w:rPr>
          <w:rFonts w:ascii="Arial" w:hAnsi="Arial" w:cs="Arial"/>
          <w:sz w:val="22"/>
          <w:szCs w:val="22"/>
        </w:rPr>
        <w:lastRenderedPageBreak/>
        <w:t xml:space="preserve">27. listopadem 2003 a 7. lednem 2014, specifické emisní limity stanovené v </w:t>
      </w:r>
      <w:hyperlink w:history="1">
        <w:r w:rsidR="00A77B3E" w:rsidRPr="0030358C">
          <w:rPr>
            <w:rFonts w:ascii="Arial" w:hAnsi="Arial" w:cs="Arial"/>
            <w:sz w:val="22"/>
            <w:szCs w:val="22"/>
          </w:rPr>
          <w:t>tabulce 4 části I přílohy č. 2</w:t>
        </w:r>
      </w:hyperlink>
      <w:r w:rsidRPr="0030358C">
        <w:rPr>
          <w:rFonts w:ascii="Arial" w:hAnsi="Arial" w:cs="Arial"/>
          <w:sz w:val="22"/>
          <w:szCs w:val="22"/>
        </w:rPr>
        <w:t>.</w:t>
      </w:r>
    </w:p>
    <w:p w14:paraId="4F4F5D5A" w14:textId="77777777" w:rsidR="00A77B3E" w:rsidRPr="0030358C" w:rsidRDefault="00000000">
      <w:pPr>
        <w:pStyle w:val="35"/>
        <w:rPr>
          <w:rFonts w:ascii="Arial" w:hAnsi="Arial" w:cs="Arial"/>
          <w:sz w:val="22"/>
          <w:szCs w:val="22"/>
        </w:rPr>
      </w:pPr>
      <w:r w:rsidRPr="0030358C">
        <w:rPr>
          <w:rFonts w:ascii="Arial" w:hAnsi="Arial" w:cs="Arial"/>
          <w:sz w:val="22"/>
          <w:szCs w:val="22"/>
        </w:rPr>
        <w:t xml:space="preserve">(2)    Minimální stupně odsíření stanovené v </w:t>
      </w:r>
      <w:hyperlink w:history="1">
        <w:r w:rsidR="00A77B3E" w:rsidRPr="0030358C">
          <w:rPr>
            <w:rFonts w:ascii="Arial" w:hAnsi="Arial" w:cs="Arial"/>
            <w:sz w:val="22"/>
            <w:szCs w:val="22"/>
          </w:rPr>
          <w:t>tabulce 1 části IV přílohy č. 2</w:t>
        </w:r>
      </w:hyperlink>
      <w:r w:rsidRPr="0030358C">
        <w:rPr>
          <w:rFonts w:ascii="Arial" w:hAnsi="Arial" w:cs="Arial"/>
          <w:sz w:val="22"/>
          <w:szCs w:val="22"/>
        </w:rPr>
        <w:t xml:space="preserve"> se pro spalovací stacionární zdroje,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uplatní od 1. ledna 2016. Do 31. prosince 2015 platí pro tyto spalovací stacionární zdroje minimální stupně odsíření stanovené v </w:t>
      </w:r>
      <w:hyperlink w:history="1">
        <w:r w:rsidR="00A77B3E" w:rsidRPr="0030358C">
          <w:rPr>
            <w:rFonts w:ascii="Arial" w:hAnsi="Arial" w:cs="Arial"/>
            <w:sz w:val="22"/>
            <w:szCs w:val="22"/>
          </w:rPr>
          <w:t>tabulce 4 části IV přílohy č. 2</w:t>
        </w:r>
      </w:hyperlink>
      <w:r w:rsidRPr="0030358C">
        <w:rPr>
          <w:rFonts w:ascii="Arial" w:hAnsi="Arial" w:cs="Arial"/>
          <w:sz w:val="22"/>
          <w:szCs w:val="22"/>
        </w:rPr>
        <w:t>.</w:t>
      </w:r>
    </w:p>
    <w:p w14:paraId="32BD266E" w14:textId="77777777" w:rsidR="00A77B3E" w:rsidRPr="0030358C" w:rsidRDefault="00000000">
      <w:pPr>
        <w:pStyle w:val="35"/>
        <w:rPr>
          <w:rFonts w:ascii="Arial" w:hAnsi="Arial" w:cs="Arial"/>
          <w:sz w:val="22"/>
          <w:szCs w:val="22"/>
        </w:rPr>
      </w:pPr>
      <w:r w:rsidRPr="0030358C">
        <w:rPr>
          <w:rFonts w:ascii="Arial" w:hAnsi="Arial" w:cs="Arial"/>
          <w:sz w:val="22"/>
          <w:szCs w:val="22"/>
        </w:rPr>
        <w:t xml:space="preserve">(3)    Minimální stupně odsíření stanovené v </w:t>
      </w:r>
      <w:hyperlink w:history="1">
        <w:r w:rsidR="00A77B3E" w:rsidRPr="0030358C">
          <w:rPr>
            <w:rFonts w:ascii="Arial" w:hAnsi="Arial" w:cs="Arial"/>
            <w:sz w:val="22"/>
            <w:szCs w:val="22"/>
          </w:rPr>
          <w:t>tabulce 2 části IV přílohy č. 2</w:t>
        </w:r>
      </w:hyperlink>
      <w:r w:rsidRPr="0030358C">
        <w:rPr>
          <w:rFonts w:ascii="Arial" w:hAnsi="Arial" w:cs="Arial"/>
          <w:sz w:val="22"/>
          <w:szCs w:val="22"/>
        </w:rPr>
        <w:t xml:space="preserve"> se pro spalovací stacionární zdroje, kterým bylo vydáno první povolení provozu, nebo obdobné povolení podle dřívějších právních předpisů mezi 27. listopadem 2002 a 7. lednem 2013 nebo byly uvedeny do provozu mezi 27. listopadem 2003 a 7. lednem 2014, uplatní od 1. ledna 2016. Do 31. prosince 2015 platí pro tyto spalovací stacionární zdroje minimální stupně odsíření stanovené v </w:t>
      </w:r>
      <w:hyperlink w:history="1">
        <w:r w:rsidR="00A77B3E" w:rsidRPr="0030358C">
          <w:rPr>
            <w:rFonts w:ascii="Arial" w:hAnsi="Arial" w:cs="Arial"/>
            <w:sz w:val="22"/>
            <w:szCs w:val="22"/>
          </w:rPr>
          <w:t>tabulce 5 části IV přílohy č. 2</w:t>
        </w:r>
      </w:hyperlink>
      <w:r w:rsidRPr="0030358C">
        <w:rPr>
          <w:rFonts w:ascii="Arial" w:hAnsi="Arial" w:cs="Arial"/>
          <w:sz w:val="22"/>
          <w:szCs w:val="22"/>
        </w:rPr>
        <w:t>.</w:t>
      </w:r>
    </w:p>
    <w:p w14:paraId="1D78108C" w14:textId="77777777" w:rsidR="00A230E7" w:rsidRPr="0030358C" w:rsidRDefault="00000000">
      <w:pPr>
        <w:pStyle w:val="36"/>
        <w:rPr>
          <w:rFonts w:ascii="Arial" w:hAnsi="Arial" w:cs="Arial"/>
          <w:sz w:val="22"/>
          <w:szCs w:val="22"/>
        </w:rPr>
      </w:pPr>
      <w:r w:rsidRPr="0030358C">
        <w:rPr>
          <w:rFonts w:ascii="Arial" w:hAnsi="Arial" w:cs="Arial"/>
          <w:sz w:val="22"/>
          <w:szCs w:val="22"/>
        </w:rPr>
        <w:t>(4) Specifické emisní limity uvedené v tabulkách 2.1.2, 2.2.2 a 2.3.2 části II přílohy č. 2 se u spalovacích stacionárních zdrojů spalujících plynná paliva uplatní od 1. ledna 2020. Do 31. prosince 2019 platí pro tyto spalovací stacionární zdroje emisní limity uvedené v tabulkách 1.1.2, 1.2.2 a 1.3.2 části II přílohy č. 2.</w:t>
      </w:r>
    </w:p>
    <w:p w14:paraId="221F8262" w14:textId="77777777" w:rsidR="00A77B3E" w:rsidRPr="0030358C" w:rsidRDefault="00000000">
      <w:pPr>
        <w:pStyle w:val="7"/>
        <w:rPr>
          <w:rFonts w:ascii="Arial" w:hAnsi="Arial" w:cs="Arial"/>
          <w:sz w:val="22"/>
          <w:szCs w:val="22"/>
        </w:rPr>
      </w:pPr>
      <w:r w:rsidRPr="0030358C">
        <w:rPr>
          <w:rFonts w:ascii="Arial" w:hAnsi="Arial" w:cs="Arial"/>
          <w:sz w:val="22"/>
          <w:szCs w:val="22"/>
        </w:rPr>
        <w:t xml:space="preserve">ČÁST </w:t>
      </w:r>
      <w:r w:rsidRPr="0030358C">
        <w:rPr>
          <w:rFonts w:ascii="Arial" w:hAnsi="Arial" w:cs="Arial"/>
          <w:strike/>
          <w:sz w:val="22"/>
          <w:szCs w:val="22"/>
        </w:rPr>
        <w:t>DVANÁCTÁ</w:t>
      </w:r>
      <w:r w:rsidR="003133F6" w:rsidRPr="0030358C">
        <w:rPr>
          <w:rFonts w:ascii="Arial" w:hAnsi="Arial" w:cs="Arial"/>
          <w:strike/>
          <w:sz w:val="22"/>
          <w:szCs w:val="22"/>
        </w:rPr>
        <w:t xml:space="preserve"> </w:t>
      </w:r>
      <w:r w:rsidR="003133F6" w:rsidRPr="0030358C">
        <w:rPr>
          <w:rFonts w:ascii="Arial" w:hAnsi="Arial" w:cs="Arial"/>
          <w:sz w:val="22"/>
          <w:szCs w:val="22"/>
          <w:highlight w:val="yellow"/>
        </w:rPr>
        <w:t>TŘINÁCTÁ</w:t>
      </w:r>
    </w:p>
    <w:p w14:paraId="2DD9B3EF" w14:textId="77777777" w:rsidR="00A77B3E" w:rsidRPr="0030358C" w:rsidRDefault="00000000">
      <w:pPr>
        <w:pStyle w:val="8"/>
        <w:rPr>
          <w:rFonts w:ascii="Arial" w:hAnsi="Arial" w:cs="Arial"/>
          <w:sz w:val="22"/>
          <w:szCs w:val="22"/>
        </w:rPr>
      </w:pPr>
      <w:r w:rsidRPr="0030358C">
        <w:rPr>
          <w:rFonts w:ascii="Arial" w:hAnsi="Arial" w:cs="Arial"/>
          <w:sz w:val="22"/>
          <w:szCs w:val="22"/>
        </w:rPr>
        <w:t>ÚČINNOST</w:t>
      </w:r>
    </w:p>
    <w:p w14:paraId="13D8927F" w14:textId="77777777" w:rsidR="00A77B3E" w:rsidRPr="0030358C" w:rsidRDefault="00000000">
      <w:pPr>
        <w:pStyle w:val="33"/>
        <w:rPr>
          <w:rFonts w:ascii="Arial" w:hAnsi="Arial" w:cs="Arial"/>
          <w:sz w:val="22"/>
          <w:szCs w:val="22"/>
        </w:rPr>
      </w:pPr>
      <w:r w:rsidRPr="0030358C">
        <w:rPr>
          <w:rFonts w:ascii="Arial" w:hAnsi="Arial" w:cs="Arial"/>
          <w:sz w:val="22"/>
          <w:szCs w:val="22"/>
        </w:rPr>
        <w:t>§ 30</w:t>
      </w:r>
    </w:p>
    <w:p w14:paraId="7678CE3A" w14:textId="77777777" w:rsidR="00A77B3E" w:rsidRPr="0030358C" w:rsidRDefault="00A77B3E">
      <w:pPr>
        <w:pStyle w:val="38"/>
        <w:rPr>
          <w:rFonts w:ascii="Arial" w:hAnsi="Arial" w:cs="Arial"/>
          <w:sz w:val="22"/>
          <w:szCs w:val="22"/>
        </w:rPr>
      </w:pPr>
    </w:p>
    <w:p w14:paraId="138C7AD6" w14:textId="77777777" w:rsidR="00A77B3E" w:rsidRPr="0030358C" w:rsidRDefault="00000000">
      <w:pPr>
        <w:pStyle w:val="39"/>
        <w:rPr>
          <w:rFonts w:ascii="Arial" w:hAnsi="Arial" w:cs="Arial"/>
          <w:sz w:val="22"/>
          <w:szCs w:val="22"/>
        </w:rPr>
      </w:pPr>
      <w:r w:rsidRPr="0030358C">
        <w:rPr>
          <w:rFonts w:ascii="Arial" w:hAnsi="Arial" w:cs="Arial"/>
          <w:sz w:val="22"/>
          <w:szCs w:val="22"/>
        </w:rPr>
        <w:t>Tato vyhláška nabývá účinnosti dnem 1. prosince 2012.</w:t>
      </w:r>
    </w:p>
    <w:p w14:paraId="0F512FA6" w14:textId="77777777" w:rsidR="00A77B3E" w:rsidRPr="0030358C" w:rsidRDefault="00A77B3E">
      <w:pPr>
        <w:pStyle w:val="1"/>
        <w:rPr>
          <w:rFonts w:ascii="Arial" w:hAnsi="Arial" w:cs="Arial"/>
          <w:sz w:val="22"/>
          <w:szCs w:val="22"/>
        </w:rPr>
      </w:pPr>
    </w:p>
    <w:p w14:paraId="389DA6DB" w14:textId="77777777" w:rsidR="00A77B3E" w:rsidRPr="0030358C" w:rsidRDefault="00000000" w:rsidP="00824A32">
      <w:pPr>
        <w:pStyle w:val="40"/>
        <w:jc w:val="center"/>
        <w:rPr>
          <w:rFonts w:ascii="Arial" w:hAnsi="Arial" w:cs="Arial"/>
          <w:sz w:val="22"/>
          <w:szCs w:val="22"/>
        </w:rPr>
      </w:pPr>
      <w:r w:rsidRPr="0030358C">
        <w:rPr>
          <w:rFonts w:ascii="Arial" w:hAnsi="Arial" w:cs="Arial"/>
          <w:sz w:val="22"/>
          <w:szCs w:val="22"/>
        </w:rPr>
        <w:t>Ministr:</w:t>
      </w:r>
    </w:p>
    <w:p w14:paraId="1316F834" w14:textId="77777777" w:rsidR="00D804A3" w:rsidRPr="0030358C" w:rsidRDefault="00000000" w:rsidP="00D804A3">
      <w:pPr>
        <w:pStyle w:val="41"/>
        <w:jc w:val="center"/>
        <w:rPr>
          <w:rFonts w:ascii="Arial" w:hAnsi="Arial" w:cs="Arial"/>
          <w:sz w:val="22"/>
          <w:szCs w:val="22"/>
        </w:rPr>
        <w:sectPr w:rsidR="00D804A3" w:rsidRPr="0030358C" w:rsidSect="00D804A3">
          <w:headerReference w:type="first" r:id="rId8"/>
          <w:pgSz w:w="11906" w:h="16838" w:code="9"/>
          <w:pgMar w:top="1417" w:right="1417" w:bottom="1417" w:left="1417" w:header="400" w:footer="708" w:gutter="0"/>
          <w:cols w:space="708"/>
          <w:docGrid w:linePitch="360"/>
        </w:sectPr>
      </w:pPr>
      <w:r w:rsidRPr="0030358C">
        <w:rPr>
          <w:rFonts w:ascii="Arial" w:hAnsi="Arial" w:cs="Arial"/>
          <w:sz w:val="22"/>
          <w:szCs w:val="22"/>
        </w:rPr>
        <w:t>Mgr. Chalupa v. r.</w:t>
      </w:r>
    </w:p>
    <w:p w14:paraId="733C91CB" w14:textId="77777777" w:rsidR="00A77B3E" w:rsidRPr="0030358C" w:rsidRDefault="00000000" w:rsidP="00D804A3">
      <w:pPr>
        <w:pStyle w:val="42"/>
        <w:rPr>
          <w:rFonts w:ascii="Arial" w:hAnsi="Arial" w:cs="Arial"/>
          <w:sz w:val="22"/>
          <w:szCs w:val="22"/>
        </w:rPr>
      </w:pPr>
      <w:r w:rsidRPr="0030358C">
        <w:rPr>
          <w:rFonts w:ascii="Arial" w:hAnsi="Arial" w:cs="Arial"/>
          <w:sz w:val="22"/>
          <w:szCs w:val="22"/>
        </w:rPr>
        <w:lastRenderedPageBreak/>
        <w:t>Příloha č. 1</w:t>
      </w:r>
      <w:r w:rsidR="00824A32" w:rsidRPr="0030358C">
        <w:rPr>
          <w:rFonts w:ascii="Arial" w:hAnsi="Arial" w:cs="Arial"/>
          <w:sz w:val="22"/>
          <w:szCs w:val="22"/>
        </w:rPr>
        <w:t xml:space="preserve"> </w:t>
      </w:r>
      <w:r w:rsidRPr="0030358C">
        <w:rPr>
          <w:rFonts w:ascii="Arial" w:hAnsi="Arial" w:cs="Arial"/>
          <w:sz w:val="22"/>
          <w:szCs w:val="22"/>
        </w:rPr>
        <w:t>k vyhlášce č. 415/2012 Sb.</w:t>
      </w:r>
    </w:p>
    <w:p w14:paraId="75B20DB5" w14:textId="77777777" w:rsidR="00A77B3E" w:rsidRPr="0030358C" w:rsidRDefault="00000000">
      <w:pPr>
        <w:pStyle w:val="43"/>
        <w:rPr>
          <w:rFonts w:ascii="Arial" w:hAnsi="Arial" w:cs="Arial"/>
          <w:sz w:val="22"/>
          <w:szCs w:val="22"/>
        </w:rPr>
      </w:pPr>
      <w:r w:rsidRPr="0030358C">
        <w:rPr>
          <w:rFonts w:ascii="Arial" w:hAnsi="Arial" w:cs="Arial"/>
          <w:sz w:val="22"/>
          <w:szCs w:val="22"/>
        </w:rPr>
        <w:t>Metody a postupy pro měření emisí, u kterých je vyžadováno osvědčení o akreditaci, a koeficienty ekvivalentu toxicity PCDD, PCDF a polychlorovaných bifenylů</w:t>
      </w:r>
    </w:p>
    <w:p w14:paraId="4AC4C76C" w14:textId="77777777" w:rsidR="00A77B3E" w:rsidRPr="0030358C" w:rsidRDefault="00000000">
      <w:pPr>
        <w:pStyle w:val="44"/>
        <w:rPr>
          <w:rFonts w:ascii="Arial" w:hAnsi="Arial" w:cs="Arial"/>
          <w:sz w:val="22"/>
          <w:szCs w:val="22"/>
        </w:rPr>
      </w:pPr>
      <w:r w:rsidRPr="0030358C">
        <w:rPr>
          <w:rFonts w:ascii="Arial" w:hAnsi="Arial" w:cs="Arial"/>
          <w:sz w:val="22"/>
          <w:szCs w:val="22"/>
        </w:rPr>
        <w:t>Část I</w:t>
      </w:r>
    </w:p>
    <w:p w14:paraId="7A235F02" w14:textId="77777777" w:rsidR="00A77B3E" w:rsidRPr="0030358C" w:rsidRDefault="00000000">
      <w:pPr>
        <w:pStyle w:val="8"/>
        <w:rPr>
          <w:rFonts w:ascii="Arial" w:hAnsi="Arial" w:cs="Arial"/>
          <w:sz w:val="22"/>
          <w:szCs w:val="22"/>
        </w:rPr>
      </w:pPr>
      <w:r w:rsidRPr="0030358C">
        <w:rPr>
          <w:rFonts w:ascii="Arial" w:hAnsi="Arial" w:cs="Arial"/>
          <w:sz w:val="22"/>
          <w:szCs w:val="22"/>
        </w:rPr>
        <w:t>Metody a postupy pro měření emisí, u kterých je vyžadováno osvědčení o akreditaci</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852"/>
        <w:gridCol w:w="4681"/>
        <w:gridCol w:w="3337"/>
      </w:tblGrid>
      <w:tr w:rsidR="00E40657" w14:paraId="299A6B16"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A00DBB1"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Číslo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DF8FAD4"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Název zkoušky</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3BB7593"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Metoda stanovení</w:t>
            </w:r>
          </w:p>
        </w:tc>
      </w:tr>
      <w:tr w:rsidR="00E40657" w14:paraId="79C8BAD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40AE6F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4A44A7"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rychlosti proudění a objemového toku odpadního plynu</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9388EBD"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Měření rychlosti proudění a průřezu</w:t>
            </w:r>
          </w:p>
        </w:tc>
      </w:tr>
      <w:tr w:rsidR="00E40657" w14:paraId="3F66C99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4B5475D"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97F9286"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vlhkosti odpadního plynu</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E25136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 xml:space="preserve">Kondenzační metoda </w:t>
            </w:r>
            <w:r w:rsidRPr="0030358C">
              <w:rPr>
                <w:rFonts w:ascii="Arial" w:hAnsi="Arial" w:cs="Arial"/>
                <w:sz w:val="22"/>
                <w:szCs w:val="22"/>
              </w:rPr>
              <w:br/>
              <w:t>Adsorpční metoda</w:t>
            </w:r>
          </w:p>
        </w:tc>
      </w:tr>
      <w:tr w:rsidR="00E40657" w14:paraId="52E5878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54F5D0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0B176FE"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koncentrace kyslíku</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32EBBC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 xml:space="preserve">Metoda paramagnetická </w:t>
            </w:r>
            <w:r w:rsidRPr="0030358C">
              <w:rPr>
                <w:rFonts w:ascii="Arial" w:hAnsi="Arial" w:cs="Arial"/>
                <w:sz w:val="22"/>
                <w:szCs w:val="22"/>
              </w:rPr>
              <w:br/>
              <w:t>Elektrochemický článek (tuhý elektrolyt)</w:t>
            </w:r>
          </w:p>
        </w:tc>
      </w:tr>
      <w:tr w:rsidR="00E40657" w14:paraId="016D644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A8DD4AF"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251AB6"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hmotnostní koncentrace plynných znečišťujících látek automatizovanými analyzátory (oxid siřičitý, oxidy dusíku, oxid uhelnatý)</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07E897E"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 xml:space="preserve">Spektroskopie </w:t>
            </w:r>
            <w:r w:rsidRPr="0030358C">
              <w:rPr>
                <w:rFonts w:ascii="Arial" w:hAnsi="Arial" w:cs="Arial"/>
                <w:sz w:val="22"/>
                <w:szCs w:val="22"/>
              </w:rPr>
              <w:br/>
              <w:t>Chemiluminiscence</w:t>
            </w:r>
          </w:p>
        </w:tc>
      </w:tr>
      <w:tr w:rsidR="00E40657" w14:paraId="2BD344A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CAD4997"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ED1678"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úhrnné hmotnostní koncentrace organických látek vyjádřených jako celkový organický uhlík automatizovanými analyzátory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884057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Plamenoionizační detekce</w:t>
            </w:r>
          </w:p>
        </w:tc>
      </w:tr>
      <w:tr w:rsidR="00E40657" w14:paraId="4495A3A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2FEB0D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FD3C61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koncentrace organických látek</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A63E002"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Plynová chromatografie</w:t>
            </w:r>
          </w:p>
        </w:tc>
      </w:tr>
      <w:tr w:rsidR="00E40657" w14:paraId="05F1ED4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BB3882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7BBF4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hmotnostní koncentrace tuhých znečišťujících látek</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366B31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Gravimetrie</w:t>
            </w:r>
          </w:p>
        </w:tc>
      </w:tr>
      <w:tr w:rsidR="00E40657" w14:paraId="7DD4072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D276CF2"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8.</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C8B385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Stanovení koncentrace pachových látek dynamickou olfaktometrií</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3FD0C76"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Dynamická olfaktometrie</w:t>
            </w:r>
          </w:p>
        </w:tc>
      </w:tr>
      <w:tr w:rsidR="00E40657" w14:paraId="4A06AAF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A2409F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9.</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39E05D7"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Odběr vzorků pro stanovení těžkých kovů</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052F826"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Izokinetický odběr a absorpce do kapaliny</w:t>
            </w:r>
          </w:p>
        </w:tc>
      </w:tr>
      <w:tr w:rsidR="00E40657" w14:paraId="044C9D7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CDA75F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3EB63B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Odběr vzorků pro stanovení persistentních organických látek</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85D09C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 xml:space="preserve">Metoda filtračně-kondenzační </w:t>
            </w:r>
            <w:r w:rsidRPr="0030358C">
              <w:rPr>
                <w:rFonts w:ascii="Arial" w:hAnsi="Arial" w:cs="Arial"/>
                <w:sz w:val="22"/>
                <w:szCs w:val="22"/>
              </w:rPr>
              <w:br/>
              <w:t xml:space="preserve">Metoda zřeďovací </w:t>
            </w:r>
            <w:r w:rsidRPr="0030358C">
              <w:rPr>
                <w:rFonts w:ascii="Arial" w:hAnsi="Arial" w:cs="Arial"/>
                <w:sz w:val="22"/>
                <w:szCs w:val="22"/>
              </w:rPr>
              <w:br/>
              <w:t>Metoda s chlazenou sondou</w:t>
            </w:r>
          </w:p>
        </w:tc>
      </w:tr>
      <w:tr w:rsidR="00E40657" w14:paraId="119E225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A40A77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11.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65F2B2"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Odběr vzorků pro stanovení oxidu siřičitého</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B1C8EC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Absorpce do kapaliny</w:t>
            </w:r>
          </w:p>
        </w:tc>
      </w:tr>
      <w:tr w:rsidR="00E40657" w14:paraId="3D5155F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A991AEE"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12.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AB11C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Odběr vzorků pro stanovení těkavých anorganických sloučenin chlóru</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3D6AA54"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Absorpce do kapaliny</w:t>
            </w:r>
          </w:p>
        </w:tc>
      </w:tr>
      <w:tr w:rsidR="00E40657" w14:paraId="2830A444"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45B014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lastRenderedPageBreak/>
              <w:t>13.</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24DBF63"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Ověření správnosti výsledků kontinuálního měření emisí a kalibrace kontinuálního měřicího systému.</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BB41FB1"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Souběžné stanovení referenční metodou dle určené technické normy</w:t>
            </w:r>
            <w:hyperlink w:history="1">
              <w:r w:rsidR="00A77B3E" w:rsidRPr="0030358C">
                <w:rPr>
                  <w:rFonts w:ascii="Arial" w:hAnsi="Arial" w:cs="Arial"/>
                  <w:sz w:val="22"/>
                  <w:szCs w:val="22"/>
                  <w:vertAlign w:val="superscript"/>
                </w:rPr>
                <w:t>1</w:t>
              </w:r>
              <w:r w:rsidR="00A77B3E" w:rsidRPr="0030358C">
                <w:rPr>
                  <w:rFonts w:ascii="Arial" w:hAnsi="Arial" w:cs="Arial"/>
                  <w:sz w:val="22"/>
                  <w:szCs w:val="22"/>
                </w:rPr>
                <w:t>)</w:t>
              </w:r>
            </w:hyperlink>
          </w:p>
        </w:tc>
      </w:tr>
    </w:tbl>
    <w:p w14:paraId="6D1A8BCF" w14:textId="77777777" w:rsidR="00A77B3E" w:rsidRPr="0030358C" w:rsidRDefault="00A77B3E">
      <w:pPr>
        <w:pStyle w:val="16"/>
        <w:rPr>
          <w:rFonts w:ascii="Arial" w:hAnsi="Arial" w:cs="Arial"/>
          <w:sz w:val="22"/>
          <w:szCs w:val="22"/>
        </w:rPr>
      </w:pPr>
    </w:p>
    <w:p w14:paraId="2E726C80" w14:textId="77777777" w:rsidR="00A77B3E" w:rsidRPr="0030358C" w:rsidRDefault="00000000">
      <w:pPr>
        <w:pStyle w:val="45"/>
        <w:rPr>
          <w:rFonts w:ascii="Arial" w:hAnsi="Arial" w:cs="Arial"/>
          <w:sz w:val="22"/>
          <w:szCs w:val="22"/>
        </w:rPr>
      </w:pPr>
      <w:r w:rsidRPr="0030358C">
        <w:rPr>
          <w:rFonts w:ascii="Arial" w:hAnsi="Arial" w:cs="Arial"/>
          <w:sz w:val="22"/>
          <w:szCs w:val="22"/>
          <w:vertAlign w:val="superscript"/>
        </w:rPr>
        <w:t>1</w:t>
      </w:r>
      <w:r w:rsidRPr="0030358C">
        <w:rPr>
          <w:rFonts w:ascii="Arial" w:hAnsi="Arial" w:cs="Arial"/>
          <w:sz w:val="22"/>
          <w:szCs w:val="22"/>
        </w:rPr>
        <w:t xml:space="preserve">)    Pokud není normovaná referenční metoda pro stanovení dané znečišťující látky, použije se jiná vhodná </w:t>
      </w:r>
      <w:r w:rsidR="007C060D" w:rsidRPr="0030358C">
        <w:rPr>
          <w:rFonts w:ascii="Arial" w:hAnsi="Arial" w:cs="Arial"/>
          <w:b/>
          <w:bCs/>
          <w:sz w:val="22"/>
          <w:szCs w:val="22"/>
        </w:rPr>
        <w:t>normovaná</w:t>
      </w:r>
      <w:r w:rsidR="007C060D" w:rsidRPr="0030358C">
        <w:rPr>
          <w:rFonts w:ascii="Arial" w:hAnsi="Arial" w:cs="Arial"/>
          <w:sz w:val="22"/>
          <w:szCs w:val="22"/>
        </w:rPr>
        <w:t xml:space="preserve"> </w:t>
      </w:r>
      <w:r w:rsidRPr="0030358C">
        <w:rPr>
          <w:rFonts w:ascii="Arial" w:hAnsi="Arial" w:cs="Arial"/>
          <w:sz w:val="22"/>
          <w:szCs w:val="22"/>
        </w:rPr>
        <w:t>metoda.</w:t>
      </w:r>
    </w:p>
    <w:p w14:paraId="76B93E57" w14:textId="77777777" w:rsidR="00A77B3E" w:rsidRPr="0030358C" w:rsidRDefault="00000000">
      <w:pPr>
        <w:pStyle w:val="44"/>
        <w:rPr>
          <w:rFonts w:ascii="Arial" w:hAnsi="Arial" w:cs="Arial"/>
          <w:sz w:val="22"/>
          <w:szCs w:val="22"/>
        </w:rPr>
      </w:pPr>
      <w:r w:rsidRPr="0030358C">
        <w:rPr>
          <w:rFonts w:ascii="Arial" w:hAnsi="Arial" w:cs="Arial"/>
          <w:sz w:val="22"/>
          <w:szCs w:val="22"/>
        </w:rPr>
        <w:t>Část II</w:t>
      </w:r>
    </w:p>
    <w:p w14:paraId="3B9999A0" w14:textId="77777777" w:rsidR="00A77B3E" w:rsidRPr="0030358C" w:rsidRDefault="00000000">
      <w:pPr>
        <w:pStyle w:val="8"/>
        <w:rPr>
          <w:rFonts w:ascii="Arial" w:hAnsi="Arial" w:cs="Arial"/>
          <w:sz w:val="22"/>
          <w:szCs w:val="22"/>
        </w:rPr>
      </w:pPr>
      <w:r w:rsidRPr="0030358C">
        <w:rPr>
          <w:rFonts w:ascii="Arial" w:hAnsi="Arial" w:cs="Arial"/>
          <w:sz w:val="22"/>
          <w:szCs w:val="22"/>
        </w:rPr>
        <w:t>Výčet PCDD, PCDF, polychlorovaných bifenylů a jejich koeficienty ekvivalentu toxicity</w:t>
      </w:r>
    </w:p>
    <w:p w14:paraId="0EA75915" w14:textId="77777777" w:rsidR="00A77B3E" w:rsidRPr="0030358C" w:rsidRDefault="00000000">
      <w:pPr>
        <w:pStyle w:val="16"/>
        <w:rPr>
          <w:rFonts w:ascii="Arial" w:hAnsi="Arial" w:cs="Arial"/>
          <w:sz w:val="22"/>
          <w:szCs w:val="22"/>
        </w:rPr>
      </w:pPr>
      <w:r w:rsidRPr="0030358C">
        <w:rPr>
          <w:rFonts w:ascii="Arial" w:hAnsi="Arial" w:cs="Arial"/>
          <w:sz w:val="22"/>
          <w:szCs w:val="22"/>
        </w:rPr>
        <w:t>Ke stanovení součtové hodnoty se hmotnostní koncentrace dále uvedených PCDD, PCDF polychlorovaných bifenylů před sečtením násobí uvedenými koeficienty ekvivalentů toxicity.</w:t>
      </w:r>
    </w:p>
    <w:p w14:paraId="451138D2" w14:textId="77777777" w:rsidR="00A77B3E" w:rsidRPr="0030358C" w:rsidRDefault="00000000">
      <w:pPr>
        <w:pStyle w:val="46"/>
        <w:rPr>
          <w:rFonts w:ascii="Arial" w:hAnsi="Arial" w:cs="Arial"/>
          <w:szCs w:val="22"/>
        </w:rPr>
      </w:pPr>
      <w:r w:rsidRPr="0030358C">
        <w:rPr>
          <w:rFonts w:ascii="Arial" w:hAnsi="Arial" w:cs="Arial"/>
          <w:szCs w:val="22"/>
        </w:rPr>
        <w:t>1.    Výčet PCDD a PCDF a jejich koeficienty ekvivalentu toxicity</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938"/>
        <w:gridCol w:w="3469"/>
      </w:tblGrid>
      <w:tr w:rsidR="00E40657" w14:paraId="376A0720"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0BDA0FD"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PCDD/PCDF</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5D5D570"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Koeficient ekvivalentu toxicity</w:t>
            </w:r>
          </w:p>
        </w:tc>
      </w:tr>
      <w:tr w:rsidR="00E40657" w14:paraId="1894CF0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9A01D81"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2,3,7,8-tetrachlordibenzodioxin (TCDD)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E98D7A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w:t>
            </w:r>
          </w:p>
        </w:tc>
      </w:tr>
      <w:tr w:rsidR="00E40657" w14:paraId="385E680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FD7C27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1,2,3,7,8-pentachlordibenzodioxin (PeCDD)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34D526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0,5</w:t>
            </w:r>
          </w:p>
        </w:tc>
      </w:tr>
      <w:tr w:rsidR="00E40657" w14:paraId="3E524C9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8CA6429"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1,2,3,4,7,8-hexachlordibenzodioxin (HxCDD)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7713D8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6DD468D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6503F6C"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1,2,3,7,8,9-hexachlordibenzodioxin (HxCDD)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F9E0FE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00056B8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8C6867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1,2,3,6,7,8-hexachlordibenzodioxin (HxCDD)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321BAB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139F319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AFBF55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1,2,3,4,6,7,8-heptachlordibenzodioxin (HpCDD)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EFFBA6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0,01</w:t>
            </w:r>
          </w:p>
        </w:tc>
      </w:tr>
      <w:tr w:rsidR="00E40657" w14:paraId="7A61FD7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D3DAFA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oktachlordibenzodioxin (OCDD)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288EFB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0,001</w:t>
            </w:r>
          </w:p>
        </w:tc>
      </w:tr>
      <w:tr w:rsidR="00E40657" w14:paraId="0729A38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C4606AB"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2,3,7,8-tetrachlordibenzofuran (TCDF)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57A7D6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07ED8EF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3721920"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2,3,4,7,8-pentachlordibenzofuran (PeCDF)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B3AC03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0,5</w:t>
            </w:r>
          </w:p>
        </w:tc>
      </w:tr>
      <w:tr w:rsidR="00E40657" w14:paraId="3D0D324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F91A8E4"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1,2,3,7,8-pentachlordibenzofuran (PeCDF)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208F78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0,05</w:t>
            </w:r>
          </w:p>
        </w:tc>
      </w:tr>
      <w:tr w:rsidR="00E40657" w14:paraId="6383353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E4E18F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1,2,3,4,7,8-hexachlordibenzofuran (HxCDF)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520B9C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68D2801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B9E8FB3"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1,2,3,7,8,9-hexachlordibenzofuran (HxCDF)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CFB896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2D57C23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E89E0F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1,2,3,6,7,8-hexachlordibenzofuran (HxCDF)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A88CE1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578B27A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AC39599"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2,3,4,6,7,8-hexachlordibenzofuran (HxCDF)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C4ED69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763B490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07E53B2"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1,2,3,4,6,7,8-heptachlordibenzofuran (HpCDF)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95D957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0,01</w:t>
            </w:r>
          </w:p>
        </w:tc>
      </w:tr>
      <w:tr w:rsidR="00E40657" w14:paraId="7F8FCE9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B6E3D41"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1,2,3,4,7,8,9-heptachlordibenzofuran (HpCDF)</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F30D60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0,01</w:t>
            </w:r>
          </w:p>
        </w:tc>
      </w:tr>
      <w:tr w:rsidR="00E40657" w14:paraId="6205438A"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AF46C76"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oktachlordibenzofuran (OCDF)</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1DF1D85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0,001</w:t>
            </w:r>
          </w:p>
        </w:tc>
      </w:tr>
    </w:tbl>
    <w:p w14:paraId="7EFCFF56" w14:textId="77777777" w:rsidR="00A77B3E" w:rsidRPr="0030358C" w:rsidRDefault="00A77B3E">
      <w:pPr>
        <w:pStyle w:val="47"/>
        <w:rPr>
          <w:rFonts w:ascii="Arial" w:hAnsi="Arial" w:cs="Arial"/>
          <w:sz w:val="22"/>
          <w:szCs w:val="22"/>
        </w:rPr>
      </w:pPr>
    </w:p>
    <w:p w14:paraId="4ADC9043" w14:textId="77777777" w:rsidR="00A77B3E" w:rsidRPr="0030358C" w:rsidRDefault="00000000">
      <w:pPr>
        <w:pStyle w:val="46"/>
        <w:rPr>
          <w:rFonts w:ascii="Arial" w:hAnsi="Arial" w:cs="Arial"/>
          <w:szCs w:val="22"/>
        </w:rPr>
      </w:pPr>
      <w:r w:rsidRPr="0030358C">
        <w:rPr>
          <w:rFonts w:ascii="Arial" w:hAnsi="Arial" w:cs="Arial"/>
          <w:szCs w:val="22"/>
        </w:rPr>
        <w:t>2.    Výčet polychlorovaných bifenylů a jejich koeficienty ekvivalentu toxicity</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488"/>
        <w:gridCol w:w="2723"/>
        <w:gridCol w:w="3469"/>
      </w:tblGrid>
      <w:tr w:rsidR="00E40657" w14:paraId="1A9CC584"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97244C"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lastRenderedPageBreak/>
              <w:t>Kód UIPAC</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35835CC"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Polychlorovaný bifenyl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A14CA2C"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Koeficient ekvivalentu toxicity</w:t>
            </w:r>
          </w:p>
        </w:tc>
      </w:tr>
      <w:tr w:rsidR="00E40657" w14:paraId="2D76737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B52100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77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63DA36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3,3',4,4'-tetraCB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5B35FF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0,0005</w:t>
            </w:r>
          </w:p>
        </w:tc>
      </w:tr>
      <w:tr w:rsidR="00E40657" w14:paraId="017190B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439183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126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62CA5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3,3',4,4',5-pentaCB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1F9A66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0,1</w:t>
            </w:r>
          </w:p>
        </w:tc>
      </w:tr>
      <w:tr w:rsidR="00E40657" w14:paraId="7C3DD4A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CCA7BE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169</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000D3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3,3',4,4',5,5'-hexaCB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00789C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0,01</w:t>
            </w:r>
          </w:p>
        </w:tc>
      </w:tr>
      <w:tr w:rsidR="00E40657" w14:paraId="6B2F472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B134B4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3BC98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2,3,3',4,4'-pentaCB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6AECE5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0,0001</w:t>
            </w:r>
          </w:p>
        </w:tc>
      </w:tr>
      <w:tr w:rsidR="00E40657" w14:paraId="69B3DB6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FC8C78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114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49B80B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2,3,4,4',5-pentaCB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CA53A2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0,0005</w:t>
            </w:r>
          </w:p>
        </w:tc>
      </w:tr>
      <w:tr w:rsidR="00E40657" w14:paraId="7E1E193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3F5E3E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118</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B34DFB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2,3',4,4',5-pentaCB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676942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0,0001</w:t>
            </w:r>
          </w:p>
        </w:tc>
      </w:tr>
      <w:tr w:rsidR="00E40657" w14:paraId="3C1BF18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3BB5C8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123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5D899C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2',3,4,4',5-pentaCB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1913E9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0,0001</w:t>
            </w:r>
          </w:p>
        </w:tc>
      </w:tr>
      <w:tr w:rsidR="00E40657" w14:paraId="4E4CAB5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70D1EB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5EFAA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2,3,3',4,4',5-hexaCB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FC406F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0,0005</w:t>
            </w:r>
          </w:p>
        </w:tc>
      </w:tr>
      <w:tr w:rsidR="00E40657" w14:paraId="47252D8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E551E1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157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6F2B4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2,3,3',4,4',5'-hexaCB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DDBDFC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0,0005</w:t>
            </w:r>
          </w:p>
        </w:tc>
      </w:tr>
      <w:tr w:rsidR="00E40657" w14:paraId="4AE936F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850C2D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167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D4FF61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2,3',4,4',5,5'-hexaCB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FA1BD5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0,00001</w:t>
            </w:r>
          </w:p>
        </w:tc>
      </w:tr>
      <w:tr w:rsidR="00E40657" w14:paraId="2CE1EDB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FEDF6A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189</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71C072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2,3,3',4,4',5,5'-heptaCB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94A927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0,0001</w:t>
            </w:r>
          </w:p>
        </w:tc>
      </w:tr>
      <w:tr w:rsidR="00E40657" w14:paraId="250210E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26A7E4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170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A7BEF2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 di-ortho PCB</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F92277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0,0001</w:t>
            </w:r>
          </w:p>
        </w:tc>
      </w:tr>
      <w:tr w:rsidR="00E40657" w14:paraId="12718C3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B4E1DD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180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EDBB15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 di-ortho PCB</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D2F80E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0,00001</w:t>
            </w:r>
          </w:p>
        </w:tc>
      </w:tr>
    </w:tbl>
    <w:p w14:paraId="291BFEF5" w14:textId="77777777" w:rsidR="00EC5971" w:rsidRPr="0030358C" w:rsidRDefault="00EC5971">
      <w:pPr>
        <w:rPr>
          <w:rFonts w:ascii="Arial" w:hAnsi="Arial" w:cs="Arial"/>
          <w:b/>
          <w:strike/>
          <w:sz w:val="22"/>
          <w:szCs w:val="22"/>
        </w:rPr>
      </w:pPr>
    </w:p>
    <w:p w14:paraId="3210B799" w14:textId="77777777" w:rsidR="00EC5971" w:rsidRPr="0030358C" w:rsidRDefault="00EC5971" w:rsidP="00D804A3">
      <w:pPr>
        <w:pStyle w:val="42"/>
        <w:jc w:val="left"/>
        <w:rPr>
          <w:rFonts w:ascii="Arial" w:hAnsi="Arial" w:cs="Arial"/>
          <w:strike/>
          <w:sz w:val="22"/>
          <w:szCs w:val="22"/>
        </w:rPr>
        <w:sectPr w:rsidR="00EC5971" w:rsidRPr="0030358C" w:rsidSect="00D804A3">
          <w:pgSz w:w="11906" w:h="16838" w:code="9"/>
          <w:pgMar w:top="1417" w:right="1417" w:bottom="1417" w:left="1417" w:header="400" w:footer="708" w:gutter="0"/>
          <w:cols w:space="708"/>
          <w:docGrid w:linePitch="360"/>
        </w:sectPr>
      </w:pPr>
    </w:p>
    <w:p w14:paraId="46604412"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lastRenderedPageBreak/>
        <w:t>Příloha č. 2    k vyhlášce č. 415/2012 Sb.</w:t>
      </w:r>
    </w:p>
    <w:p w14:paraId="7620380F"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PODMÍNKY PROVOZU PRO SPALOVACÍ STACIONÁRNÍ ZDROJE</w:t>
      </w:r>
    </w:p>
    <w:p w14:paraId="4D138944" w14:textId="77777777" w:rsidR="00A77B3E" w:rsidRPr="0030358C" w:rsidRDefault="00000000">
      <w:pPr>
        <w:pStyle w:val="44"/>
        <w:rPr>
          <w:rFonts w:ascii="Arial" w:hAnsi="Arial" w:cs="Arial"/>
          <w:strike/>
          <w:sz w:val="22"/>
          <w:szCs w:val="22"/>
        </w:rPr>
      </w:pPr>
      <w:r w:rsidRPr="0030358C">
        <w:rPr>
          <w:rFonts w:ascii="Arial" w:hAnsi="Arial" w:cs="Arial"/>
          <w:strike/>
          <w:sz w:val="22"/>
          <w:szCs w:val="22"/>
        </w:rPr>
        <w:t>Část I</w:t>
      </w:r>
    </w:p>
    <w:p w14:paraId="0185CC40" w14:textId="77777777" w:rsidR="00A77B3E" w:rsidRPr="0030358C" w:rsidRDefault="00000000">
      <w:pPr>
        <w:pStyle w:val="8"/>
        <w:rPr>
          <w:rFonts w:ascii="Arial" w:hAnsi="Arial" w:cs="Arial"/>
          <w:strike/>
          <w:sz w:val="22"/>
          <w:szCs w:val="22"/>
        </w:rPr>
      </w:pPr>
      <w:r w:rsidRPr="0030358C">
        <w:rPr>
          <w:rFonts w:ascii="Arial" w:hAnsi="Arial" w:cs="Arial"/>
          <w:strike/>
          <w:sz w:val="22"/>
          <w:szCs w:val="22"/>
        </w:rPr>
        <w:t>Specifické emisní limity pro spalovací stacionární zdroje o celkovém jmenovitém tepelném příkonu 50 MW a vyšším</w:t>
      </w:r>
    </w:p>
    <w:p w14:paraId="04F95EDD" w14:textId="77777777" w:rsidR="00A77B3E" w:rsidRPr="0030358C" w:rsidRDefault="00000000">
      <w:pPr>
        <w:pStyle w:val="48"/>
        <w:rPr>
          <w:rFonts w:ascii="Arial" w:hAnsi="Arial" w:cs="Arial"/>
          <w:strike/>
          <w:sz w:val="22"/>
          <w:szCs w:val="22"/>
        </w:rPr>
      </w:pPr>
      <w:r w:rsidRPr="0030358C">
        <w:rPr>
          <w:rFonts w:ascii="Arial" w:hAnsi="Arial" w:cs="Arial"/>
          <w:strike/>
          <w:sz w:val="22"/>
          <w:szCs w:val="22"/>
        </w:rPr>
        <w:t>Specifické emisní limity jsou vztaženy k celkovému jmenovitému tepelnému příkonu a na normální stavové podmínky a suchý plyn při referenčním obsahu kyslíku v odpadním plynu 6 % v případě pevných paliv a 3 % v případě kapalných a plynných paliv.</w:t>
      </w:r>
    </w:p>
    <w:p w14:paraId="6DB8ECD2" w14:textId="77777777" w:rsidR="00A77B3E" w:rsidRPr="0030358C" w:rsidRDefault="00000000">
      <w:pPr>
        <w:pStyle w:val="49"/>
        <w:rPr>
          <w:rFonts w:ascii="Arial" w:hAnsi="Arial" w:cs="Arial"/>
          <w:strike/>
          <w:sz w:val="22"/>
          <w:szCs w:val="22"/>
        </w:rPr>
      </w:pPr>
      <w:r w:rsidRPr="0030358C">
        <w:rPr>
          <w:rFonts w:ascii="Arial" w:hAnsi="Arial" w:cs="Arial"/>
          <w:strike/>
          <w:sz w:val="22"/>
          <w:szCs w:val="22"/>
        </w:rPr>
        <w:t>Specifické emisní limity pro plynové turbíny a pístové spalovací motory jsou vztaženy k celkovému jmenovitému tepelnému příkonu a na normální stavové podmínky a suchý plyn při referenčním obsahu kyslíku v odpadním plynu 15 % a nevztahují se na záložní zdroje energie provozované méně než 300 provozních hodin ročně. Specifické emisní limity pro plynové turbíny se uplatní pouze na provozní stavy, při kterých je překročeno 70 % instalovaného tepelného příkonu. Plynovým motorem se rozumí motor s vnitřním spalováním pracující na principu Ottova cyklu a využívající zážehové zapalování paliva nebo v případě dvoupalivového motoru využívající vznětové zapalování paliva.</w:t>
      </w:r>
    </w:p>
    <w:p w14:paraId="6A6223E3"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1 - Specifické emisní limity pro spalovací stacionární zdroje, pro něž byla podána kompletní žádost o první povolení provozu, nebo obdobné povolení podle dřívějších právních předpisů, před 7. lednem 2013 a byly uvedeny do provozu nejpozději 7. ledna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571"/>
        <w:gridCol w:w="784"/>
        <w:gridCol w:w="1111"/>
        <w:gridCol w:w="718"/>
        <w:gridCol w:w="784"/>
        <w:gridCol w:w="784"/>
        <w:gridCol w:w="1111"/>
        <w:gridCol w:w="718"/>
        <w:gridCol w:w="811"/>
        <w:gridCol w:w="784"/>
        <w:gridCol w:w="1111"/>
        <w:gridCol w:w="718"/>
        <w:gridCol w:w="795"/>
      </w:tblGrid>
      <w:tr w:rsidR="00E40657" w14:paraId="6EAE8939"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207B61F"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CE2AA5E"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040CFB88" w14:textId="77777777">
        <w:tc>
          <w:tcPr>
            <w:tcW w:w="0" w:type="auto"/>
            <w:vMerge/>
            <w:tcBorders>
              <w:left w:val="single" w:sz="12" w:space="0" w:color="000000"/>
              <w:right w:val="single" w:sz="12" w:space="0" w:color="000000"/>
            </w:tcBorders>
            <w:vAlign w:val="center"/>
            <w:hideMark/>
          </w:tcPr>
          <w:p w14:paraId="38D34EF0"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D881126"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50-100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806AEF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100-300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373944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300 MW</w:t>
            </w:r>
          </w:p>
        </w:tc>
      </w:tr>
      <w:tr w:rsidR="00E40657" w14:paraId="615D848C" w14:textId="77777777">
        <w:tc>
          <w:tcPr>
            <w:tcW w:w="0" w:type="auto"/>
            <w:vMerge/>
            <w:tcBorders>
              <w:left w:val="single" w:sz="12" w:space="0" w:color="000000"/>
              <w:bottom w:val="single" w:sz="12" w:space="0" w:color="000000"/>
              <w:right w:val="single" w:sz="12" w:space="0" w:color="000000"/>
            </w:tcBorders>
            <w:vAlign w:val="center"/>
            <w:hideMark/>
          </w:tcPr>
          <w:p w14:paraId="011A54AC"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A2EE9C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4CC5AD5"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EC557E6"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3C9E714"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3B2998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5B95AF1"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2E2835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6D4F4B2"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2BC3FEF"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AED838C"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4DC75E4"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8A3721C"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r>
      <w:tr w:rsidR="00E40657" w14:paraId="19B6F76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BB2C9A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Pevné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4EFAB0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400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980A8F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vertAlign w:val="superscript"/>
              </w:rPr>
              <w:t>3),4)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7E011E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A1ADD5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3AB704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2FF743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3),4)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D1A37C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1DA7FF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66B38A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A698BC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3),4)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E23353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57BD717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r>
      <w:tr w:rsidR="00E40657" w14:paraId="17DFA4D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B3E69C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 xml:space="preserve">Biomasa podle </w:t>
            </w:r>
            <w:hyperlink w:history="1">
              <w:r w:rsidR="00A77B3E" w:rsidRPr="0030358C">
                <w:rPr>
                  <w:rFonts w:ascii="Arial" w:hAnsi="Arial" w:cs="Arial"/>
                  <w:strike/>
                  <w:sz w:val="22"/>
                  <w:szCs w:val="22"/>
                </w:rPr>
                <w:t>§ 2 písm. a)</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46D1A6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89B188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vertAlign w:val="superscript"/>
              </w:rPr>
              <w:t>3),4)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10963A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040479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D06805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D7623F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r w:rsidRPr="0030358C">
              <w:rPr>
                <w:rFonts w:ascii="Arial" w:hAnsi="Arial" w:cs="Arial"/>
                <w:strike/>
                <w:sz w:val="22"/>
                <w:szCs w:val="22"/>
                <w:vertAlign w:val="superscript"/>
              </w:rPr>
              <w:t>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84F2BA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049721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CA9C0F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75C352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76EAFF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6C6272E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r>
      <w:tr w:rsidR="00E40657" w14:paraId="658FC28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9C4D07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Rašelina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E7E035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3536E7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vertAlign w:val="superscript"/>
              </w:rPr>
              <w:t>3),4)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2C070E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BB7A92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FE029B6"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5AD09F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r w:rsidRPr="0030358C">
              <w:rPr>
                <w:rFonts w:ascii="Arial" w:hAnsi="Arial" w:cs="Arial"/>
                <w:strike/>
                <w:sz w:val="22"/>
                <w:szCs w:val="22"/>
                <w:vertAlign w:val="superscript"/>
              </w:rPr>
              <w:t>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A64940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F8F08E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D55B9F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CCC4B8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479DA6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51BD486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p>
        </w:tc>
      </w:tr>
      <w:tr w:rsidR="00E40657" w14:paraId="49FE976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727965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Kapalné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4BEFF1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E4BEDE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450</w:t>
            </w:r>
            <w:r w:rsidRPr="0030358C">
              <w:rPr>
                <w:rFonts w:ascii="Arial" w:hAnsi="Arial" w:cs="Arial"/>
                <w:strike/>
                <w:sz w:val="22"/>
                <w:szCs w:val="22"/>
                <w:vertAlign w:val="superscript"/>
              </w:rPr>
              <w:t>3),4),5)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1F21EF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099D89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vertAlign w:val="superscript"/>
              </w:rPr>
              <w:t>8)</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9171F4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717BB6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3),4),5)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47CA19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25</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C4F71B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vertAlign w:val="superscript"/>
              </w:rPr>
              <w:t>8</w:t>
            </w: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ECAA0A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E81BD1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vertAlign w:val="superscript"/>
              </w:rPr>
              <w:t>3),4),5)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23F414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5FB8A77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vertAlign w:val="superscript"/>
              </w:rPr>
              <w:t>8)</w:t>
            </w:r>
          </w:p>
        </w:tc>
      </w:tr>
      <w:tr w:rsidR="00E40657" w14:paraId="4B208D7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702B28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lastRenderedPageBreak/>
              <w:t>Zkapalněný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D874DF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AC6D8A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972ED1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8FE647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260422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1D5C83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16F238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FB3B7D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CA0378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97F050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8F0558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570DE53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r>
      <w:tr w:rsidR="00E40657" w14:paraId="1BF16E2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AE0A19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6A40C0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E6D364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EC88A0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E63090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85E221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E4EB05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BCEAC6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2B7CB5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001D5F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179AE56"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421D1A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307537F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r>
      <w:tr w:rsidR="00E40657" w14:paraId="08AB3BA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81AA89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1C1FF4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A6ADB2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067106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CED556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7F302C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0BF41E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44FDCB6"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6D308E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908ACF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CE0DBB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95A071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1DCE269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r>
      <w:tr w:rsidR="00E40657" w14:paraId="1F165E4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C1C7CD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Koksárenský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BEE11A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72833C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C57E3D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2CB801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3FD26C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1C4896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BD77B8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4AB88D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3AE92C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B41A5E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0854416"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5391E54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r>
      <w:tr w:rsidR="00E40657" w14:paraId="40C6BC3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82B1F6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Vysokopecní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95FD3C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C4C900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03F07E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D1E35AE"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AFE201E"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222D27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CF05E6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C63042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DA2A7AE"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407867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FBD7AC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131C53C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r>
      <w:tr w:rsidR="00E40657" w14:paraId="7C5C020D"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32EF89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 ze zplyňování rafinérských zbytků</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5C03DA06"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1AD00D3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3A97EC8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715A6A1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34A5974E"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4FAA4AC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53046E8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6C119CB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7AB5161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35</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101DE18E"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vertAlign w:val="superscript"/>
              </w:rPr>
              <w:t>5),6)</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6562ACA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hideMark/>
          </w:tcPr>
          <w:p w14:paraId="1587232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100</w:t>
            </w:r>
          </w:p>
        </w:tc>
      </w:tr>
    </w:tbl>
    <w:p w14:paraId="70C7B517" w14:textId="77777777" w:rsidR="00A77B3E" w:rsidRPr="0030358C" w:rsidRDefault="00A77B3E">
      <w:pPr>
        <w:pStyle w:val="16"/>
        <w:rPr>
          <w:rFonts w:ascii="Arial" w:hAnsi="Arial" w:cs="Arial"/>
          <w:strike/>
          <w:sz w:val="22"/>
          <w:szCs w:val="22"/>
        </w:rPr>
      </w:pPr>
    </w:p>
    <w:p w14:paraId="387B23AC" w14:textId="77777777" w:rsidR="00A77B3E" w:rsidRPr="0030358C" w:rsidRDefault="00000000">
      <w:pPr>
        <w:pStyle w:val="16"/>
        <w:rPr>
          <w:rFonts w:ascii="Arial" w:hAnsi="Arial" w:cs="Arial"/>
          <w:strike/>
          <w:sz w:val="22"/>
          <w:szCs w:val="22"/>
        </w:rPr>
      </w:pPr>
      <w:r w:rsidRPr="0030358C">
        <w:rPr>
          <w:rFonts w:ascii="Arial" w:hAnsi="Arial" w:cs="Arial"/>
          <w:strike/>
          <w:sz w:val="22"/>
          <w:szCs w:val="22"/>
        </w:rPr>
        <w:t>Vysvětlivky:</w:t>
      </w:r>
    </w:p>
    <w:p w14:paraId="6714621C" w14:textId="77777777" w:rsidR="00A77B3E" w:rsidRPr="0030358C" w:rsidRDefault="00000000">
      <w:pPr>
        <w:pStyle w:val="50"/>
        <w:rPr>
          <w:rFonts w:ascii="Arial" w:hAnsi="Arial" w:cs="Arial"/>
          <w:strike/>
          <w:sz w:val="22"/>
          <w:szCs w:val="22"/>
        </w:rPr>
      </w:pPr>
      <w:r w:rsidRPr="0030358C">
        <w:rPr>
          <w:rFonts w:ascii="Arial" w:hAnsi="Arial" w:cs="Arial"/>
          <w:strike/>
          <w:sz w:val="22"/>
          <w:szCs w:val="22"/>
        </w:rPr>
        <w:t>1)    Na spalovací stacionární zdroje, které nejsou v provozu více než 1 500 provozních hodin za rok vyjádřených jako klouzavý průměr za 5 let, kterým bylo vydáno povolení provozu nebo jiné obdobné povolení podle dřívějších právních předpisů před 27. listopadem 2002 nebo jejichž provozovatel podal úplnou žádost o povolení provozu před tímto datem a byly uvedeny do provozu nejpozději 27. listopadem 2003, se vztahují následující specifické emisní limity pro SO2.</w:t>
      </w:r>
    </w:p>
    <w:p w14:paraId="1404CA34"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Při spalování pevných paliv specifický emisní limit 800 mg.m</w:t>
      </w:r>
      <w:r w:rsidRPr="0030358C">
        <w:rPr>
          <w:rFonts w:ascii="Arial" w:hAnsi="Arial" w:cs="Arial"/>
          <w:strike/>
          <w:sz w:val="22"/>
          <w:szCs w:val="22"/>
          <w:vertAlign w:val="superscript"/>
        </w:rPr>
        <w:t>-3</w:t>
      </w:r>
      <w:r w:rsidRPr="0030358C">
        <w:rPr>
          <w:rFonts w:ascii="Arial" w:hAnsi="Arial" w:cs="Arial"/>
          <w:strike/>
          <w:sz w:val="22"/>
          <w:szCs w:val="22"/>
        </w:rPr>
        <w:t>, při spalování kapalných paliv ve spalovacích stacionárních zdrojích o celkovém jmenovitém tepelném příkonu nepřekračujícím 300 MW specifický emisní limit 850 mg.m</w:t>
      </w:r>
      <w:r w:rsidRPr="0030358C">
        <w:rPr>
          <w:rFonts w:ascii="Arial" w:hAnsi="Arial" w:cs="Arial"/>
          <w:strike/>
          <w:sz w:val="22"/>
          <w:szCs w:val="22"/>
          <w:vertAlign w:val="superscript"/>
        </w:rPr>
        <w:t>-3</w:t>
      </w:r>
      <w:r w:rsidRPr="0030358C">
        <w:rPr>
          <w:rFonts w:ascii="Arial" w:hAnsi="Arial" w:cs="Arial"/>
          <w:strike/>
          <w:sz w:val="22"/>
          <w:szCs w:val="22"/>
        </w:rPr>
        <w:t xml:space="preserve"> a v případě spalovacích stacionárních zdrojů o celkovém jmenovitém tepelném příkonu vyšším než 300 MW specifický emisní limit 400 mg.m</w:t>
      </w:r>
      <w:r w:rsidRPr="0030358C">
        <w:rPr>
          <w:rFonts w:ascii="Arial" w:hAnsi="Arial" w:cs="Arial"/>
          <w:strike/>
          <w:sz w:val="22"/>
          <w:szCs w:val="22"/>
          <w:vertAlign w:val="superscript"/>
        </w:rPr>
        <w:t>-3</w:t>
      </w:r>
      <w:r w:rsidRPr="0030358C">
        <w:rPr>
          <w:rFonts w:ascii="Arial" w:hAnsi="Arial" w:cs="Arial"/>
          <w:strike/>
          <w:sz w:val="22"/>
          <w:szCs w:val="22"/>
        </w:rPr>
        <w:t>.</w:t>
      </w:r>
    </w:p>
    <w:p w14:paraId="16CDF44D"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Specifické emisní limity uvedené v této poznámce platí také pro jednotlivé spalovací stacionární zdroje, pokud jsou odpadní plyny odváděny odděleně jedním průduchem komína, a které nejsou v provozu více než 1500 provozních hodin za rok, vyjádřeno jako klouzavý průměr za dobu 5 let, pokud je zjišťování emisí prováděno odděleně pro každý takový komínový průduch.</w:t>
      </w:r>
    </w:p>
    <w:p w14:paraId="7621E56B"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2)    Na spalovací stacionární zdroje, kterým bylo vydáno povolení provozu nebo jiné obdobné povolení podle dřívějších právních předpisů před 27. listopadem 2002 nebo jejichž provozovatel podal úplnou žádost o povolení provozu před tímto datem a byly uvedeny do provozu nejpozději 27. listopadem 2003, se vztahuje specifický emisní limit pro SO</w:t>
      </w:r>
      <w:r w:rsidRPr="0030358C">
        <w:rPr>
          <w:rFonts w:ascii="Arial" w:hAnsi="Arial" w:cs="Arial"/>
          <w:strike/>
          <w:sz w:val="22"/>
          <w:szCs w:val="22"/>
          <w:vertAlign w:val="subscript"/>
        </w:rPr>
        <w:t>2</w:t>
      </w:r>
      <w:r w:rsidRPr="0030358C">
        <w:rPr>
          <w:rFonts w:ascii="Arial" w:hAnsi="Arial" w:cs="Arial"/>
          <w:strike/>
          <w:sz w:val="22"/>
          <w:szCs w:val="22"/>
        </w:rPr>
        <w:t xml:space="preserve"> 800 mg.m</w:t>
      </w:r>
      <w:r w:rsidRPr="0030358C">
        <w:rPr>
          <w:rFonts w:ascii="Arial" w:hAnsi="Arial" w:cs="Arial"/>
          <w:strike/>
          <w:sz w:val="22"/>
          <w:szCs w:val="22"/>
          <w:vertAlign w:val="superscript"/>
        </w:rPr>
        <w:t>-3</w:t>
      </w:r>
      <w:r w:rsidRPr="0030358C">
        <w:rPr>
          <w:rFonts w:ascii="Arial" w:hAnsi="Arial" w:cs="Arial"/>
          <w:strike/>
          <w:sz w:val="22"/>
          <w:szCs w:val="22"/>
        </w:rPr>
        <w:t>.</w:t>
      </w:r>
    </w:p>
    <w:p w14:paraId="0D6B2399"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3)    Na spalovací stacionární zdroje, které nejsou v provozu více než 1 500 provozních hodin za rok vyjádřených jako klouzavý průměr za 5 let se vztahují následující specifické emisní limity pro NO</w:t>
      </w:r>
      <w:r w:rsidRPr="0030358C">
        <w:rPr>
          <w:rFonts w:ascii="Arial" w:hAnsi="Arial" w:cs="Arial"/>
          <w:strike/>
          <w:sz w:val="22"/>
          <w:szCs w:val="22"/>
          <w:vertAlign w:val="subscript"/>
        </w:rPr>
        <w:t>x</w:t>
      </w:r>
      <w:r w:rsidRPr="0030358C">
        <w:rPr>
          <w:rFonts w:ascii="Arial" w:hAnsi="Arial" w:cs="Arial"/>
          <w:strike/>
          <w:sz w:val="22"/>
          <w:szCs w:val="22"/>
        </w:rPr>
        <w:t>.</w:t>
      </w:r>
    </w:p>
    <w:p w14:paraId="62416372"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 xml:space="preserve">Při spalování kapalných paliv ve spalovacích stacionárních zdrojích o celkovém jmenovitém tepelném příkonu vyšším než 500 MW, kterým bylo vydáno první povolení provozu, nebo obdobné povolení podle dřívějších právních předpisů, před 27. listopadem 2002 nebo pro něž byla podána </w:t>
      </w:r>
      <w:r w:rsidRPr="0030358C">
        <w:rPr>
          <w:rFonts w:ascii="Arial" w:hAnsi="Arial" w:cs="Arial"/>
          <w:strike/>
          <w:sz w:val="22"/>
          <w:szCs w:val="22"/>
        </w:rPr>
        <w:lastRenderedPageBreak/>
        <w:t>kompletní žádost o první povolení provozu před tímto datem a byly uvedeny do provozu nejpozději 27. listopadu 2003, specifický emisní limit 400 mg.m</w:t>
      </w:r>
      <w:r w:rsidRPr="0030358C">
        <w:rPr>
          <w:rFonts w:ascii="Arial" w:hAnsi="Arial" w:cs="Arial"/>
          <w:strike/>
          <w:sz w:val="22"/>
          <w:szCs w:val="22"/>
          <w:vertAlign w:val="superscript"/>
        </w:rPr>
        <w:t>-3</w:t>
      </w:r>
      <w:r w:rsidRPr="0030358C">
        <w:rPr>
          <w:rFonts w:ascii="Arial" w:hAnsi="Arial" w:cs="Arial"/>
          <w:strike/>
          <w:sz w:val="22"/>
          <w:szCs w:val="22"/>
        </w:rPr>
        <w:t>.</w:t>
      </w:r>
    </w:p>
    <w:p w14:paraId="0190F578"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Při spalování pevných paliv ve spalovacích stacionárních zdrojích o celkovém jmenovitém tepelném příkonu vyšším než 500 MW, kterým by lo vydáno první povolení provozu, nebo obdobné povolení podle dřívějších právních předpisů, před 1. červencem 1987, specifický emisní limit 450 mg.m</w:t>
      </w:r>
      <w:r w:rsidRPr="0030358C">
        <w:rPr>
          <w:rFonts w:ascii="Arial" w:hAnsi="Arial" w:cs="Arial"/>
          <w:strike/>
          <w:sz w:val="22"/>
          <w:szCs w:val="22"/>
          <w:vertAlign w:val="superscript"/>
        </w:rPr>
        <w:t>-3</w:t>
      </w:r>
      <w:r w:rsidRPr="0030358C">
        <w:rPr>
          <w:rFonts w:ascii="Arial" w:hAnsi="Arial" w:cs="Arial"/>
          <w:strike/>
          <w:sz w:val="22"/>
          <w:szCs w:val="22"/>
        </w:rPr>
        <w:t>.</w:t>
      </w:r>
    </w:p>
    <w:p w14:paraId="3125A308"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Při spalování pevných nebo kapalných paliv ve spalovacích stacionárních zdrojích o celkovém jmenovitém tepelném příkonu nepřesahujícím 500 MW,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specifický emisní limit 450 mg.m</w:t>
      </w:r>
      <w:r w:rsidRPr="0030358C">
        <w:rPr>
          <w:rFonts w:ascii="Arial" w:hAnsi="Arial" w:cs="Arial"/>
          <w:strike/>
          <w:sz w:val="22"/>
          <w:szCs w:val="22"/>
          <w:vertAlign w:val="superscript"/>
        </w:rPr>
        <w:t>-3</w:t>
      </w:r>
      <w:r w:rsidRPr="0030358C">
        <w:rPr>
          <w:rFonts w:ascii="Arial" w:hAnsi="Arial" w:cs="Arial"/>
          <w:strike/>
          <w:sz w:val="22"/>
          <w:szCs w:val="22"/>
        </w:rPr>
        <w:t>.</w:t>
      </w:r>
    </w:p>
    <w:p w14:paraId="0BEC4AB8"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Specifické emisní limity uvedené v této poznámce platí také pro jednotlivé spalovací stacionární zdroje, pokud jsou odpadní plyny odváděny odděleně jedním průduchem komína, a které nejsou v provozu více než 1500 provozních hodin za rok, vyjádřeno jako klouzavý průměr za dobu 5 let, pokud je zjišťování emisí prováděno odděleně pro každý takový komínový průduch.</w:t>
      </w:r>
    </w:p>
    <w:p w14:paraId="02FB2789"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4)    Na spalování práškového hnědého uhlí ve spalovacích stacionárních zdrojích o celkovém jmenovitém tepelném příkonu nepřekračujícím 100 MW se vztahuje specifický emisní limit pro NO</w:t>
      </w:r>
      <w:r w:rsidRPr="0030358C">
        <w:rPr>
          <w:rFonts w:ascii="Arial" w:hAnsi="Arial" w:cs="Arial"/>
          <w:strike/>
          <w:sz w:val="22"/>
          <w:szCs w:val="22"/>
          <w:vertAlign w:val="subscript"/>
        </w:rPr>
        <w:t>x</w:t>
      </w:r>
      <w:r w:rsidRPr="0030358C">
        <w:rPr>
          <w:rFonts w:ascii="Arial" w:hAnsi="Arial" w:cs="Arial"/>
          <w:strike/>
          <w:sz w:val="22"/>
          <w:szCs w:val="22"/>
        </w:rPr>
        <w:t xml:space="preserve"> 450 mg.m</w:t>
      </w:r>
      <w:r w:rsidRPr="0030358C">
        <w:rPr>
          <w:rFonts w:ascii="Arial" w:hAnsi="Arial" w:cs="Arial"/>
          <w:strike/>
          <w:sz w:val="22"/>
          <w:szCs w:val="22"/>
          <w:vertAlign w:val="superscript"/>
        </w:rPr>
        <w:t>-3</w:t>
      </w:r>
      <w:r w:rsidRPr="0030358C">
        <w:rPr>
          <w:rFonts w:ascii="Arial" w:hAnsi="Arial" w:cs="Arial"/>
          <w:strike/>
          <w:sz w:val="22"/>
          <w:szCs w:val="22"/>
        </w:rPr>
        <w:t>.</w:t>
      </w:r>
    </w:p>
    <w:p w14:paraId="782874D1"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Na spalování pevných a kapalných zbytků pocházejících z destilace či zpracování surové ropy pro vlastní spotřebu ve spalovacích stacionárních zdrojích o celkovém jmenovitém tepelném příkonu nepřesahujícím 500 MW,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450 mg.m</w:t>
      </w:r>
      <w:r w:rsidRPr="0030358C">
        <w:rPr>
          <w:rFonts w:ascii="Arial" w:hAnsi="Arial" w:cs="Arial"/>
          <w:strike/>
          <w:sz w:val="22"/>
          <w:szCs w:val="22"/>
          <w:vertAlign w:val="superscript"/>
        </w:rPr>
        <w:t>-3</w:t>
      </w:r>
      <w:r w:rsidRPr="0030358C">
        <w:rPr>
          <w:rFonts w:ascii="Arial" w:hAnsi="Arial" w:cs="Arial"/>
          <w:strike/>
          <w:sz w:val="22"/>
          <w:szCs w:val="22"/>
        </w:rPr>
        <w:t>.</w:t>
      </w:r>
    </w:p>
    <w:p w14:paraId="43166768"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Na spalování nekomerčních kapalných zbytků z chemické výroby pro vlastní spotřebu ve spalovacích stacionárních zdrojích o celkovém jmenovitém tepelném příkonu nepřesahujícím 500 MW v chemických zařízeních,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450 mg.m</w:t>
      </w:r>
      <w:r w:rsidRPr="0030358C">
        <w:rPr>
          <w:rFonts w:ascii="Arial" w:hAnsi="Arial" w:cs="Arial"/>
          <w:strike/>
          <w:sz w:val="22"/>
          <w:szCs w:val="22"/>
          <w:vertAlign w:val="superscript"/>
        </w:rPr>
        <w:t>-3</w:t>
      </w:r>
      <w:r w:rsidRPr="0030358C">
        <w:rPr>
          <w:rFonts w:ascii="Arial" w:hAnsi="Arial" w:cs="Arial"/>
          <w:strike/>
          <w:sz w:val="22"/>
          <w:szCs w:val="22"/>
        </w:rPr>
        <w:t>.</w:t>
      </w:r>
    </w:p>
    <w:p w14:paraId="4D89E21D"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5)    Pro plynové turbíny, včetně plynových turbín s kombinovaným cyklem, spalující jako kapalná paliva lehké a střední destiláty platí specifický emisní limit pro NO</w:t>
      </w:r>
      <w:r w:rsidRPr="0030358C">
        <w:rPr>
          <w:rFonts w:ascii="Arial" w:hAnsi="Arial" w:cs="Arial"/>
          <w:strike/>
          <w:sz w:val="22"/>
          <w:szCs w:val="22"/>
          <w:vertAlign w:val="subscript"/>
        </w:rPr>
        <w:t>x</w:t>
      </w:r>
      <w:r w:rsidRPr="0030358C">
        <w:rPr>
          <w:rFonts w:ascii="Arial" w:hAnsi="Arial" w:cs="Arial"/>
          <w:strike/>
          <w:sz w:val="22"/>
          <w:szCs w:val="22"/>
        </w:rPr>
        <w:t xml:space="preserve"> 90 mg.m</w:t>
      </w:r>
      <w:r w:rsidRPr="0030358C">
        <w:rPr>
          <w:rFonts w:ascii="Arial" w:hAnsi="Arial" w:cs="Arial"/>
          <w:strike/>
          <w:sz w:val="22"/>
          <w:szCs w:val="22"/>
          <w:vertAlign w:val="superscript"/>
        </w:rPr>
        <w:t>-3</w:t>
      </w:r>
      <w:r w:rsidRPr="0030358C">
        <w:rPr>
          <w:rFonts w:ascii="Arial" w:hAnsi="Arial" w:cs="Arial"/>
          <w:strike/>
          <w:sz w:val="22"/>
          <w:szCs w:val="22"/>
        </w:rPr>
        <w:t>, 120 mg.m</w:t>
      </w:r>
      <w:r w:rsidRPr="0030358C">
        <w:rPr>
          <w:rFonts w:ascii="Arial" w:hAnsi="Arial" w:cs="Arial"/>
          <w:strike/>
          <w:sz w:val="22"/>
          <w:szCs w:val="22"/>
          <w:vertAlign w:val="superscript"/>
        </w:rPr>
        <w:t>-3</w:t>
      </w:r>
      <w:r w:rsidRPr="0030358C">
        <w:rPr>
          <w:rFonts w:ascii="Arial" w:hAnsi="Arial" w:cs="Arial"/>
          <w:strike/>
          <w:sz w:val="22"/>
          <w:szCs w:val="22"/>
        </w:rPr>
        <w:t xml:space="preserve"> pokud spalují jiné plyny a 50 mg.m</w:t>
      </w:r>
      <w:r w:rsidRPr="0030358C">
        <w:rPr>
          <w:rFonts w:ascii="Arial" w:hAnsi="Arial" w:cs="Arial"/>
          <w:strike/>
          <w:sz w:val="22"/>
          <w:szCs w:val="22"/>
          <w:vertAlign w:val="superscript"/>
        </w:rPr>
        <w:t>-3</w:t>
      </w:r>
      <w:r w:rsidRPr="0030358C">
        <w:rPr>
          <w:rFonts w:ascii="Arial" w:hAnsi="Arial" w:cs="Arial"/>
          <w:strike/>
          <w:sz w:val="22"/>
          <w:szCs w:val="22"/>
        </w:rPr>
        <w:t xml:space="preserve"> pokud spalují zemní plyn.</w:t>
      </w:r>
    </w:p>
    <w:p w14:paraId="3DB44A80"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Pro plynové turbíny pracující v základním zatížení při kombinované výrobu tepla a elektřiny s celkovou účinností vyšší než 75 %, s kombinovaným cyklem s roční průměrnou celkovou elektrickou účinností vyšší než 55 % a pro mechanický pohon (plynové turbíny pohánějící kompresory rozvodné sítě dodávek plynu veřejnosti) platí specifický emisní limit pro NO</w:t>
      </w:r>
      <w:r w:rsidRPr="0030358C">
        <w:rPr>
          <w:rFonts w:ascii="Arial" w:hAnsi="Arial" w:cs="Arial"/>
          <w:strike/>
          <w:sz w:val="22"/>
          <w:szCs w:val="22"/>
          <w:vertAlign w:val="subscript"/>
        </w:rPr>
        <w:t>x</w:t>
      </w:r>
      <w:r w:rsidRPr="0030358C">
        <w:rPr>
          <w:rFonts w:ascii="Arial" w:hAnsi="Arial" w:cs="Arial"/>
          <w:strike/>
          <w:sz w:val="22"/>
          <w:szCs w:val="22"/>
        </w:rPr>
        <w:t xml:space="preserve"> 75 mg.m</w:t>
      </w:r>
      <w:r w:rsidRPr="0030358C">
        <w:rPr>
          <w:rFonts w:ascii="Arial" w:hAnsi="Arial" w:cs="Arial"/>
          <w:strike/>
          <w:sz w:val="22"/>
          <w:szCs w:val="22"/>
          <w:vertAlign w:val="superscript"/>
        </w:rPr>
        <w:t>-3</w:t>
      </w:r>
      <w:r w:rsidRPr="0030358C">
        <w:rPr>
          <w:rFonts w:ascii="Arial" w:hAnsi="Arial" w:cs="Arial"/>
          <w:strike/>
          <w:sz w:val="22"/>
          <w:szCs w:val="22"/>
        </w:rPr>
        <w:t>.</w:t>
      </w:r>
    </w:p>
    <w:p w14:paraId="489AF3C8"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t>Pro plynové turbíny s jednoduchým cyklem pracující v základním zatížení, které mají účinnost větší než 35 % (stanovenou na základě podmínek Mezinárodní organizace pro normalizaci ISO) platí emisní limit ve výši 50xŋ/35, kde n je účinnost plynové turbíny za podmínek základního zatížení podle ISO vyjádřená v procentech.</w:t>
      </w:r>
    </w:p>
    <w:p w14:paraId="7B870CFB" w14:textId="77777777" w:rsidR="00A77B3E" w:rsidRPr="0030358C" w:rsidRDefault="00000000">
      <w:pPr>
        <w:pStyle w:val="51"/>
        <w:rPr>
          <w:rFonts w:ascii="Arial" w:hAnsi="Arial" w:cs="Arial"/>
          <w:strike/>
          <w:sz w:val="22"/>
          <w:szCs w:val="22"/>
        </w:rPr>
      </w:pPr>
      <w:r w:rsidRPr="0030358C">
        <w:rPr>
          <w:rFonts w:ascii="Arial" w:hAnsi="Arial" w:cs="Arial"/>
          <w:strike/>
          <w:sz w:val="22"/>
          <w:szCs w:val="22"/>
        </w:rPr>
        <w:lastRenderedPageBreak/>
        <w:t>Pro plynové turbíny, včetně plynových turbín s kombinovaným cyklem,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a které nejsou v provozu více než 1500 provozních hodin za rok, vyjádřeno jako klouzavý průměr za dobu 5 let, platí při spalování zemního plynu specifický emisní limit 150 mg.m</w:t>
      </w:r>
      <w:r w:rsidRPr="0030358C">
        <w:rPr>
          <w:rFonts w:ascii="Arial" w:hAnsi="Arial" w:cs="Arial"/>
          <w:strike/>
          <w:sz w:val="22"/>
          <w:szCs w:val="22"/>
          <w:vertAlign w:val="superscript"/>
        </w:rPr>
        <w:t>-3</w:t>
      </w:r>
      <w:r w:rsidRPr="0030358C">
        <w:rPr>
          <w:rFonts w:ascii="Arial" w:hAnsi="Arial" w:cs="Arial"/>
          <w:strike/>
          <w:sz w:val="22"/>
          <w:szCs w:val="22"/>
        </w:rPr>
        <w:t xml:space="preserve"> a při spalování ostatních plynných paliv nebo kapalných paliv specifický emisní limit 200 mg.m</w:t>
      </w:r>
      <w:r w:rsidRPr="0030358C">
        <w:rPr>
          <w:rFonts w:ascii="Arial" w:hAnsi="Arial" w:cs="Arial"/>
          <w:strike/>
          <w:sz w:val="22"/>
          <w:szCs w:val="22"/>
          <w:vertAlign w:val="superscript"/>
        </w:rPr>
        <w:t>-3</w:t>
      </w:r>
      <w:r w:rsidRPr="0030358C">
        <w:rPr>
          <w:rFonts w:ascii="Arial" w:hAnsi="Arial" w:cs="Arial"/>
          <w:strike/>
          <w:sz w:val="22"/>
          <w:szCs w:val="22"/>
        </w:rPr>
        <w:t>. Specifické emisní limity uvedené v tomto odstavci této poznámce platí také pro jednotlivé plynové turbíny, pokud jsou odpadní plyny odváděny odděleně jedním průduchem komína, a které nejsou v provozu více než 1500 provozních hodin za rok, vyjádřeno jako klouzavý průměr za dobu 5 let, pokud je zjišťování emisí prováděno odděleně pro každý takový komínový průduch.</w:t>
      </w:r>
    </w:p>
    <w:p w14:paraId="0709E469"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6)    Na spalovací stacionární zdroje, s výjimkou plynových turbín a pístových spalovacích motorů, o celkovém jmenovitém tepelném příkonu nepřesahujícím 500 MW, využívající jiné palivo než zemní plyn,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300 mg.m</w:t>
      </w:r>
      <w:r w:rsidRPr="0030358C">
        <w:rPr>
          <w:rFonts w:ascii="Arial" w:hAnsi="Arial" w:cs="Arial"/>
          <w:strike/>
          <w:sz w:val="22"/>
          <w:szCs w:val="22"/>
          <w:vertAlign w:val="superscript"/>
        </w:rPr>
        <w:t>-3</w:t>
      </w:r>
      <w:r w:rsidRPr="0030358C">
        <w:rPr>
          <w:rFonts w:ascii="Arial" w:hAnsi="Arial" w:cs="Arial"/>
          <w:strike/>
          <w:sz w:val="22"/>
          <w:szCs w:val="22"/>
        </w:rPr>
        <w:t>.</w:t>
      </w:r>
    </w:p>
    <w:p w14:paraId="218C40ED"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7)    Na spalování pevných a kapalných zbytků pocházejících z destilace či zpracování surové ropy pro vlastní spotřebu ve spalovacích stacionárních zdrojích,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pro TZL 50 mg.m</w:t>
      </w:r>
      <w:r w:rsidRPr="0030358C">
        <w:rPr>
          <w:rFonts w:ascii="Arial" w:hAnsi="Arial" w:cs="Arial"/>
          <w:strike/>
          <w:sz w:val="22"/>
          <w:szCs w:val="22"/>
          <w:vertAlign w:val="superscript"/>
        </w:rPr>
        <w:t>-3</w:t>
      </w:r>
      <w:r w:rsidRPr="0030358C">
        <w:rPr>
          <w:rFonts w:ascii="Arial" w:hAnsi="Arial" w:cs="Arial"/>
          <w:strike/>
          <w:sz w:val="22"/>
          <w:szCs w:val="22"/>
        </w:rPr>
        <w:t>.</w:t>
      </w:r>
    </w:p>
    <w:p w14:paraId="1CA38117" w14:textId="77777777" w:rsidR="00A77B3E" w:rsidRPr="0030358C" w:rsidRDefault="00000000">
      <w:pPr>
        <w:pStyle w:val="53"/>
        <w:rPr>
          <w:rFonts w:ascii="Arial" w:hAnsi="Arial" w:cs="Arial"/>
          <w:strike/>
          <w:sz w:val="22"/>
          <w:szCs w:val="22"/>
        </w:rPr>
      </w:pPr>
      <w:r w:rsidRPr="0030358C">
        <w:rPr>
          <w:rFonts w:ascii="Arial" w:hAnsi="Arial" w:cs="Arial"/>
          <w:strike/>
          <w:sz w:val="22"/>
          <w:szCs w:val="22"/>
        </w:rPr>
        <w:t>8)    Pro plynové turbíny, včetně plynových turbín s kombinovaným cyklem, spalující jako kapalná paliva lehké a střední destiláty platí specifický emisní limit 100 mg.m</w:t>
      </w:r>
      <w:r w:rsidRPr="0030358C">
        <w:rPr>
          <w:rFonts w:ascii="Arial" w:hAnsi="Arial" w:cs="Arial"/>
          <w:strike/>
          <w:sz w:val="22"/>
          <w:szCs w:val="22"/>
          <w:vertAlign w:val="superscript"/>
        </w:rPr>
        <w:t>-3</w:t>
      </w:r>
      <w:r w:rsidRPr="0030358C">
        <w:rPr>
          <w:rFonts w:ascii="Arial" w:hAnsi="Arial" w:cs="Arial"/>
          <w:strike/>
          <w:sz w:val="22"/>
          <w:szCs w:val="22"/>
        </w:rPr>
        <w:t>.</w:t>
      </w:r>
    </w:p>
    <w:p w14:paraId="479C23A6"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2 - Specifické emisní limity pro spalovací stacionární zdroje, pro něž byla podána kompletní žádost o první povolení provozu 7. ledna 2013 nebo později nebo byly uvedeny do provozu po 7. lednu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082"/>
        <w:gridCol w:w="710"/>
        <w:gridCol w:w="784"/>
        <w:gridCol w:w="718"/>
        <w:gridCol w:w="784"/>
        <w:gridCol w:w="784"/>
        <w:gridCol w:w="722"/>
        <w:gridCol w:w="718"/>
        <w:gridCol w:w="784"/>
        <w:gridCol w:w="784"/>
        <w:gridCol w:w="784"/>
        <w:gridCol w:w="718"/>
        <w:gridCol w:w="795"/>
      </w:tblGrid>
      <w:tr w:rsidR="00E40657" w14:paraId="148FEA93"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hideMark/>
          </w:tcPr>
          <w:p w14:paraId="4C107E68" w14:textId="77777777" w:rsidR="00A77B3E" w:rsidRPr="0030358C" w:rsidRDefault="00000000">
            <w:pPr>
              <w:pStyle w:val="16"/>
              <w:overflowPunct w:val="0"/>
              <w:jc w:val="left"/>
              <w:rPr>
                <w:rFonts w:ascii="Arial" w:hAnsi="Arial" w:cs="Arial"/>
                <w:b/>
                <w:bCs/>
                <w:strike/>
                <w:sz w:val="22"/>
                <w:szCs w:val="22"/>
              </w:rPr>
            </w:pPr>
            <w:r w:rsidRPr="0030358C">
              <w:rPr>
                <w:rFonts w:ascii="Arial" w:hAnsi="Arial" w:cs="Arial"/>
                <w:b/>
                <w:bCs/>
                <w:strike/>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FCE333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0F8A6FD5" w14:textId="77777777">
        <w:tc>
          <w:tcPr>
            <w:tcW w:w="0" w:type="auto"/>
            <w:vMerge/>
            <w:tcBorders>
              <w:left w:val="single" w:sz="12" w:space="0" w:color="000000"/>
              <w:right w:val="single" w:sz="12" w:space="0" w:color="000000"/>
            </w:tcBorders>
            <w:vAlign w:val="center"/>
            <w:hideMark/>
          </w:tcPr>
          <w:p w14:paraId="7026CD36"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B9B7938"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50-100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8622B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100-300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2EE0032"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300 MW</w:t>
            </w:r>
          </w:p>
        </w:tc>
      </w:tr>
      <w:tr w:rsidR="00E40657" w14:paraId="236E6543" w14:textId="77777777">
        <w:tc>
          <w:tcPr>
            <w:tcW w:w="0" w:type="auto"/>
            <w:vMerge/>
            <w:tcBorders>
              <w:left w:val="single" w:sz="12" w:space="0" w:color="000000"/>
              <w:bottom w:val="single" w:sz="12" w:space="0" w:color="000000"/>
              <w:right w:val="single" w:sz="12" w:space="0" w:color="000000"/>
            </w:tcBorders>
            <w:vAlign w:val="center"/>
            <w:hideMark/>
          </w:tcPr>
          <w:p w14:paraId="4CF106E9"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5A2EBE4"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6405C1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E1A15D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9C5462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0222177"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86A820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90B68C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5BEF2BA"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72CD5F"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43D7C7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5DCE1F5"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5D55017"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r>
      <w:tr w:rsidR="00E40657" w14:paraId="681C941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D2F8C3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Pevné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421E6E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3A4011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rPr>
              <w:br/>
              <w:t>400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5CB7D2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A8DA6F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74B7BD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5D9E73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3878D6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248AE9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95FA32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rPr>
              <w:br/>
              <w:t>200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5034BD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rPr>
              <w:br/>
              <w:t>200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A8138D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4A6D8F3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r>
      <w:tr w:rsidR="00E40657" w14:paraId="540936A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B69FF0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 xml:space="preserve">Biomasa podle </w:t>
            </w:r>
            <w:hyperlink w:history="1">
              <w:r w:rsidR="00A77B3E" w:rsidRPr="0030358C">
                <w:rPr>
                  <w:rFonts w:ascii="Arial" w:hAnsi="Arial" w:cs="Arial"/>
                  <w:strike/>
                  <w:sz w:val="22"/>
                  <w:szCs w:val="22"/>
                </w:rPr>
                <w:t>§ 2 písm. a)</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C69DD7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461752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9D8DE2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FCEFE0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2F3D1B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EC159C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A9D401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DB1942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08E043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344C6F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090C2E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6C92BA7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r>
      <w:tr w:rsidR="00E40657" w14:paraId="6340040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083B95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Rašelina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86AB37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073F38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B51C3A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ACAC59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00A097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rPr>
              <w:br/>
              <w:t>250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C1AFAF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21BC26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DFDEB5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13A677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rPr>
              <w:br/>
              <w:t>200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89FE13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88F385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69725BF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r>
      <w:tr w:rsidR="00E40657" w14:paraId="14E3613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9E84C5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lastRenderedPageBreak/>
              <w:t>Kapalné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FC4F1A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1787EC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rPr>
              <w:br/>
              <w:t>50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6A42E4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38F093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rPr>
              <w:br/>
              <w:t>100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16082A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E802E8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rPr>
              <w:br/>
              <w:t>50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686F62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29DCD4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rPr>
              <w:br/>
              <w:t>100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AD7C1A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22C0BD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ECFF6F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0B42988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rPr>
              <w:br/>
              <w:t>100</w:t>
            </w:r>
            <w:r w:rsidRPr="0030358C">
              <w:rPr>
                <w:rFonts w:ascii="Arial" w:hAnsi="Arial" w:cs="Arial"/>
                <w:strike/>
                <w:sz w:val="22"/>
                <w:szCs w:val="22"/>
                <w:vertAlign w:val="superscript"/>
              </w:rPr>
              <w:t>5)</w:t>
            </w:r>
          </w:p>
        </w:tc>
      </w:tr>
      <w:tr w:rsidR="00E40657" w14:paraId="5C9DD99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2156ED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Zkapalněný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B49411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452B7E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46589E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669631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40AB43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9B11DA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ACBE19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A9B429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1566CA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B94102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A3D545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0DD918E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r>
      <w:tr w:rsidR="00E40657" w14:paraId="121CAEE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EB271F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ECAFC5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C3EF61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3)</w:t>
            </w:r>
            <w:r w:rsidRPr="0030358C">
              <w:rPr>
                <w:rFonts w:ascii="Arial" w:hAnsi="Arial" w:cs="Arial"/>
                <w:strike/>
                <w:sz w:val="22"/>
                <w:szCs w:val="22"/>
              </w:rPr>
              <w:br/>
              <w:t>75</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6728B9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362208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685F05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B6246F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3)</w:t>
            </w:r>
            <w:r w:rsidRPr="0030358C">
              <w:rPr>
                <w:rFonts w:ascii="Arial" w:hAnsi="Arial" w:cs="Arial"/>
                <w:strike/>
                <w:sz w:val="22"/>
                <w:szCs w:val="22"/>
              </w:rPr>
              <w:br/>
              <w:t>75</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44A751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77B902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A56385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8BBDAA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3)</w:t>
            </w:r>
            <w:r w:rsidRPr="0030358C">
              <w:rPr>
                <w:rFonts w:ascii="Arial" w:hAnsi="Arial" w:cs="Arial"/>
                <w:strike/>
                <w:sz w:val="22"/>
                <w:szCs w:val="22"/>
              </w:rPr>
              <w:br/>
              <w:t>75</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9BF7D2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4231F8A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27931B5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16FA3E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2EF745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74DFF1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3)</w:t>
            </w:r>
            <w:r w:rsidRPr="0030358C">
              <w:rPr>
                <w:rFonts w:ascii="Arial" w:hAnsi="Arial" w:cs="Arial"/>
                <w:strike/>
                <w:sz w:val="22"/>
                <w:szCs w:val="22"/>
              </w:rPr>
              <w:br/>
              <w:t>75</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6403A5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90B412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FCE257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28032F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3)</w:t>
            </w:r>
            <w:r w:rsidRPr="0030358C">
              <w:rPr>
                <w:rFonts w:ascii="Arial" w:hAnsi="Arial" w:cs="Arial"/>
                <w:strike/>
                <w:sz w:val="22"/>
                <w:szCs w:val="22"/>
              </w:rPr>
              <w:br/>
              <w:t>75</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B2F839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8D9419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1B69EC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5F6902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3)</w:t>
            </w:r>
            <w:r w:rsidRPr="0030358C">
              <w:rPr>
                <w:rFonts w:ascii="Arial" w:hAnsi="Arial" w:cs="Arial"/>
                <w:strike/>
                <w:sz w:val="22"/>
                <w:szCs w:val="22"/>
              </w:rPr>
              <w:br/>
              <w:t>75</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F055A8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2B6D9FA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10B4964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18BD51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Koksárenský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C7B4F1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196F15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6B650E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B4B93A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D6B40C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6A21D5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44B774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E2BCA3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0FA722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2F9527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1DCE64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427B568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09B5E69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AF5CB9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Vysokopecní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290BA6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54C953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605C3A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630125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D3BAB2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521EF6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1EB16E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2DA110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2CD130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0602F0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4F871C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3A31206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4877E8CB"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25C0566"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 ze zplyňování rafinérských zbytků</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3F47EC0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4536977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5A5CAE2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309201C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6C5B39E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02C97AD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067A197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152FCD2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65DD9F8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023EF21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43DA93A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hideMark/>
          </w:tcPr>
          <w:p w14:paraId="335E6C9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bl>
    <w:p w14:paraId="3B2A7FB9" w14:textId="77777777" w:rsidR="00A77B3E" w:rsidRPr="0030358C" w:rsidRDefault="00A77B3E">
      <w:pPr>
        <w:pStyle w:val="16"/>
        <w:rPr>
          <w:rFonts w:ascii="Arial" w:hAnsi="Arial" w:cs="Arial"/>
          <w:strike/>
          <w:sz w:val="22"/>
          <w:szCs w:val="22"/>
        </w:rPr>
      </w:pPr>
    </w:p>
    <w:p w14:paraId="6872BD16" w14:textId="77777777" w:rsidR="00A77B3E" w:rsidRPr="0030358C" w:rsidRDefault="00000000">
      <w:pPr>
        <w:pStyle w:val="48"/>
        <w:rPr>
          <w:rFonts w:ascii="Arial" w:hAnsi="Arial" w:cs="Arial"/>
          <w:strike/>
          <w:sz w:val="22"/>
          <w:szCs w:val="22"/>
        </w:rPr>
      </w:pPr>
      <w:r w:rsidRPr="0030358C">
        <w:rPr>
          <w:rFonts w:ascii="Arial" w:hAnsi="Arial" w:cs="Arial"/>
          <w:strike/>
          <w:sz w:val="22"/>
          <w:szCs w:val="22"/>
        </w:rPr>
        <w:t>Vysvětlivky:</w:t>
      </w:r>
    </w:p>
    <w:p w14:paraId="14CCEFE1"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1)    Vztahuje se pouze na spalování práškového hnědého uhlí.</w:t>
      </w:r>
    </w:p>
    <w:p w14:paraId="151B3A05"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2)    Vztahuje se pouze na spalování ve fluidním loži.</w:t>
      </w:r>
    </w:p>
    <w:p w14:paraId="508D9CE5"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3)    Vztahuje se pouze na plynové turbíny s jednoduchým cyklem, které mají účinnost větší než 35 % (stanovenou na základě podmínek Mezinárodní organizace pro normalizaci ISO) platí emisní limit ve výši 50xŋ/35, kde ŋ je účinnost plynové turbíny pracující v základním zatížení (podle ISO) vyjádřená v procentech.</w:t>
      </w:r>
      <w:r w:rsidRPr="0030358C">
        <w:rPr>
          <w:rFonts w:ascii="Arial" w:hAnsi="Arial" w:cs="Arial"/>
          <w:strike/>
          <w:sz w:val="22"/>
          <w:szCs w:val="22"/>
        </w:rPr>
        <w:br/>
        <w:t>U plynových turbín, včetně plynových turbín s kombinovaným cyklem, emisní limit platí pouze při zatížení větším než 70 %</w:t>
      </w:r>
    </w:p>
    <w:p w14:paraId="63C8D72E"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4)    Vztahuje se pouze na pístové spalovací motory.</w:t>
      </w:r>
    </w:p>
    <w:p w14:paraId="2AF3DF52" w14:textId="77777777" w:rsidR="00A77B3E" w:rsidRPr="0030358C" w:rsidRDefault="00000000">
      <w:pPr>
        <w:pStyle w:val="53"/>
        <w:rPr>
          <w:rFonts w:ascii="Arial" w:hAnsi="Arial" w:cs="Arial"/>
          <w:strike/>
          <w:sz w:val="22"/>
          <w:szCs w:val="22"/>
        </w:rPr>
      </w:pPr>
      <w:r w:rsidRPr="0030358C">
        <w:rPr>
          <w:rFonts w:ascii="Arial" w:hAnsi="Arial" w:cs="Arial"/>
          <w:strike/>
          <w:sz w:val="22"/>
          <w:szCs w:val="22"/>
        </w:rPr>
        <w:t>5)    Vztahuje se pouze na plynové turbíny, včetně plynových turbín s kombinovaným cyklem.</w:t>
      </w:r>
    </w:p>
    <w:p w14:paraId="68CB1DEF"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3 - Specifické emisní limity platné do 31. prosince 2015 pro spalovací stacionární zdroje,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339"/>
        <w:gridCol w:w="782"/>
        <w:gridCol w:w="784"/>
        <w:gridCol w:w="718"/>
        <w:gridCol w:w="784"/>
        <w:gridCol w:w="1303"/>
        <w:gridCol w:w="784"/>
        <w:gridCol w:w="718"/>
        <w:gridCol w:w="784"/>
        <w:gridCol w:w="1344"/>
        <w:gridCol w:w="947"/>
        <w:gridCol w:w="718"/>
        <w:gridCol w:w="795"/>
      </w:tblGrid>
      <w:tr w:rsidR="00E40657" w14:paraId="7C716D38"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3484F2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lastRenderedPageBreak/>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811C2F8"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24931756" w14:textId="77777777">
        <w:tc>
          <w:tcPr>
            <w:tcW w:w="0" w:type="auto"/>
            <w:vMerge/>
            <w:tcBorders>
              <w:left w:val="single" w:sz="12" w:space="0" w:color="000000"/>
              <w:right w:val="single" w:sz="12" w:space="0" w:color="000000"/>
            </w:tcBorders>
            <w:vAlign w:val="center"/>
            <w:hideMark/>
          </w:tcPr>
          <w:p w14:paraId="26780856"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5E4A2F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50-100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F4D6BE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100-300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32166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300 MW</w:t>
            </w:r>
          </w:p>
        </w:tc>
      </w:tr>
      <w:tr w:rsidR="00E40657" w14:paraId="70C65892" w14:textId="77777777">
        <w:tc>
          <w:tcPr>
            <w:tcW w:w="0" w:type="auto"/>
            <w:vMerge/>
            <w:tcBorders>
              <w:left w:val="single" w:sz="12" w:space="0" w:color="000000"/>
              <w:bottom w:val="single" w:sz="12" w:space="0" w:color="000000"/>
              <w:right w:val="single" w:sz="12" w:space="0" w:color="000000"/>
            </w:tcBorders>
            <w:vAlign w:val="center"/>
            <w:hideMark/>
          </w:tcPr>
          <w:p w14:paraId="39F2F983"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5AE411"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EEC32F8"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66C4947"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3442C4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9640AB1"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DFB1325"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41A7364"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5C9B466"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61A643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D82ECB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2C1045F"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1D1982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r>
      <w:tr w:rsidR="00E40657" w14:paraId="635391D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440BB6D"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Pevné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262E4B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6EE23F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600</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8E5A30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CAB17A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AB76E0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2000-1200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A0424C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600</w:t>
            </w:r>
            <w:r w:rsidRPr="0030358C">
              <w:rPr>
                <w:rFonts w:ascii="Arial" w:hAnsi="Arial" w:cs="Arial"/>
                <w:strike/>
                <w:sz w:val="22"/>
                <w:szCs w:val="22"/>
                <w:vertAlign w:val="superscript"/>
              </w:rPr>
              <w:t>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C04EA2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39687B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0E088B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1200-400</w:t>
            </w:r>
            <w:r w:rsidRPr="0030358C">
              <w:rPr>
                <w:rFonts w:ascii="Arial" w:hAnsi="Arial" w:cs="Arial"/>
                <w:strike/>
                <w:sz w:val="22"/>
                <w:szCs w:val="22"/>
                <w:vertAlign w:val="superscript"/>
              </w:rPr>
              <w:t>1),6)</w:t>
            </w:r>
            <w:r w:rsidRPr="0030358C">
              <w:rPr>
                <w:rFonts w:ascii="Arial" w:hAnsi="Arial" w:cs="Arial"/>
                <w:strike/>
                <w:sz w:val="22"/>
                <w:szCs w:val="22"/>
              </w:rPr>
              <w:br/>
              <w:t>400</w:t>
            </w:r>
            <w:r w:rsidRPr="0030358C">
              <w:rPr>
                <w:rFonts w:ascii="Arial" w:hAnsi="Arial" w:cs="Arial"/>
                <w:strike/>
                <w:sz w:val="22"/>
                <w:szCs w:val="22"/>
                <w:vertAlign w:val="superscript"/>
              </w:rPr>
              <w:t>2),6)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0EA82A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600</w:t>
            </w:r>
            <w:r w:rsidRPr="0030358C">
              <w:rPr>
                <w:rFonts w:ascii="Arial" w:hAnsi="Arial" w:cs="Arial"/>
                <w:strike/>
                <w:sz w:val="22"/>
                <w:szCs w:val="22"/>
                <w:vertAlign w:val="superscript"/>
              </w:rPr>
              <w:t>7)</w:t>
            </w:r>
            <w:r w:rsidRPr="0030358C">
              <w:rPr>
                <w:rFonts w:ascii="Arial" w:hAnsi="Arial" w:cs="Arial"/>
                <w:strike/>
                <w:sz w:val="22"/>
                <w:szCs w:val="22"/>
              </w:rPr>
              <w:br/>
              <w:t>500</w:t>
            </w:r>
            <w:r w:rsidRPr="0030358C">
              <w:rPr>
                <w:rFonts w:ascii="Arial" w:hAnsi="Arial" w:cs="Arial"/>
                <w:strike/>
                <w:sz w:val="22"/>
                <w:szCs w:val="22"/>
                <w:vertAlign w:val="superscript"/>
              </w:rPr>
              <w:t>2),7)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FA3A2F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33AF336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r>
      <w:tr w:rsidR="00E40657" w14:paraId="0FD5C5A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80ED16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B833BC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498E3F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450</w:t>
            </w:r>
            <w:r w:rsidRPr="0030358C">
              <w:rPr>
                <w:rFonts w:ascii="Arial" w:hAnsi="Arial" w:cs="Arial"/>
                <w:strike/>
                <w:sz w:val="22"/>
                <w:szCs w:val="22"/>
              </w:rPr>
              <w:br/>
              <w:t>300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86F183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900850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rPr>
              <w:br/>
              <w:t>100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3FCBE0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212F3E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450</w:t>
            </w:r>
            <w:r w:rsidRPr="0030358C">
              <w:rPr>
                <w:rFonts w:ascii="Arial" w:hAnsi="Arial" w:cs="Arial"/>
                <w:strike/>
                <w:sz w:val="22"/>
                <w:szCs w:val="22"/>
              </w:rPr>
              <w:br/>
              <w:t>300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C22B05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9D3DCE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rPr>
              <w:br/>
              <w:t>100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FCDBDC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1700-400</w:t>
            </w:r>
            <w:r w:rsidRPr="0030358C">
              <w:rPr>
                <w:rFonts w:ascii="Arial" w:hAnsi="Arial" w:cs="Arial"/>
                <w:strike/>
                <w:sz w:val="22"/>
                <w:szCs w:val="22"/>
                <w:vertAlign w:val="superscript"/>
              </w:rPr>
              <w:t>3)</w:t>
            </w:r>
            <w:r w:rsidRPr="0030358C">
              <w:rPr>
                <w:rFonts w:ascii="Arial" w:hAnsi="Arial" w:cs="Arial"/>
                <w:strike/>
                <w:sz w:val="22"/>
                <w:szCs w:val="22"/>
              </w:rPr>
              <w:br/>
              <w:t>400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2F6D99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r w:rsidRPr="0030358C">
              <w:rPr>
                <w:rFonts w:ascii="Arial" w:hAnsi="Arial" w:cs="Arial"/>
                <w:strike/>
                <w:sz w:val="22"/>
                <w:szCs w:val="22"/>
              </w:rPr>
              <w:br/>
              <w:t>300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306E67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r w:rsidRPr="0030358C">
              <w:rPr>
                <w:rFonts w:ascii="Arial" w:hAnsi="Arial" w:cs="Arial"/>
                <w:strike/>
                <w:sz w:val="22"/>
                <w:szCs w:val="22"/>
                <w:vertAlign w:val="superscript"/>
              </w:rPr>
              <w:t>4)</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0AC3AD2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r w:rsidRPr="0030358C">
              <w:rPr>
                <w:rFonts w:ascii="Arial" w:hAnsi="Arial" w:cs="Arial"/>
                <w:strike/>
                <w:sz w:val="22"/>
                <w:szCs w:val="22"/>
              </w:rPr>
              <w:br/>
              <w:t>100</w:t>
            </w:r>
            <w:r w:rsidRPr="0030358C">
              <w:rPr>
                <w:rFonts w:ascii="Arial" w:hAnsi="Arial" w:cs="Arial"/>
                <w:strike/>
                <w:sz w:val="22"/>
                <w:szCs w:val="22"/>
                <w:vertAlign w:val="superscript"/>
              </w:rPr>
              <w:t>7)</w:t>
            </w:r>
          </w:p>
        </w:tc>
      </w:tr>
      <w:tr w:rsidR="00E40657" w14:paraId="7E98C85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70C320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Zkapalněný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9E8A77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D6C4C8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EC1A76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63FB65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544047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D6C650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26BC97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C1D3FA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920174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F29D35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rPr>
              <w:br/>
              <w:t>200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29C79B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07F5DFD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2EC7380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64B9DC2"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DEFEC9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855851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300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3DFFB2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2B2F6A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6AD960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C613BD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300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941BB3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9B8F0F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70143D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6938E1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300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5BE775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26F5624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667C23E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BBDF56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17D6B5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38B64B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5A362E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814ED2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5DB2A2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3ED792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84DBC9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948A42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2CE47F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EAB490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C1DBF9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0C4C4EE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7F9410F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37B086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Koksárenský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1FF027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F0E199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AF7D26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050780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A18F1D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A01B9E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F45355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D1B6E4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063157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43BC82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47B64E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4CDAC3B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10BD439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E5C7FE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Vysokopecní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DA340D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AFB716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B3ACC5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9BE27D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F0AE46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FE83A7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B17261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21E2CA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AA4081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1D82DA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rPr>
              <w:br/>
              <w:t>200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D5B655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264A702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44BFDF0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7D6ACE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 ze zplyňování rafinérských zbytků</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11B40AD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4310835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6B8A908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3DD70CD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7E147BB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72DB96C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6D34A5E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17CDD67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4EA8EEE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41E176F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019EEA2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hideMark/>
          </w:tcPr>
          <w:p w14:paraId="4888D77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bl>
    <w:p w14:paraId="0FDB13B1" w14:textId="77777777" w:rsidR="00A77B3E" w:rsidRPr="0030358C" w:rsidRDefault="00A77B3E">
      <w:pPr>
        <w:pStyle w:val="16"/>
        <w:rPr>
          <w:rFonts w:ascii="Arial" w:hAnsi="Arial" w:cs="Arial"/>
          <w:strike/>
          <w:sz w:val="22"/>
          <w:szCs w:val="22"/>
        </w:rPr>
      </w:pPr>
    </w:p>
    <w:p w14:paraId="628F171C" w14:textId="77777777" w:rsidR="00A77B3E" w:rsidRPr="0030358C" w:rsidRDefault="00000000">
      <w:pPr>
        <w:pStyle w:val="48"/>
        <w:rPr>
          <w:rFonts w:ascii="Arial" w:hAnsi="Arial" w:cs="Arial"/>
          <w:strike/>
          <w:sz w:val="22"/>
          <w:szCs w:val="22"/>
        </w:rPr>
      </w:pPr>
      <w:r w:rsidRPr="0030358C">
        <w:rPr>
          <w:rFonts w:ascii="Arial" w:hAnsi="Arial" w:cs="Arial"/>
          <w:strike/>
          <w:sz w:val="22"/>
          <w:szCs w:val="22"/>
        </w:rPr>
        <w:t>Vysvětlivky:</w:t>
      </w:r>
    </w:p>
    <w:p w14:paraId="267674A6"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1)    Specifický emisní limit je stanoven v tomto rozmezí lineárním poklesem tak, že emisní limit v mg.m</w:t>
      </w:r>
      <w:r w:rsidRPr="0030358C">
        <w:rPr>
          <w:rFonts w:ascii="Arial" w:hAnsi="Arial" w:cs="Arial"/>
          <w:strike/>
          <w:sz w:val="22"/>
          <w:szCs w:val="22"/>
          <w:vertAlign w:val="superscript"/>
        </w:rPr>
        <w:t>-3</w:t>
      </w:r>
      <w:r w:rsidRPr="0030358C">
        <w:rPr>
          <w:rFonts w:ascii="Arial" w:hAnsi="Arial" w:cs="Arial"/>
          <w:strike/>
          <w:sz w:val="22"/>
          <w:szCs w:val="22"/>
        </w:rPr>
        <w:t xml:space="preserve"> se rovná 2400 - 4P, kdy P je celkový jmenovitý tepelný příkon stacionárních zdrojů v MW.</w:t>
      </w:r>
    </w:p>
    <w:p w14:paraId="2965D83A"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2)    Vztahuje se pouze na spalovací stacionární zdroje o celkovém jmenovitém tepelném příkonu vyšším než 500 MW.</w:t>
      </w:r>
    </w:p>
    <w:p w14:paraId="4324ED55"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lastRenderedPageBreak/>
        <w:t>3)    Specifický emisní limit je stanoven v tomto rozmezí lineárním poklesem tak, že emisní limit v mg.m</w:t>
      </w:r>
      <w:r w:rsidRPr="0030358C">
        <w:rPr>
          <w:rFonts w:ascii="Arial" w:hAnsi="Arial" w:cs="Arial"/>
          <w:strike/>
          <w:sz w:val="22"/>
          <w:szCs w:val="22"/>
          <w:vertAlign w:val="superscript"/>
        </w:rPr>
        <w:t>-3</w:t>
      </w:r>
      <w:r w:rsidRPr="0030358C">
        <w:rPr>
          <w:rFonts w:ascii="Arial" w:hAnsi="Arial" w:cs="Arial"/>
          <w:strike/>
          <w:sz w:val="22"/>
          <w:szCs w:val="22"/>
        </w:rPr>
        <w:t xml:space="preserve"> se rovná 3650 – 6,5P, kdy P je celkový jmenovitý tepelný příkon stacionárních zdrojů v MW.</w:t>
      </w:r>
    </w:p>
    <w:p w14:paraId="7AB19B8F"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4)    Pro spalovací stacionární zdroje o celkovém jmenovitém tepelném příkonu &lt; 500 MW, spalující kapalná paliva s obsahem popela vyšším než 0,06 %, platí specifický emisní limit 100 mg.m</w:t>
      </w:r>
      <w:r w:rsidRPr="0030358C">
        <w:rPr>
          <w:rFonts w:ascii="Arial" w:hAnsi="Arial" w:cs="Arial"/>
          <w:strike/>
          <w:sz w:val="22"/>
          <w:szCs w:val="22"/>
          <w:vertAlign w:val="superscript"/>
        </w:rPr>
        <w:t>-3</w:t>
      </w:r>
      <w:r w:rsidRPr="0030358C">
        <w:rPr>
          <w:rFonts w:ascii="Arial" w:hAnsi="Arial" w:cs="Arial"/>
          <w:strike/>
          <w:sz w:val="22"/>
          <w:szCs w:val="22"/>
        </w:rPr>
        <w:t>.</w:t>
      </w:r>
    </w:p>
    <w:p w14:paraId="0AA9BA4F"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5)    Vztahuje se pouze na plynové turbíny včetně plynových turbín s kombinovaným cyklem.</w:t>
      </w:r>
    </w:p>
    <w:p w14:paraId="2C5D17D5"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6)    Pro spalovací stacionární zdroje, jejichž celkový jmenovitý tepelný příkon je 400 MW a vyšší a který nebude do 31. prosince 2015 v provozu více než 2 000 provozních hodin ročně, vypočteno jako klouzavý průměr za 5 let, platí specifický emisní limit 800 mg.m</w:t>
      </w:r>
      <w:r w:rsidRPr="0030358C">
        <w:rPr>
          <w:rFonts w:ascii="Arial" w:hAnsi="Arial" w:cs="Arial"/>
          <w:strike/>
          <w:sz w:val="22"/>
          <w:szCs w:val="22"/>
          <w:vertAlign w:val="superscript"/>
        </w:rPr>
        <w:t>-3</w:t>
      </w:r>
      <w:r w:rsidRPr="0030358C">
        <w:rPr>
          <w:rFonts w:ascii="Arial" w:hAnsi="Arial" w:cs="Arial"/>
          <w:strike/>
          <w:sz w:val="22"/>
          <w:szCs w:val="22"/>
        </w:rPr>
        <w:t>.</w:t>
      </w:r>
    </w:p>
    <w:p w14:paraId="0A680386" w14:textId="77777777" w:rsidR="00A77B3E" w:rsidRPr="0030358C" w:rsidRDefault="00000000">
      <w:pPr>
        <w:pStyle w:val="53"/>
        <w:rPr>
          <w:rFonts w:ascii="Arial" w:hAnsi="Arial" w:cs="Arial"/>
          <w:strike/>
          <w:sz w:val="22"/>
          <w:szCs w:val="22"/>
        </w:rPr>
      </w:pPr>
      <w:r w:rsidRPr="0030358C">
        <w:rPr>
          <w:rFonts w:ascii="Arial" w:hAnsi="Arial" w:cs="Arial"/>
          <w:strike/>
          <w:sz w:val="22"/>
          <w:szCs w:val="22"/>
        </w:rPr>
        <w:t>7)    Pro spalovací stacionární zdroj spalující pevná paliva s obsahem prchavé hořlaviny menším než 10 %, který byl v provozu nejméně 12 měsíců do 1. ledna 2001, platí specifický emisní limit 1200 mg.m</w:t>
      </w:r>
      <w:r w:rsidRPr="0030358C">
        <w:rPr>
          <w:rFonts w:ascii="Arial" w:hAnsi="Arial" w:cs="Arial"/>
          <w:strike/>
          <w:sz w:val="22"/>
          <w:szCs w:val="22"/>
          <w:vertAlign w:val="superscript"/>
        </w:rPr>
        <w:t>-3</w:t>
      </w:r>
      <w:r w:rsidRPr="0030358C">
        <w:rPr>
          <w:rFonts w:ascii="Arial" w:hAnsi="Arial" w:cs="Arial"/>
          <w:strike/>
          <w:sz w:val="22"/>
          <w:szCs w:val="22"/>
        </w:rPr>
        <w:t>.</w:t>
      </w:r>
    </w:p>
    <w:p w14:paraId="535BE78C"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4 - Specifické emisní limity platné do 31. prosince 2015 pro spalovací stacionární zdroje, kterým bylo vydáno první povolení provozu, nebo obdobné povolení podle dřívějších právních předpisů, mezi 27. listopadem 2002 a 7. lednem 2013 nebo byly uvedeny do provozu mezi 27. listopadem 2003 a 7. lednem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082"/>
        <w:gridCol w:w="710"/>
        <w:gridCol w:w="784"/>
        <w:gridCol w:w="718"/>
        <w:gridCol w:w="660"/>
        <w:gridCol w:w="1224"/>
        <w:gridCol w:w="784"/>
        <w:gridCol w:w="718"/>
        <w:gridCol w:w="660"/>
        <w:gridCol w:w="710"/>
        <w:gridCol w:w="784"/>
        <w:gridCol w:w="718"/>
        <w:gridCol w:w="671"/>
      </w:tblGrid>
      <w:tr w:rsidR="00E40657" w14:paraId="7CAAEE16"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07CEC4B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25D9F0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77F4CD24" w14:textId="77777777">
        <w:tc>
          <w:tcPr>
            <w:tcW w:w="0" w:type="auto"/>
            <w:vMerge/>
            <w:tcBorders>
              <w:left w:val="single" w:sz="12" w:space="0" w:color="000000"/>
              <w:right w:val="single" w:sz="12" w:space="0" w:color="000000"/>
            </w:tcBorders>
            <w:vAlign w:val="center"/>
            <w:hideMark/>
          </w:tcPr>
          <w:p w14:paraId="447CCFAF"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33832A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50-100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DFB445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100-300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B78E4F8"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&gt; 300 MW</w:t>
            </w:r>
          </w:p>
        </w:tc>
      </w:tr>
      <w:tr w:rsidR="00E40657" w14:paraId="5C90E9DD" w14:textId="77777777">
        <w:tc>
          <w:tcPr>
            <w:tcW w:w="0" w:type="auto"/>
            <w:vMerge/>
            <w:tcBorders>
              <w:left w:val="single" w:sz="12" w:space="0" w:color="000000"/>
              <w:bottom w:val="single" w:sz="12" w:space="0" w:color="000000"/>
              <w:right w:val="single" w:sz="12" w:space="0" w:color="000000"/>
            </w:tcBorders>
            <w:vAlign w:val="center"/>
            <w:hideMark/>
          </w:tcPr>
          <w:p w14:paraId="056ED01F"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732FA6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9BDCDD0"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18D7078"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A205F24"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6EEE715"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623E5F9"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A3A5707"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B296BA7"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F13C3C7"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44A8887"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A6477B6"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B5164B2"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CO</w:t>
            </w:r>
          </w:p>
        </w:tc>
      </w:tr>
      <w:tr w:rsidR="00E40657" w14:paraId="76F765A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E689E06"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Pevné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E8324B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82581B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ED0FA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7E8E4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240E9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A50421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0475F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2FAB5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1CC7A6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C7F8BF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42878F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FB4679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r>
      <w:tr w:rsidR="00E40657" w14:paraId="432E67B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C045287"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 xml:space="preserve">Biomasa podle </w:t>
            </w:r>
            <w:hyperlink w:history="1">
              <w:r w:rsidR="00A77B3E" w:rsidRPr="0030358C">
                <w:rPr>
                  <w:rFonts w:ascii="Arial" w:hAnsi="Arial" w:cs="Arial"/>
                  <w:strike/>
                  <w:sz w:val="22"/>
                  <w:szCs w:val="22"/>
                </w:rPr>
                <w:t>§ 2 písm. a)</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DEACD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5992C2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40175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5CCDE9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F8338B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823BD1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E1AEC4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E8665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3AA268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95526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886095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92107A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r>
      <w:tr w:rsidR="00E40657" w14:paraId="7A1EB90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64E4C4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Rašelina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D0DD0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BBBB62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B47A58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6A5D7B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351D07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B638D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DAEABD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03A2B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385014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08E8AE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773D42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19DB46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w:t>
            </w:r>
          </w:p>
        </w:tc>
      </w:tr>
      <w:tr w:rsidR="00E40657" w14:paraId="7223925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7ACDA5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Kapalné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41409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B583D9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33FCE6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DE2B9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33C435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400-200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9EF11A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385195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2A317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1B87CA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D938F2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E8902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4EE399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r>
      <w:tr w:rsidR="00E40657" w14:paraId="710ADF1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9B22C88"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Zkapalněný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363534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7E4D3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50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64237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8B0B3A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E9664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E05DD1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50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FF2AF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51F683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EE122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83BF60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50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F5B494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C1732F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175</w:t>
            </w:r>
          </w:p>
        </w:tc>
      </w:tr>
      <w:tr w:rsidR="00E40657" w14:paraId="2BA087C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91E038C"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F7AEBB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9B103B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6E7C36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440AE1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63C0D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E99DB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6547CB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41C02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F75E7D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94D1CF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5D307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818D49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5D802B4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88514B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lastRenderedPageBreak/>
              <w:t>Zemní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777D6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712AD9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rPr>
              <w:br/>
              <w:t>50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9B27A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54D977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CB8DA5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A9C3BB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rPr>
              <w:br/>
              <w:t>50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6AB3FE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BF871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8AF499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7A6E87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r w:rsidRPr="0030358C">
              <w:rPr>
                <w:rFonts w:ascii="Arial" w:hAnsi="Arial" w:cs="Arial"/>
                <w:strike/>
                <w:sz w:val="22"/>
                <w:szCs w:val="22"/>
              </w:rPr>
              <w:br/>
              <w:t>50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31096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9437F8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3B4E762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909C08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Koksárenský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62AC9B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8840F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030863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099C0F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8C035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76A05E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972AB6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26080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0FA3B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08073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F0A505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9B9787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726EE4D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C1837C5"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Vysokopecní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8206CD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EFC39A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D3C11A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7D519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6AFCA4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EEBC2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1B5529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42EB26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7E750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5B769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E04BE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ECDA63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r w:rsidR="00E40657" w14:paraId="7A8DC3F4"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34D3FC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Plyn ze zplyňování rafinérských zbytků</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593A58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C41304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BE5517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773BF1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E7796C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CE0F31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CDA912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8001A5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6FEDE16"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35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A9AB61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120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C48E18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301E3D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100</w:t>
            </w:r>
          </w:p>
        </w:tc>
      </w:tr>
    </w:tbl>
    <w:p w14:paraId="2BA37196" w14:textId="77777777" w:rsidR="00A77B3E" w:rsidRPr="0030358C" w:rsidRDefault="00A77B3E">
      <w:pPr>
        <w:pStyle w:val="16"/>
        <w:rPr>
          <w:rFonts w:ascii="Arial" w:hAnsi="Arial" w:cs="Arial"/>
          <w:strike/>
          <w:sz w:val="22"/>
          <w:szCs w:val="22"/>
        </w:rPr>
      </w:pPr>
    </w:p>
    <w:p w14:paraId="38496155" w14:textId="77777777" w:rsidR="00A77B3E" w:rsidRPr="0030358C" w:rsidRDefault="00000000">
      <w:pPr>
        <w:pStyle w:val="48"/>
        <w:rPr>
          <w:rFonts w:ascii="Arial" w:hAnsi="Arial" w:cs="Arial"/>
          <w:strike/>
          <w:sz w:val="22"/>
          <w:szCs w:val="22"/>
        </w:rPr>
      </w:pPr>
      <w:r w:rsidRPr="0030358C">
        <w:rPr>
          <w:rFonts w:ascii="Arial" w:hAnsi="Arial" w:cs="Arial"/>
          <w:strike/>
          <w:sz w:val="22"/>
          <w:szCs w:val="22"/>
        </w:rPr>
        <w:t>Vysvětlivky:</w:t>
      </w:r>
    </w:p>
    <w:p w14:paraId="7227CB8C"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rPr>
        <w:t>1)    Pro plynové turbíny využívané pro kombinovanou produkci tepla a elektřiny s celkovou účinností vyšší než 75 %, pro plynové turbíny s kombinovaným cyklem s roční průměrnou celkovou elektrickou účinností vyšší než 55 % a pro plynové turbíny pro mechanický pohon (plynové turbíny pohánějící kompresory rozvodné sítě dodávek plynu veřejnosti) platí specifický emisní limit 75 mg.m</w:t>
      </w:r>
      <w:r w:rsidRPr="0030358C">
        <w:rPr>
          <w:rFonts w:ascii="Arial" w:hAnsi="Arial" w:cs="Arial"/>
          <w:strike/>
          <w:sz w:val="22"/>
          <w:szCs w:val="22"/>
          <w:vertAlign w:val="superscript"/>
        </w:rPr>
        <w:t>-3</w:t>
      </w:r>
      <w:r w:rsidRPr="0030358C">
        <w:rPr>
          <w:rFonts w:ascii="Arial" w:hAnsi="Arial" w:cs="Arial"/>
          <w:strike/>
          <w:sz w:val="22"/>
          <w:szCs w:val="22"/>
        </w:rPr>
        <w:t>; pro ostatní plynové turbíny, které mají účinnost větší než 35 % (na základě podmínek Mezinárodní organizace pro normalizaci ISO) platí specifický emisní limit 50 mg.m</w:t>
      </w:r>
      <w:r w:rsidRPr="0030358C">
        <w:rPr>
          <w:rFonts w:ascii="Arial" w:hAnsi="Arial" w:cs="Arial"/>
          <w:strike/>
          <w:sz w:val="22"/>
          <w:szCs w:val="22"/>
          <w:vertAlign w:val="superscript"/>
        </w:rPr>
        <w:t>-3</w:t>
      </w:r>
      <w:r w:rsidRPr="0030358C">
        <w:rPr>
          <w:rFonts w:ascii="Arial" w:hAnsi="Arial" w:cs="Arial"/>
          <w:strike/>
          <w:sz w:val="22"/>
          <w:szCs w:val="22"/>
        </w:rPr>
        <w:t>.</w:t>
      </w:r>
    </w:p>
    <w:p w14:paraId="7BB8B99C" w14:textId="77777777" w:rsidR="00A77B3E" w:rsidRPr="0030358C" w:rsidRDefault="00000000">
      <w:pPr>
        <w:pStyle w:val="53"/>
        <w:rPr>
          <w:rFonts w:ascii="Arial" w:hAnsi="Arial" w:cs="Arial"/>
          <w:strike/>
          <w:sz w:val="22"/>
          <w:szCs w:val="22"/>
        </w:rPr>
      </w:pPr>
      <w:r w:rsidRPr="0030358C">
        <w:rPr>
          <w:rFonts w:ascii="Arial" w:hAnsi="Arial" w:cs="Arial"/>
          <w:strike/>
          <w:sz w:val="22"/>
          <w:szCs w:val="22"/>
        </w:rPr>
        <w:t>2)    Specifický emisní limit je stanoven v tomto rozmezí lineárním poklesem tak, že se rovná 500 - P, kdy P je celkový jmenovitý tepelný příkon stacionárních zdrojů v MW.</w:t>
      </w:r>
    </w:p>
    <w:p w14:paraId="78B58A55" w14:textId="77777777" w:rsidR="00A77B3E" w:rsidRPr="0030358C" w:rsidRDefault="00000000">
      <w:pPr>
        <w:pStyle w:val="44"/>
        <w:rPr>
          <w:rFonts w:ascii="Arial" w:hAnsi="Arial" w:cs="Arial"/>
          <w:strike/>
          <w:sz w:val="22"/>
          <w:szCs w:val="22"/>
        </w:rPr>
      </w:pPr>
      <w:r w:rsidRPr="0030358C">
        <w:rPr>
          <w:rFonts w:ascii="Arial" w:hAnsi="Arial" w:cs="Arial"/>
          <w:strike/>
          <w:sz w:val="22"/>
          <w:szCs w:val="22"/>
        </w:rPr>
        <w:t>Část II</w:t>
      </w:r>
    </w:p>
    <w:p w14:paraId="6788D809" w14:textId="77777777" w:rsidR="00A77B3E" w:rsidRPr="0030358C" w:rsidRDefault="00000000">
      <w:pPr>
        <w:pStyle w:val="8"/>
        <w:rPr>
          <w:rFonts w:ascii="Arial" w:hAnsi="Arial" w:cs="Arial"/>
          <w:strike/>
          <w:sz w:val="22"/>
          <w:szCs w:val="22"/>
        </w:rPr>
      </w:pPr>
      <w:r w:rsidRPr="0030358C">
        <w:rPr>
          <w:rFonts w:ascii="Arial" w:hAnsi="Arial" w:cs="Arial"/>
          <w:strike/>
          <w:sz w:val="22"/>
          <w:szCs w:val="22"/>
        </w:rPr>
        <w:t>Specifické emisní limity pro spalovací stacionární zdroje o celkovém jmenovitém tepelném příkonu vyšším než 0,3 MW a nižším než 50 MW</w:t>
      </w:r>
    </w:p>
    <w:p w14:paraId="07D4C689" w14:textId="77777777" w:rsidR="00A77B3E" w:rsidRPr="0030358C" w:rsidRDefault="00000000">
      <w:pPr>
        <w:pStyle w:val="46"/>
        <w:rPr>
          <w:rFonts w:ascii="Arial" w:hAnsi="Arial" w:cs="Arial"/>
          <w:strike/>
          <w:szCs w:val="22"/>
        </w:rPr>
      </w:pPr>
      <w:r w:rsidRPr="0030358C">
        <w:rPr>
          <w:rFonts w:ascii="Arial" w:hAnsi="Arial" w:cs="Arial"/>
          <w:strike/>
          <w:szCs w:val="22"/>
        </w:rPr>
        <w:t>1.    Specifické emisní limity platné do 19. prosince 2018</w:t>
      </w:r>
    </w:p>
    <w:p w14:paraId="08D13384"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Pro kotle jsou specifické emisní limity vztaženy k celkovému jmenovitému tepelnému příkonu a na normální stavové podmínky a suchý plyn při referenčním obsahu kyslíku v odpadním plynu 6 % v případě pevných paliv s výjimkou biomasy, 11 % v případě biomasy a 3 % v případě kapalných a plynných paliv.</w:t>
      </w:r>
    </w:p>
    <w:p w14:paraId="5CB1F5D7"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 xml:space="preserve">Pro pístové spalovací motory jsou specifické emisní limity vztaženy k celkovému jmenovitému tepelnému příkonu a na normální stavové podmínky a suchý plyn (pro TZL vztaženo na vlhký plyn), při referenčním obsahu kyslíku 5 % a nevztahují se na záložní zdroje energie a požární čerpadla provozované méně než 300 provozních hodin ročně. Plynovým motorem se rozumí motor s vnitřním spalováním pracující </w:t>
      </w:r>
      <w:r w:rsidRPr="0030358C">
        <w:rPr>
          <w:rFonts w:ascii="Arial" w:hAnsi="Arial" w:cs="Arial"/>
          <w:strike/>
          <w:sz w:val="22"/>
          <w:szCs w:val="22"/>
        </w:rPr>
        <w:lastRenderedPageBreak/>
        <w:t>na principu Ottova cyklu a využívající zážehové zapalování paliva nebo v případě dvoupalivového motoru využívající vznětové zapalování paliva.</w:t>
      </w:r>
    </w:p>
    <w:p w14:paraId="32311D5C"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plynové turbíny jsou specifické emisní limity vztaženy na normální stavové podmínky a suchý plyn při referenčním obsahu kyslíku 15 % a nevztahují se na záložní zdroje energie provozované méně než 300 provozních hodin ročně.</w:t>
      </w:r>
    </w:p>
    <w:p w14:paraId="21402D9D" w14:textId="77777777" w:rsidR="00A77B3E" w:rsidRPr="0030358C" w:rsidRDefault="00000000">
      <w:pPr>
        <w:pStyle w:val="56"/>
        <w:rPr>
          <w:rFonts w:ascii="Arial" w:hAnsi="Arial" w:cs="Arial"/>
          <w:strike/>
          <w:sz w:val="22"/>
          <w:szCs w:val="22"/>
        </w:rPr>
      </w:pPr>
      <w:r w:rsidRPr="0030358C">
        <w:rPr>
          <w:rFonts w:ascii="Arial" w:hAnsi="Arial" w:cs="Arial"/>
          <w:strike/>
          <w:sz w:val="22"/>
          <w:szCs w:val="22"/>
        </w:rPr>
        <w:t>Pro teplovzdušné spalovací stacionární zdroje jsou specifické emisní limity vztaženy na normální stavové podmínky a suchý plyn při referenčním obsahu kyslíku 17 %.</w:t>
      </w:r>
    </w:p>
    <w:p w14:paraId="362295AF" w14:textId="77777777" w:rsidR="00A77B3E" w:rsidRPr="0030358C" w:rsidRDefault="00000000">
      <w:pPr>
        <w:pStyle w:val="57"/>
        <w:rPr>
          <w:rFonts w:ascii="Arial" w:hAnsi="Arial" w:cs="Arial"/>
          <w:strike/>
          <w:szCs w:val="22"/>
        </w:rPr>
      </w:pPr>
      <w:r w:rsidRPr="0030358C">
        <w:rPr>
          <w:rFonts w:ascii="Arial" w:hAnsi="Arial" w:cs="Arial"/>
          <w:strike/>
          <w:szCs w:val="22"/>
        </w:rPr>
        <w:t>1.1.    Specifické emisní limity pro kotle a teplovzdušné přímotopné stacionární zdroje</w:t>
      </w:r>
    </w:p>
    <w:p w14:paraId="67D53682"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1.1.1 - Specifické emisní limity pro stacionární zdroje, pro něž byla podána kompletní žádost o povolení provozu nebo obdobné povolení podle dřívějších právních předpisů 1. září 2013 nebo později a pro stacionární zdroje, které byly uvedeny do provozu po 1. září 2014</w:t>
      </w:r>
    </w:p>
    <w:p w14:paraId="7999148E" w14:textId="77777777" w:rsidR="00A77B3E" w:rsidRPr="0030358C" w:rsidRDefault="00A77B3E">
      <w:pPr>
        <w:pStyle w:val="59"/>
        <w:rPr>
          <w:rFonts w:ascii="Arial" w:hAnsi="Arial" w:cs="Arial"/>
          <w:strike/>
          <w:sz w:val="22"/>
          <w:szCs w:val="22"/>
        </w:rPr>
        <w:sectPr w:rsidR="00A77B3E" w:rsidRPr="0030358C" w:rsidSect="00D804A3">
          <w:pgSz w:w="16838" w:h="11906" w:orient="landscape" w:code="9"/>
          <w:pgMar w:top="1418" w:right="1418" w:bottom="1418" w:left="1418" w:header="403" w:footer="709" w:gutter="0"/>
          <w:cols w:space="708"/>
          <w:docGrid w:linePitch="360"/>
        </w:sectPr>
      </w:pP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023"/>
        <w:gridCol w:w="710"/>
        <w:gridCol w:w="784"/>
        <w:gridCol w:w="718"/>
        <w:gridCol w:w="660"/>
        <w:gridCol w:w="710"/>
        <w:gridCol w:w="784"/>
        <w:gridCol w:w="718"/>
        <w:gridCol w:w="660"/>
        <w:gridCol w:w="906"/>
        <w:gridCol w:w="784"/>
        <w:gridCol w:w="718"/>
        <w:gridCol w:w="795"/>
      </w:tblGrid>
      <w:tr w:rsidR="00E40657" w14:paraId="19552D71"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00B68B0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lastRenderedPageBreak/>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600D76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064688E1" w14:textId="77777777">
        <w:tc>
          <w:tcPr>
            <w:tcW w:w="0" w:type="auto"/>
            <w:vMerge/>
            <w:tcBorders>
              <w:left w:val="single" w:sz="12" w:space="0" w:color="000000"/>
              <w:right w:val="single" w:sz="12" w:space="0" w:color="000000"/>
            </w:tcBorders>
            <w:vAlign w:val="center"/>
            <w:hideMark/>
          </w:tcPr>
          <w:p w14:paraId="73BD19F2"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899473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B4DA47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1-5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CABCF90"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6162D091" w14:textId="77777777">
        <w:tc>
          <w:tcPr>
            <w:tcW w:w="0" w:type="auto"/>
            <w:vMerge/>
            <w:tcBorders>
              <w:left w:val="single" w:sz="12" w:space="0" w:color="000000"/>
              <w:bottom w:val="single" w:sz="12" w:space="0" w:color="000000"/>
              <w:right w:val="single" w:sz="12" w:space="0" w:color="000000"/>
            </w:tcBorders>
            <w:vAlign w:val="center"/>
            <w:hideMark/>
          </w:tcPr>
          <w:p w14:paraId="5AFDD0BD"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63DDAE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E0457A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7A3FCF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92D1C6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2A8430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C1F938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26B2F7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50862C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DC1A2B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88C121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09E941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EA4BFE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4D6F4F6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6E827B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49481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5E75D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BDA8A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0F675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FBF02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3A1FC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FE1F3E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A57B4D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C0C17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AC9EE2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C15F4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870E0D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rPr>
              <w:br/>
              <w:t>500</w:t>
            </w:r>
            <w:hyperlink w:history="1">
              <w:r w:rsidR="00A77B3E" w:rsidRPr="0030358C">
                <w:rPr>
                  <w:rFonts w:ascii="Arial" w:hAnsi="Arial" w:cs="Arial"/>
                  <w:strike/>
                  <w:sz w:val="22"/>
                  <w:szCs w:val="22"/>
                  <w:vertAlign w:val="superscript"/>
                </w:rPr>
                <w:t>3)</w:t>
              </w:r>
            </w:hyperlink>
          </w:p>
        </w:tc>
      </w:tr>
      <w:tr w:rsidR="00E40657" w14:paraId="2BE0586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247244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4862A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FE9CB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CE8A0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991B99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688715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B7056D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450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FC0603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378C8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16BE2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89D75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450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216805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44666B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14B3CC30"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8ABFE92"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a zkapalněný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95205B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AB3610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E9D3D6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14A652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E183C5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2D0FE3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6B5B84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46A96D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82A82C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1E8457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6BCD38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50B7C7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bl>
    <w:p w14:paraId="50ACFBD1" w14:textId="77777777" w:rsidR="00A77B3E" w:rsidRPr="0030358C" w:rsidRDefault="00A77B3E">
      <w:pPr>
        <w:pStyle w:val="59"/>
        <w:rPr>
          <w:rFonts w:ascii="Arial" w:hAnsi="Arial" w:cs="Arial"/>
          <w:strike/>
          <w:sz w:val="22"/>
          <w:szCs w:val="22"/>
        </w:rPr>
      </w:pPr>
    </w:p>
    <w:p w14:paraId="17456B7A" w14:textId="77777777" w:rsidR="00A77B3E" w:rsidRPr="0030358C" w:rsidRDefault="00A77B3E">
      <w:pPr>
        <w:pStyle w:val="60"/>
        <w:rPr>
          <w:rFonts w:ascii="Arial" w:hAnsi="Arial" w:cs="Arial"/>
          <w:strike/>
          <w:sz w:val="22"/>
          <w:szCs w:val="22"/>
        </w:rPr>
        <w:sectPr w:rsidR="00A77B3E" w:rsidRPr="0030358C" w:rsidSect="00D804A3">
          <w:pgSz w:w="16838" w:h="11906" w:orient="landscape" w:code="9"/>
          <w:pgMar w:top="1417" w:right="1417" w:bottom="1417" w:left="1417" w:header="708" w:footer="708" w:gutter="0"/>
          <w:cols w:space="708"/>
          <w:docGrid w:linePitch="360"/>
        </w:sectPr>
      </w:pPr>
    </w:p>
    <w:p w14:paraId="5D38E609"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6ADDC26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Na spalovací stacionární zdroje spalující hnědé uhlí, provozované nejvýše 3200 provozních hodin ročně, se vztahuje specifický emisní limit 2000 mg.m</w:t>
      </w:r>
      <w:r w:rsidRPr="0030358C">
        <w:rPr>
          <w:rFonts w:ascii="Arial" w:hAnsi="Arial" w:cs="Arial"/>
          <w:strike/>
          <w:sz w:val="22"/>
          <w:szCs w:val="22"/>
          <w:vertAlign w:val="superscript"/>
        </w:rPr>
        <w:t>-3</w:t>
      </w:r>
      <w:r w:rsidRPr="0030358C">
        <w:rPr>
          <w:rFonts w:ascii="Arial" w:hAnsi="Arial" w:cs="Arial"/>
          <w:strike/>
          <w:sz w:val="22"/>
          <w:szCs w:val="22"/>
        </w:rPr>
        <w:t>.</w:t>
      </w:r>
    </w:p>
    <w:p w14:paraId="5876FEA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Pokud provozovatel prokáže, že nelze této hodnoty z technických důvodů dosáhnout použitím nízkoemisních hořáků, platí specifický emisní limit 200 mg.m</w:t>
      </w:r>
      <w:r w:rsidRPr="0030358C">
        <w:rPr>
          <w:rFonts w:ascii="Arial" w:hAnsi="Arial" w:cs="Arial"/>
          <w:strike/>
          <w:sz w:val="22"/>
          <w:szCs w:val="22"/>
          <w:vertAlign w:val="superscript"/>
        </w:rPr>
        <w:t>-3</w:t>
      </w:r>
      <w:r w:rsidRPr="0030358C">
        <w:rPr>
          <w:rFonts w:ascii="Arial" w:hAnsi="Arial" w:cs="Arial"/>
          <w:strike/>
          <w:sz w:val="22"/>
          <w:szCs w:val="22"/>
        </w:rPr>
        <w:t>.</w:t>
      </w:r>
    </w:p>
    <w:p w14:paraId="6813E013"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Platí v případě spalování biomasy ve stacionárních zdrojích s výjimkou spalování výlisků z biomasy.</w:t>
      </w:r>
    </w:p>
    <w:p w14:paraId="5D881477"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4)    Vztahuje se na spalování těžkého topného oleje a jemu podobných kapalných paliv.</w:t>
      </w:r>
    </w:p>
    <w:p w14:paraId="4885F1B8"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1.1.2 - Specifické emisní limity pro stacionární zdroje, pro něž byla podána kompletní žádost o povolení provozu nebo obdobné povolení podle dřívějších právních předpisů před 1. zářím 2013, a které byly uvedeny do provozu nejpozději 1. září 2014</w:t>
      </w:r>
    </w:p>
    <w:p w14:paraId="55970D8A" w14:textId="77777777" w:rsidR="00A77B3E" w:rsidRPr="0030358C" w:rsidRDefault="00A77B3E">
      <w:pPr>
        <w:pStyle w:val="59"/>
        <w:rPr>
          <w:rFonts w:ascii="Arial" w:hAnsi="Arial" w:cs="Arial"/>
          <w:strike/>
          <w:sz w:val="22"/>
          <w:szCs w:val="22"/>
        </w:rPr>
        <w:sectPr w:rsidR="00A77B3E" w:rsidRPr="0030358C" w:rsidSect="00D804A3">
          <w:type w:val="continuous"/>
          <w:pgSz w:w="16838" w:h="11906" w:orient="landscape" w:code="9"/>
          <w:pgMar w:top="1417" w:right="1417" w:bottom="1417" w:left="1417" w:header="708" w:footer="708" w:gutter="0"/>
          <w:cols w:space="708"/>
          <w:docGrid w:linePitch="360"/>
        </w:sectPr>
      </w:pP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2564"/>
        <w:gridCol w:w="710"/>
        <w:gridCol w:w="933"/>
        <w:gridCol w:w="718"/>
        <w:gridCol w:w="660"/>
        <w:gridCol w:w="710"/>
        <w:gridCol w:w="906"/>
        <w:gridCol w:w="718"/>
        <w:gridCol w:w="660"/>
        <w:gridCol w:w="906"/>
        <w:gridCol w:w="906"/>
        <w:gridCol w:w="784"/>
        <w:gridCol w:w="795"/>
      </w:tblGrid>
      <w:tr w:rsidR="00E40657" w14:paraId="5E6CD9C0"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EEF3DF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lastRenderedPageBreak/>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B29674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5BAA53E8" w14:textId="77777777">
        <w:tc>
          <w:tcPr>
            <w:tcW w:w="0" w:type="auto"/>
            <w:vMerge/>
            <w:tcBorders>
              <w:left w:val="single" w:sz="12" w:space="0" w:color="000000"/>
              <w:right w:val="single" w:sz="12" w:space="0" w:color="000000"/>
            </w:tcBorders>
            <w:vAlign w:val="center"/>
            <w:hideMark/>
          </w:tcPr>
          <w:p w14:paraId="10EA805B"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F4AE23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6D5834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1 – 5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819AA6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 – 50 MW</w:t>
            </w:r>
          </w:p>
        </w:tc>
      </w:tr>
      <w:tr w:rsidR="00E40657" w14:paraId="2D0B3395" w14:textId="77777777">
        <w:tc>
          <w:tcPr>
            <w:tcW w:w="0" w:type="auto"/>
            <w:vMerge/>
            <w:tcBorders>
              <w:left w:val="single" w:sz="12" w:space="0" w:color="000000"/>
              <w:bottom w:val="single" w:sz="12" w:space="0" w:color="000000"/>
              <w:right w:val="single" w:sz="12" w:space="0" w:color="000000"/>
            </w:tcBorders>
            <w:vAlign w:val="center"/>
            <w:hideMark/>
          </w:tcPr>
          <w:p w14:paraId="3061D11C"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39FF33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A4363B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6556DA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5C510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E9E07B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F9B90F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E15FDA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CB0849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ADAC8F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5C126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53AEAA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048344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0822011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1C6AB2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DA0D0B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D738BE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r w:rsidRPr="0030358C">
              <w:rPr>
                <w:rFonts w:ascii="Arial" w:hAnsi="Arial" w:cs="Arial"/>
                <w:strike/>
                <w:sz w:val="22"/>
                <w:szCs w:val="22"/>
              </w:rPr>
              <w:br/>
              <w:t>1100</w:t>
            </w:r>
            <w:hyperlink w:history="1">
              <w:r w:rsidR="00A77B3E" w:rsidRPr="0030358C">
                <w:rPr>
                  <w:rFonts w:ascii="Arial" w:hAnsi="Arial" w:cs="Arial"/>
                  <w:strike/>
                  <w:sz w:val="22"/>
                  <w:szCs w:val="22"/>
                  <w:vertAlign w:val="superscript"/>
                </w:rPr>
                <w:t>2</w:t>
              </w:r>
              <w:r w:rsidR="00A77B3E" w:rsidRPr="0030358C">
                <w:rPr>
                  <w:rFonts w:ascii="Arial" w:hAnsi="Arial" w:cs="Arial"/>
                  <w:strike/>
                  <w:sz w:val="22"/>
                  <w:szCs w:val="22"/>
                </w:rPr>
                <w:t>)</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4CB79E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0F9FE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B7641B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C44A2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r w:rsidRPr="0030358C">
              <w:rPr>
                <w:rFonts w:ascii="Arial" w:hAnsi="Arial" w:cs="Arial"/>
                <w:strike/>
                <w:sz w:val="22"/>
                <w:szCs w:val="22"/>
              </w:rPr>
              <w:br/>
              <w:t>1100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F5C611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605F41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73134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2500</w:t>
            </w:r>
            <w:r w:rsidRPr="0030358C">
              <w:rPr>
                <w:rFonts w:ascii="Arial" w:hAnsi="Arial" w:cs="Arial"/>
                <w:strike/>
                <w:sz w:val="22"/>
                <w:szCs w:val="22"/>
              </w:rPr>
              <w:br/>
              <w:t>1500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B7E96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r w:rsidRPr="0030358C">
              <w:rPr>
                <w:rFonts w:ascii="Arial" w:hAnsi="Arial" w:cs="Arial"/>
                <w:strike/>
                <w:sz w:val="22"/>
                <w:szCs w:val="22"/>
              </w:rPr>
              <w:br/>
              <w:t>500</w:t>
            </w:r>
            <w:hyperlink w:history="1">
              <w:r w:rsidR="00A77B3E" w:rsidRPr="0030358C">
                <w:rPr>
                  <w:rFonts w:ascii="Arial" w:hAnsi="Arial" w:cs="Arial"/>
                  <w:strike/>
                  <w:sz w:val="22"/>
                  <w:szCs w:val="22"/>
                  <w:vertAlign w:val="superscript"/>
                </w:rPr>
                <w:t>1)</w:t>
              </w:r>
            </w:hyperlink>
            <w:r w:rsidRPr="0030358C">
              <w:rPr>
                <w:rFonts w:ascii="Arial" w:hAnsi="Arial" w:cs="Arial"/>
                <w:strike/>
                <w:sz w:val="22"/>
                <w:szCs w:val="22"/>
              </w:rPr>
              <w:t xml:space="preserve"> </w:t>
            </w:r>
            <w:r w:rsidRPr="0030358C">
              <w:rPr>
                <w:rFonts w:ascii="Arial" w:hAnsi="Arial" w:cs="Arial"/>
                <w:strike/>
                <w:sz w:val="22"/>
                <w:szCs w:val="22"/>
              </w:rPr>
              <w:br/>
              <w:t>1100</w:t>
            </w:r>
            <w:r w:rsidRPr="0030358C">
              <w:rPr>
                <w:rFonts w:ascii="Arial" w:hAnsi="Arial" w:cs="Arial"/>
                <w:strike/>
                <w:sz w:val="22"/>
                <w:szCs w:val="22"/>
                <w:vertAlign w:val="super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82075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w:t>
            </w:r>
            <w:r w:rsidRPr="0030358C">
              <w:rPr>
                <w:rFonts w:ascii="Arial" w:hAnsi="Arial" w:cs="Arial"/>
                <w:strike/>
                <w:sz w:val="22"/>
                <w:szCs w:val="22"/>
              </w:rPr>
              <w:br/>
              <w:t>100</w:t>
            </w:r>
            <w:hyperlink w:history="1">
              <w:r w:rsidR="00A77B3E" w:rsidRPr="0030358C">
                <w:rPr>
                  <w:rFonts w:ascii="Arial" w:hAnsi="Arial" w:cs="Arial"/>
                  <w:strike/>
                  <w:sz w:val="22"/>
                  <w:szCs w:val="22"/>
                  <w:vertAlign w:val="superscript"/>
                </w:rPr>
                <w:t>1)</w:t>
              </w:r>
            </w:hyperlink>
            <w:r w:rsidRPr="0030358C">
              <w:rPr>
                <w:rFonts w:ascii="Arial" w:hAnsi="Arial" w:cs="Arial"/>
                <w:strike/>
                <w:sz w:val="22"/>
                <w:szCs w:val="22"/>
              </w:rPr>
              <w:t xml:space="preserve"> </w:t>
            </w:r>
            <w:r w:rsidRPr="0030358C">
              <w:rPr>
                <w:rFonts w:ascii="Arial" w:hAnsi="Arial" w:cs="Arial"/>
                <w:strike/>
                <w:sz w:val="22"/>
                <w:szCs w:val="22"/>
              </w:rPr>
              <w:br/>
              <w:t>250</w:t>
            </w:r>
            <w:r w:rsidRPr="0030358C">
              <w:rPr>
                <w:rFonts w:ascii="Arial" w:hAnsi="Arial" w:cs="Arial"/>
                <w:strike/>
                <w:sz w:val="22"/>
                <w:szCs w:val="22"/>
                <w:vertAlign w:val="superscript"/>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B61205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r w:rsidRPr="0030358C">
              <w:rPr>
                <w:rFonts w:ascii="Arial" w:hAnsi="Arial" w:cs="Arial"/>
                <w:strike/>
                <w:sz w:val="22"/>
                <w:szCs w:val="22"/>
              </w:rPr>
              <w:br/>
              <w:t>300</w:t>
            </w:r>
            <w:hyperlink w:history="1">
              <w:r w:rsidR="00A77B3E" w:rsidRPr="0030358C">
                <w:rPr>
                  <w:rFonts w:ascii="Arial" w:hAnsi="Arial" w:cs="Arial"/>
                  <w:strike/>
                  <w:sz w:val="22"/>
                  <w:szCs w:val="22"/>
                  <w:vertAlign w:val="superscript"/>
                </w:rPr>
                <w:t>1)</w:t>
              </w:r>
            </w:hyperlink>
            <w:r w:rsidRPr="0030358C">
              <w:rPr>
                <w:rFonts w:ascii="Arial" w:hAnsi="Arial" w:cs="Arial"/>
                <w:strike/>
                <w:sz w:val="22"/>
                <w:szCs w:val="22"/>
              </w:rPr>
              <w:t xml:space="preserve"> </w:t>
            </w:r>
            <w:r w:rsidRPr="0030358C">
              <w:rPr>
                <w:rFonts w:ascii="Arial" w:hAnsi="Arial" w:cs="Arial"/>
                <w:strike/>
                <w:sz w:val="22"/>
                <w:szCs w:val="22"/>
              </w:rPr>
              <w:br/>
              <w:t>650</w:t>
            </w:r>
            <w:r w:rsidRPr="0030358C">
              <w:rPr>
                <w:rFonts w:ascii="Arial" w:hAnsi="Arial" w:cs="Arial"/>
                <w:strike/>
                <w:sz w:val="22"/>
                <w:szCs w:val="22"/>
                <w:vertAlign w:val="superscript"/>
              </w:rPr>
              <w:t>5)</w:t>
            </w:r>
          </w:p>
        </w:tc>
      </w:tr>
      <w:tr w:rsidR="00E40657" w14:paraId="16932A5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B8FDF3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 xml:space="preserve">Paliva dle </w:t>
            </w:r>
            <w:hyperlink w:history="1">
              <w:r w:rsidR="00A77B3E" w:rsidRPr="0030358C">
                <w:rPr>
                  <w:rFonts w:ascii="Arial" w:hAnsi="Arial" w:cs="Arial"/>
                  <w:strike/>
                  <w:sz w:val="22"/>
                  <w:szCs w:val="22"/>
                </w:rPr>
                <w:t>§ 15 odst. 5</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72117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81625E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4B8F6F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6E8539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9DB1E6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62ADDF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931B0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781FAD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082107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BF25D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81C475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FE95C9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r>
      <w:tr w:rsidR="00E40657" w14:paraId="25B7B41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6CAFDC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476966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74E8D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414C6B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C1808B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130AC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2924EC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E4651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06B32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61438B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1700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0CF770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2161F2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5B5422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175</w:t>
            </w:r>
          </w:p>
        </w:tc>
      </w:tr>
      <w:tr w:rsidR="00E40657" w14:paraId="6C3499D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13850C6F"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a zkapalněný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23AC0A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2FCFD8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300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E97662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137E4C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84F851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DB2DB4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300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19293D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F3EC50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6184A7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900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CEDC3A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300</w:t>
            </w:r>
            <w:hyperlink w:history="1">
              <w:r w:rsidR="00A77B3E" w:rsidRPr="0030358C">
                <w:rPr>
                  <w:rFonts w:ascii="Arial" w:hAnsi="Arial" w:cs="Arial"/>
                  <w:strike/>
                  <w:sz w:val="22"/>
                  <w:szCs w:val="22"/>
                  <w:vertAlign w:val="superscript"/>
                </w:rPr>
                <w:t>3</w:t>
              </w:r>
              <w:r w:rsidR="00A77B3E" w:rsidRPr="0030358C">
                <w:rPr>
                  <w:rFonts w:ascii="Arial" w:hAnsi="Arial" w:cs="Arial"/>
                  <w:strike/>
                  <w:sz w:val="22"/>
                  <w:szCs w:val="22"/>
                </w:rPr>
                <w:t>)</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87779E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A8CF23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bl>
    <w:p w14:paraId="38FDDA77" w14:textId="77777777" w:rsidR="00A77B3E" w:rsidRPr="0030358C" w:rsidRDefault="00A77B3E" w:rsidP="00EC5971">
      <w:pPr>
        <w:pStyle w:val="59"/>
        <w:ind w:left="0"/>
        <w:rPr>
          <w:rFonts w:ascii="Arial" w:hAnsi="Arial" w:cs="Arial"/>
          <w:strike/>
          <w:sz w:val="22"/>
          <w:szCs w:val="22"/>
        </w:rPr>
      </w:pPr>
    </w:p>
    <w:p w14:paraId="7DB2E4AA"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52FB3B0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Vztahuje se na spalovací stacionární zdroje s fluidním ložem.</w:t>
      </w:r>
    </w:p>
    <w:p w14:paraId="0B1368E9"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Vztahuje se na spalování pevných paliv ve výtavném topeništi.</w:t>
      </w:r>
    </w:p>
    <w:p w14:paraId="02AC7A6E"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Vztahuje se na spalování propan butanu.</w:t>
      </w:r>
    </w:p>
    <w:p w14:paraId="2DE181E3"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4)    Vztahuje se na spalování paliv dodávaných mimo veřejné distribuční sítě.</w:t>
      </w:r>
    </w:p>
    <w:p w14:paraId="3F40B696"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5)    Vztahuje se na spalování biomasy ve stacionárních zdrojích.</w:t>
      </w:r>
    </w:p>
    <w:p w14:paraId="30A97029" w14:textId="77777777" w:rsidR="00A77B3E" w:rsidRPr="0030358C" w:rsidRDefault="00000000">
      <w:pPr>
        <w:pStyle w:val="57"/>
        <w:rPr>
          <w:rFonts w:ascii="Arial" w:hAnsi="Arial" w:cs="Arial"/>
          <w:strike/>
          <w:szCs w:val="22"/>
        </w:rPr>
      </w:pPr>
      <w:r w:rsidRPr="0030358C">
        <w:rPr>
          <w:rFonts w:ascii="Arial" w:hAnsi="Arial" w:cs="Arial"/>
          <w:strike/>
          <w:szCs w:val="22"/>
        </w:rPr>
        <w:t>1.2.    Specifické emisní limity pro pístové spalovací motory</w:t>
      </w:r>
    </w:p>
    <w:p w14:paraId="6F409C4C"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1.2.1 - Specifické emisní limity pro stacionární zdroje, pro něž byla podána kompletní žádost o povolení provozu nebo obdobné povolení podle dřívějších právních předpisů 1. září 2013 nebo později a pro stacionární zdroje, které byly uvedeny do provozu po 1. září 2014</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217"/>
        <w:gridCol w:w="887"/>
        <w:gridCol w:w="882"/>
        <w:gridCol w:w="811"/>
        <w:gridCol w:w="887"/>
        <w:gridCol w:w="882"/>
        <w:gridCol w:w="811"/>
        <w:gridCol w:w="887"/>
        <w:gridCol w:w="882"/>
        <w:gridCol w:w="824"/>
      </w:tblGrid>
      <w:tr w:rsidR="00E40657" w14:paraId="34927364"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CB913C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9"/>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338C96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76090EAE" w14:textId="77777777">
        <w:tc>
          <w:tcPr>
            <w:tcW w:w="0" w:type="auto"/>
            <w:vMerge/>
            <w:tcBorders>
              <w:left w:val="single" w:sz="12" w:space="0" w:color="000000"/>
              <w:right w:val="single" w:sz="12" w:space="0" w:color="000000"/>
            </w:tcBorders>
            <w:vAlign w:val="center"/>
            <w:hideMark/>
          </w:tcPr>
          <w:p w14:paraId="7161A569" w14:textId="77777777" w:rsidR="00A77B3E" w:rsidRPr="0030358C" w:rsidRDefault="00A77B3E">
            <w:pPr>
              <w:overflowPunct w:val="0"/>
              <w:rPr>
                <w:rFonts w:ascii="Arial" w:hAnsi="Arial" w:cs="Arial"/>
                <w:b/>
                <w:bCs/>
                <w:strike/>
                <w:sz w:val="22"/>
                <w:szCs w:val="22"/>
              </w:rPr>
            </w:pP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A13951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0,3-1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C4AAAF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1-5MW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78E380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5158A48C" w14:textId="77777777">
        <w:tc>
          <w:tcPr>
            <w:tcW w:w="0" w:type="auto"/>
            <w:vMerge/>
            <w:tcBorders>
              <w:left w:val="single" w:sz="12" w:space="0" w:color="000000"/>
              <w:bottom w:val="single" w:sz="12" w:space="0" w:color="000000"/>
              <w:right w:val="single" w:sz="12" w:space="0" w:color="000000"/>
            </w:tcBorders>
            <w:vAlign w:val="center"/>
            <w:hideMark/>
          </w:tcPr>
          <w:p w14:paraId="54851FBF"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21FCA0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895B6F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298444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80DE0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8D31BF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5E3E57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2E7A65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BE4CE0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3C03FB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70210B9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0AD65A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20920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8DF2E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BAC46C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244FB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129F8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47FEB7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A792F2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614210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D44B6A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2257590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EC5E27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a zkapalněný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88EB86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644AC2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38CDCC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DFEE09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5FAC4F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06315D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449B85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B31B64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D2A7F0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bl>
    <w:p w14:paraId="0BFE36B6" w14:textId="77777777" w:rsidR="00A77B3E" w:rsidRPr="0030358C" w:rsidRDefault="00A77B3E">
      <w:pPr>
        <w:pStyle w:val="59"/>
        <w:rPr>
          <w:rFonts w:ascii="Arial" w:hAnsi="Arial" w:cs="Arial"/>
          <w:strike/>
          <w:sz w:val="22"/>
          <w:szCs w:val="22"/>
        </w:rPr>
      </w:pPr>
    </w:p>
    <w:p w14:paraId="32859233"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1.2.2 - Specifické emisní limity pro stacionární zdroje, pro něž byla podána kompletní žádost o povolení provozu nebo obdobné povolení podle dřívějších právních předpisů před 1. zářím 2013, a které byly uvedeny do provozu nejpozději 1. září 2014</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2641"/>
        <w:gridCol w:w="2121"/>
        <w:gridCol w:w="782"/>
        <w:gridCol w:w="718"/>
        <w:gridCol w:w="782"/>
        <w:gridCol w:w="906"/>
        <w:gridCol w:w="718"/>
        <w:gridCol w:w="782"/>
        <w:gridCol w:w="1131"/>
        <w:gridCol w:w="718"/>
        <w:gridCol w:w="671"/>
      </w:tblGrid>
      <w:tr w:rsidR="00E40657" w14:paraId="4126A739"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hideMark/>
          </w:tcPr>
          <w:p w14:paraId="49467D3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pístového spalovacího motoru</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hideMark/>
          </w:tcPr>
          <w:p w14:paraId="303E031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9"/>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560962F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4693B42C" w14:textId="77777777">
        <w:tc>
          <w:tcPr>
            <w:tcW w:w="0" w:type="auto"/>
            <w:vMerge/>
            <w:tcBorders>
              <w:left w:val="single" w:sz="12" w:space="0" w:color="000000"/>
              <w:right w:val="single" w:sz="12" w:space="0" w:color="000000"/>
            </w:tcBorders>
            <w:vAlign w:val="center"/>
            <w:hideMark/>
          </w:tcPr>
          <w:p w14:paraId="02EA1B77" w14:textId="77777777" w:rsidR="00A77B3E" w:rsidRPr="0030358C" w:rsidRDefault="00A77B3E">
            <w:pPr>
              <w:overflowPunct w:val="0"/>
              <w:rPr>
                <w:rFonts w:ascii="Arial" w:hAnsi="Arial" w:cs="Arial"/>
                <w:b/>
                <w:bCs/>
                <w:strike/>
                <w:sz w:val="22"/>
                <w:szCs w:val="22"/>
              </w:rPr>
            </w:pPr>
          </w:p>
        </w:tc>
        <w:tc>
          <w:tcPr>
            <w:tcW w:w="0" w:type="auto"/>
            <w:vMerge/>
            <w:tcBorders>
              <w:left w:val="single" w:sz="12" w:space="0" w:color="000000"/>
              <w:right w:val="single" w:sz="12" w:space="0" w:color="000000"/>
            </w:tcBorders>
            <w:vAlign w:val="center"/>
            <w:hideMark/>
          </w:tcPr>
          <w:p w14:paraId="6A2C4AF7" w14:textId="77777777" w:rsidR="00A77B3E" w:rsidRPr="0030358C" w:rsidRDefault="00A77B3E">
            <w:pPr>
              <w:overflowPunct w:val="0"/>
              <w:rPr>
                <w:rFonts w:ascii="Arial" w:hAnsi="Arial" w:cs="Arial"/>
                <w:b/>
                <w:bCs/>
                <w:strike/>
                <w:sz w:val="22"/>
                <w:szCs w:val="22"/>
              </w:rPr>
            </w:pP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4044E26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 1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2DAED09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1 – 5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26848FF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 MW-50 MW</w:t>
            </w:r>
          </w:p>
        </w:tc>
      </w:tr>
      <w:tr w:rsidR="00E40657" w14:paraId="34490F1E" w14:textId="77777777">
        <w:tc>
          <w:tcPr>
            <w:tcW w:w="0" w:type="auto"/>
            <w:vMerge/>
            <w:tcBorders>
              <w:left w:val="single" w:sz="12" w:space="0" w:color="000000"/>
              <w:bottom w:val="single" w:sz="12" w:space="0" w:color="000000"/>
              <w:right w:val="single" w:sz="12" w:space="0" w:color="000000"/>
            </w:tcBorders>
            <w:vAlign w:val="center"/>
            <w:hideMark/>
          </w:tcPr>
          <w:p w14:paraId="2B73D3BA" w14:textId="77777777" w:rsidR="00A77B3E" w:rsidRPr="0030358C" w:rsidRDefault="00A77B3E">
            <w:pPr>
              <w:overflowPunct w:val="0"/>
              <w:rPr>
                <w:rFonts w:ascii="Arial" w:hAnsi="Arial" w:cs="Arial"/>
                <w:b/>
                <w:bCs/>
                <w:strike/>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158E54F3"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105DA19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730D7B0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673636A0"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25DA8C0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4C3B356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167C54C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3ACC73F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508A7EC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hideMark/>
          </w:tcPr>
          <w:p w14:paraId="6C2DCE1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50C438E0" w14:textId="77777777">
        <w:tc>
          <w:tcPr>
            <w:tcW w:w="0" w:type="auto"/>
            <w:vMerge w:val="restart"/>
            <w:tcBorders>
              <w:top w:val="single" w:sz="3" w:space="0" w:color="000000"/>
              <w:right w:val="single" w:sz="3" w:space="0" w:color="000000"/>
            </w:tcBorders>
            <w:tcMar>
              <w:top w:w="85" w:type="dxa"/>
              <w:left w:w="157" w:type="dxa"/>
              <w:bottom w:w="85" w:type="dxa"/>
              <w:right w:w="146" w:type="dxa"/>
            </w:tcMar>
            <w:hideMark/>
          </w:tcPr>
          <w:p w14:paraId="71D5D0FB"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motor</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32BF1A4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860019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62ACC7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2F392D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554AA6F"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C1B088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4227F8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A83342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673F13E"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48FA98C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650</w:t>
            </w:r>
          </w:p>
        </w:tc>
      </w:tr>
      <w:tr w:rsidR="00E40657" w14:paraId="19EDCB94" w14:textId="77777777">
        <w:tc>
          <w:tcPr>
            <w:tcW w:w="0" w:type="auto"/>
            <w:vMerge/>
            <w:tcBorders>
              <w:right w:val="single" w:sz="3" w:space="0" w:color="000000"/>
            </w:tcBorders>
            <w:vAlign w:val="center"/>
            <w:hideMark/>
          </w:tcPr>
          <w:p w14:paraId="12C6CBC2"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F8397E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 a degazační plyn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667959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EE2BAD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B27978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8ED484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1FB6A2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524D64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13E2A4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8E8CB9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45D866D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r w:rsidR="00E40657" w14:paraId="0F34786B" w14:textId="77777777">
        <w:tc>
          <w:tcPr>
            <w:tcW w:w="0" w:type="auto"/>
            <w:vMerge/>
            <w:tcBorders>
              <w:bottom w:val="single" w:sz="3" w:space="0" w:color="000000"/>
              <w:right w:val="single" w:sz="3" w:space="0" w:color="000000"/>
            </w:tcBorders>
            <w:vAlign w:val="center"/>
            <w:hideMark/>
          </w:tcPr>
          <w:p w14:paraId="52A7AA35"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5398B0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B96270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A6377C8" w14:textId="77777777" w:rsidR="00A77B3E" w:rsidRPr="0030358C" w:rsidRDefault="00A77B3E">
            <w:pPr>
              <w:pStyle w:val="59"/>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4F6F76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17D98F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r w:rsidRPr="0030358C">
              <w:rPr>
                <w:rFonts w:ascii="Arial" w:hAnsi="Arial" w:cs="Arial"/>
                <w:strike/>
                <w:sz w:val="22"/>
                <w:szCs w:val="22"/>
              </w:rPr>
              <w:br/>
              <w:t>1000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A61E2E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84B2B2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6C2A86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4C3EE6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3B9CF37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r w:rsidR="00E40657" w14:paraId="45140B91" w14:textId="77777777">
        <w:tc>
          <w:tcPr>
            <w:tcW w:w="0" w:type="auto"/>
            <w:vMerge w:val="restart"/>
            <w:tcBorders>
              <w:top w:val="single" w:sz="3" w:space="0" w:color="000000"/>
              <w:right w:val="single" w:sz="3" w:space="0" w:color="000000"/>
            </w:tcBorders>
            <w:tcMar>
              <w:top w:w="85" w:type="dxa"/>
              <w:left w:w="157" w:type="dxa"/>
              <w:bottom w:w="85" w:type="dxa"/>
              <w:right w:w="146" w:type="dxa"/>
            </w:tcMar>
            <w:hideMark/>
          </w:tcPr>
          <w:p w14:paraId="6AFC5B1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Dieselový motor</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E3F605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060B5E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92F9BA9" w14:textId="77777777" w:rsidR="00A77B3E" w:rsidRPr="0030358C" w:rsidRDefault="00A77B3E">
            <w:pPr>
              <w:pStyle w:val="59"/>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6273917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69F56E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r w:rsidRPr="0030358C">
              <w:rPr>
                <w:rFonts w:ascii="Arial" w:hAnsi="Arial" w:cs="Arial"/>
                <w:strike/>
                <w:sz w:val="22"/>
                <w:szCs w:val="22"/>
              </w:rPr>
              <w:br/>
              <w:t>600</w:t>
            </w:r>
            <w:hyperlink w:history="1">
              <w:r w:rsidR="00A77B3E" w:rsidRPr="0030358C">
                <w:rPr>
                  <w:rFonts w:ascii="Arial" w:hAnsi="Arial" w:cs="Arial"/>
                  <w:strike/>
                  <w:sz w:val="22"/>
                  <w:szCs w:val="22"/>
                  <w:vertAlign w:val="superscript"/>
                </w:rPr>
                <w:t>2)</w:t>
              </w:r>
            </w:hyperlink>
            <w:r w:rsidRPr="0030358C">
              <w:rPr>
                <w:rFonts w:ascii="Arial" w:hAnsi="Arial" w:cs="Arial"/>
                <w:strike/>
                <w:sz w:val="22"/>
                <w:szCs w:val="22"/>
                <w:vertAlign w:val="superscript"/>
              </w:rPr>
              <w:br/>
            </w:r>
            <w:r w:rsidRPr="0030358C">
              <w:rPr>
                <w:rFonts w:ascii="Arial" w:hAnsi="Arial" w:cs="Arial"/>
                <w:strike/>
                <w:sz w:val="22"/>
                <w:szCs w:val="22"/>
              </w:rPr>
              <w:t>4000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29D4730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64E322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10E6F51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r w:rsidRPr="0030358C">
              <w:rPr>
                <w:rFonts w:ascii="Arial" w:hAnsi="Arial" w:cs="Arial"/>
                <w:strike/>
                <w:sz w:val="22"/>
                <w:szCs w:val="22"/>
              </w:rPr>
              <w:br/>
              <w:t>600</w:t>
            </w:r>
            <w:hyperlink w:history="1">
              <w:r w:rsidR="00A77B3E" w:rsidRPr="0030358C">
                <w:rPr>
                  <w:rFonts w:ascii="Arial" w:hAnsi="Arial" w:cs="Arial"/>
                  <w:strike/>
                  <w:sz w:val="22"/>
                  <w:szCs w:val="22"/>
                  <w:vertAlign w:val="superscript"/>
                </w:rPr>
                <w:t>2)</w:t>
              </w:r>
            </w:hyperlink>
            <w:r w:rsidRPr="0030358C">
              <w:rPr>
                <w:rFonts w:ascii="Arial" w:hAnsi="Arial" w:cs="Arial"/>
                <w:strike/>
                <w:sz w:val="22"/>
                <w:szCs w:val="22"/>
                <w:vertAlign w:val="superscript"/>
              </w:rPr>
              <w:t xml:space="preserve"> </w:t>
            </w:r>
            <w:r w:rsidRPr="0030358C">
              <w:rPr>
                <w:rFonts w:ascii="Arial" w:hAnsi="Arial" w:cs="Arial"/>
                <w:strike/>
                <w:sz w:val="22"/>
                <w:szCs w:val="22"/>
              </w:rPr>
              <w:t>2000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755FF1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092755D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r w:rsidR="00E40657" w14:paraId="67AFBE05" w14:textId="77777777">
        <w:tc>
          <w:tcPr>
            <w:tcW w:w="0" w:type="auto"/>
            <w:vMerge/>
            <w:tcBorders>
              <w:right w:val="single" w:sz="3" w:space="0" w:color="000000"/>
            </w:tcBorders>
            <w:vAlign w:val="center"/>
            <w:hideMark/>
          </w:tcPr>
          <w:p w14:paraId="2D0C8EF2"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5D4A88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 a degazační plyn</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A51982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074820D0" w14:textId="77777777" w:rsidR="00A77B3E" w:rsidRPr="0030358C" w:rsidRDefault="00A77B3E">
            <w:pPr>
              <w:pStyle w:val="59"/>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51F87F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55AF84E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r w:rsidRPr="0030358C">
              <w:rPr>
                <w:rFonts w:ascii="Arial" w:hAnsi="Arial" w:cs="Arial"/>
                <w:strike/>
                <w:sz w:val="22"/>
                <w:szCs w:val="22"/>
              </w:rPr>
              <w:br/>
              <w:t>4000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98AE6CA" w14:textId="77777777" w:rsidR="00A77B3E" w:rsidRPr="0030358C" w:rsidRDefault="00A77B3E">
            <w:pPr>
              <w:pStyle w:val="59"/>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0C4AEC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447292A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r w:rsidRPr="0030358C">
              <w:rPr>
                <w:rFonts w:ascii="Arial" w:hAnsi="Arial" w:cs="Arial"/>
                <w:strike/>
                <w:sz w:val="22"/>
                <w:szCs w:val="22"/>
              </w:rPr>
              <w:br/>
              <w:t>2000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hideMark/>
          </w:tcPr>
          <w:p w14:paraId="7A715367" w14:textId="77777777" w:rsidR="00A77B3E" w:rsidRPr="0030358C" w:rsidRDefault="00A77B3E">
            <w:pPr>
              <w:pStyle w:val="59"/>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hideMark/>
          </w:tcPr>
          <w:p w14:paraId="689999D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r w:rsidR="00E40657" w14:paraId="6700BA22" w14:textId="77777777">
        <w:tc>
          <w:tcPr>
            <w:tcW w:w="0" w:type="auto"/>
            <w:vMerge/>
            <w:tcBorders>
              <w:bottom w:val="single" w:sz="12" w:space="0" w:color="000000"/>
              <w:right w:val="single" w:sz="3" w:space="0" w:color="000000"/>
            </w:tcBorders>
            <w:vAlign w:val="center"/>
            <w:hideMark/>
          </w:tcPr>
          <w:p w14:paraId="5C19BBC1"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6244B13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obecně</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004F0CC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73AA15EA" w14:textId="77777777" w:rsidR="00A77B3E" w:rsidRPr="0030358C" w:rsidRDefault="00A77B3E">
            <w:pPr>
              <w:pStyle w:val="59"/>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5F17BA3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2C5033D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r w:rsidRPr="0030358C">
              <w:rPr>
                <w:rFonts w:ascii="Arial" w:hAnsi="Arial" w:cs="Arial"/>
                <w:strike/>
                <w:sz w:val="22"/>
                <w:szCs w:val="22"/>
              </w:rPr>
              <w:br/>
              <w:t>4000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1BE180B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3514D75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7B96B23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r w:rsidRPr="0030358C">
              <w:rPr>
                <w:rFonts w:ascii="Arial" w:hAnsi="Arial" w:cs="Arial"/>
                <w:strike/>
                <w:sz w:val="22"/>
                <w:szCs w:val="22"/>
              </w:rPr>
              <w:br/>
              <w:t>2000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hideMark/>
          </w:tcPr>
          <w:p w14:paraId="5F3F16D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hideMark/>
          </w:tcPr>
          <w:p w14:paraId="125BCE2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bl>
    <w:p w14:paraId="21F18FE2" w14:textId="77777777" w:rsidR="00A77B3E" w:rsidRPr="0030358C" w:rsidRDefault="00A77B3E">
      <w:pPr>
        <w:pStyle w:val="59"/>
        <w:rPr>
          <w:rFonts w:ascii="Arial" w:hAnsi="Arial" w:cs="Arial"/>
          <w:strike/>
          <w:sz w:val="22"/>
          <w:szCs w:val="22"/>
        </w:rPr>
      </w:pPr>
    </w:p>
    <w:p w14:paraId="4B29894C"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lastRenderedPageBreak/>
        <w:t>Vysvětlivky:</w:t>
      </w:r>
    </w:p>
    <w:p w14:paraId="13850B4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Se vstřikovacím zapalováním.</w:t>
      </w:r>
    </w:p>
    <w:p w14:paraId="720EF830"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Platí pro těžký topný olej.</w:t>
      </w:r>
    </w:p>
    <w:p w14:paraId="43542F44"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3)    Platí pouze pro pístové spalovací motory, jejichž stavba či přestavba byla zahájena před 17. květnem 2006.</w:t>
      </w:r>
    </w:p>
    <w:p w14:paraId="0FA617DA" w14:textId="77777777" w:rsidR="00A77B3E" w:rsidRPr="0030358C" w:rsidRDefault="00000000">
      <w:pPr>
        <w:pStyle w:val="57"/>
        <w:rPr>
          <w:rFonts w:ascii="Arial" w:hAnsi="Arial" w:cs="Arial"/>
          <w:strike/>
          <w:szCs w:val="22"/>
        </w:rPr>
      </w:pPr>
      <w:r w:rsidRPr="0030358C">
        <w:rPr>
          <w:rFonts w:ascii="Arial" w:hAnsi="Arial" w:cs="Arial"/>
          <w:strike/>
          <w:szCs w:val="22"/>
        </w:rPr>
        <w:t>1.3.    Specifické emisní limity pro plynové turbíny</w:t>
      </w:r>
    </w:p>
    <w:p w14:paraId="71EDB8FE"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1.3.1 - Specifické emisní limity pro stacionární zdroje, pro něž byla podána kompletní žádost o povolení provozu nebo obdobné povolení podle dřívějších právních předpisů 1. září 2013 nebo později a pro stacionární zdroje, které byly uvedeny do provozu po 1. září 2014</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361"/>
        <w:gridCol w:w="1190"/>
        <w:gridCol w:w="1087"/>
        <w:gridCol w:w="1127"/>
        <w:gridCol w:w="1030"/>
        <w:gridCol w:w="1127"/>
        <w:gridCol w:w="1048"/>
      </w:tblGrid>
      <w:tr w:rsidR="00E40657" w14:paraId="43F84A01"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7DEEE5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6"/>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E6997F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29D25592" w14:textId="77777777">
        <w:tc>
          <w:tcPr>
            <w:tcW w:w="0" w:type="auto"/>
            <w:vMerge/>
            <w:tcBorders>
              <w:left w:val="single" w:sz="12" w:space="0" w:color="000000"/>
              <w:right w:val="single" w:sz="12" w:space="0" w:color="000000"/>
            </w:tcBorders>
            <w:vAlign w:val="center"/>
            <w:hideMark/>
          </w:tcPr>
          <w:p w14:paraId="273BEFB1" w14:textId="77777777" w:rsidR="00A77B3E" w:rsidRPr="0030358C" w:rsidRDefault="00A77B3E">
            <w:pPr>
              <w:overflowPunct w:val="0"/>
              <w:rPr>
                <w:rFonts w:ascii="Arial" w:hAnsi="Arial" w:cs="Arial"/>
                <w:b/>
                <w:bCs/>
                <w:strike/>
                <w:sz w:val="22"/>
                <w:szCs w:val="22"/>
              </w:rPr>
            </w:pP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1671F4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0,3-1 MW</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C28000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1-5MW</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595AB1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6EAB367A" w14:textId="77777777">
        <w:tc>
          <w:tcPr>
            <w:tcW w:w="0" w:type="auto"/>
            <w:vMerge/>
            <w:tcBorders>
              <w:left w:val="single" w:sz="12" w:space="0" w:color="000000"/>
              <w:bottom w:val="single" w:sz="12" w:space="0" w:color="000000"/>
              <w:right w:val="single" w:sz="12" w:space="0" w:color="000000"/>
            </w:tcBorders>
            <w:vAlign w:val="center"/>
            <w:hideMark/>
          </w:tcPr>
          <w:p w14:paraId="05299A4F"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117B2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1AD5DD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2F57AB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E726DA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6E5034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ABB4DF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3D61DC1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955CB2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B6043B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123FB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23E5F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63AFAD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FB510F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0580FC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27DC299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E4480C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a zkapalněný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50CE46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AA401F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0EB33F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A34A9F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16A88B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4F0C59C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bl>
    <w:p w14:paraId="44335B18" w14:textId="77777777" w:rsidR="00A77B3E" w:rsidRPr="0030358C" w:rsidRDefault="00A77B3E">
      <w:pPr>
        <w:pStyle w:val="59"/>
        <w:rPr>
          <w:rFonts w:ascii="Arial" w:hAnsi="Arial" w:cs="Arial"/>
          <w:strike/>
          <w:sz w:val="22"/>
          <w:szCs w:val="22"/>
        </w:rPr>
      </w:pPr>
    </w:p>
    <w:p w14:paraId="013A8323" w14:textId="77777777" w:rsidR="00A77B3E" w:rsidRPr="0030358C" w:rsidRDefault="00A77B3E">
      <w:pPr>
        <w:pStyle w:val="58"/>
        <w:rPr>
          <w:rFonts w:ascii="Arial" w:hAnsi="Arial" w:cs="Arial"/>
          <w:strike/>
          <w:sz w:val="22"/>
          <w:szCs w:val="22"/>
        </w:rPr>
        <w:sectPr w:rsidR="00A77B3E" w:rsidRPr="0030358C" w:rsidSect="00D804A3">
          <w:pgSz w:w="16838" w:h="11906" w:orient="landscape" w:code="9"/>
          <w:pgMar w:top="1417" w:right="1417" w:bottom="1417" w:left="1417" w:header="708" w:footer="708" w:gutter="0"/>
          <w:cols w:space="708"/>
          <w:docGrid w:linePitch="360"/>
        </w:sectPr>
      </w:pPr>
    </w:p>
    <w:p w14:paraId="3CC579E8"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lastRenderedPageBreak/>
        <w:t>Tabulka 1.3.2 - Specifické emisní limity pro stacionární zdroje, pro něž byla podána kompletní žádost o povolení provozu nebo obdobné povolení podle dřívějších právních předpisů před 1. zářím 2013, a které byly uvedeny do provozu nejpozději 1. září 2014</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060"/>
        <w:gridCol w:w="3063"/>
        <w:gridCol w:w="2847"/>
      </w:tblGrid>
      <w:tr w:rsidR="00E40657" w14:paraId="1982148F"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EE288D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Celkový jmenovitý tepelný příkon</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3A91B1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3EDC6C89" w14:textId="77777777">
        <w:tc>
          <w:tcPr>
            <w:tcW w:w="0" w:type="auto"/>
            <w:vMerge/>
            <w:tcBorders>
              <w:left w:val="single" w:sz="12" w:space="0" w:color="000000"/>
              <w:bottom w:val="single" w:sz="12" w:space="0" w:color="000000"/>
              <w:right w:val="single" w:sz="12" w:space="0" w:color="000000"/>
            </w:tcBorders>
            <w:vAlign w:val="center"/>
            <w:hideMark/>
          </w:tcPr>
          <w:p w14:paraId="2E5B7071"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4F5654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53A766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213C6E0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93CA2EE"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&gt; 0,3-5 MW</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643522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FB3D69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0BE534BF"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6567A42"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&gt; 5 MW-50 MW</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E9CFCC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479A777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bl>
    <w:p w14:paraId="73253F2D" w14:textId="77777777" w:rsidR="00A77B3E" w:rsidRPr="0030358C" w:rsidRDefault="00A77B3E">
      <w:pPr>
        <w:pStyle w:val="59"/>
        <w:rPr>
          <w:rFonts w:ascii="Arial" w:hAnsi="Arial" w:cs="Arial"/>
          <w:strike/>
          <w:sz w:val="22"/>
          <w:szCs w:val="22"/>
        </w:rPr>
      </w:pPr>
    </w:p>
    <w:p w14:paraId="76F59F99" w14:textId="77777777" w:rsidR="00A77B3E" w:rsidRPr="0030358C" w:rsidRDefault="00000000">
      <w:pPr>
        <w:pStyle w:val="46"/>
        <w:rPr>
          <w:rFonts w:ascii="Arial" w:hAnsi="Arial" w:cs="Arial"/>
          <w:strike/>
          <w:szCs w:val="22"/>
        </w:rPr>
      </w:pPr>
      <w:r w:rsidRPr="0030358C">
        <w:rPr>
          <w:rFonts w:ascii="Arial" w:hAnsi="Arial" w:cs="Arial"/>
          <w:strike/>
          <w:szCs w:val="22"/>
        </w:rPr>
        <w:t>2.    Specifické emisní limity platné od 20. prosince 2018 do 31. prosince 2024</w:t>
      </w:r>
    </w:p>
    <w:p w14:paraId="47F8B355"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Specifické emisní limity jsou vztaženy k celkovému jmenovitému tepelnému příkonu a na normální stavové podmínky a suchý plyn při referenčním obsahu kyslíku v odpadním plynu 6 % v případě pevných paliv s výjimkou biomasy, 11 % v případě biomasy a 3 % v případě kapalných a plynných paliv.</w:t>
      </w:r>
    </w:p>
    <w:p w14:paraId="2B049C5F"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pístové spalovací motory jsou specifické emisní limity vztaženy k celkovému jmenovitému tepelnému příkonu a na normální stavové podmínky a suchý plyn (není-li dále uvedeno jinak), při referenčním obsahu kyslíku 5 % a nevztahují se na záložní zdroje energie a požární čerpadla provozované méně než 300 provozních hodin ročně. Plynovým motorem se rozumí motor s vnitřním spalováním pracující na principu Ottova cyklu a využívající zážehové zapalování paliva nebo v případě dvoupalivového motoru využívající vznětové zapalování paliva.</w:t>
      </w:r>
    </w:p>
    <w:p w14:paraId="6AEFAFD7"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spalovací stacionární zdroje, jejichž provozní hodiny nepřekročí 500 hodin ročně, vyjádřeno jako klouzavý průměr za období tří kalendářních let, platí specifické emisní limity uvedené v tabulkách 1.1.1, 1.2.1 a 1.3.1.</w:t>
      </w:r>
    </w:p>
    <w:p w14:paraId="0839C850"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plynové turbíny jsou specifické emisní limity vztaženy na normální stavové podmínky a suchý plyn při referenčním obsahu kyslíku 15 % a nevztahují se na záložní zdroje energie provozované méně než 300 provozních hodin ročně a v případě oxidů dusíku při zatížení nižším než 70 %.</w:t>
      </w:r>
    </w:p>
    <w:p w14:paraId="2BC66C9F"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teplovzdušné spalovací stacionární zdroje jsou specifické emisní limity uvedené v tabulce 2.1.2 vztaženy na normální stavové podmínky a suchý plyn při referenčním obsahu kyslíku 17 %.</w:t>
      </w:r>
    </w:p>
    <w:p w14:paraId="7641D524"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stacionární zdroje, jejichž jmenovitý tepelný příkon je nižší než 1 MW, ale celkový jmenovitý tepelný příkon je vyšší než 1 MW se namísto emisních limitů podle tabulky 2.2.1. a 2.3.1. uplatní emisní limity dle celkového jmenovitého tepelného příkonu podle tabulky 2.2.2. a 2.3.2.</w:t>
      </w:r>
    </w:p>
    <w:p w14:paraId="569ACDEC" w14:textId="77777777" w:rsidR="00A77B3E" w:rsidRPr="0030358C" w:rsidRDefault="00000000">
      <w:pPr>
        <w:pStyle w:val="56"/>
        <w:rPr>
          <w:rFonts w:ascii="Arial" w:hAnsi="Arial" w:cs="Arial"/>
          <w:strike/>
          <w:sz w:val="22"/>
          <w:szCs w:val="22"/>
        </w:rPr>
      </w:pPr>
      <w:r w:rsidRPr="0030358C">
        <w:rPr>
          <w:rFonts w:ascii="Arial" w:hAnsi="Arial" w:cs="Arial"/>
          <w:strike/>
          <w:sz w:val="22"/>
          <w:szCs w:val="22"/>
        </w:rPr>
        <w:lastRenderedPageBreak/>
        <w:t xml:space="preserve">Emisní limity uvedené v tabulce 2.1.2 se neuplatní pro spalovací stacionární zdroje zařazené do kódu 1.4 </w:t>
      </w:r>
      <w:hyperlink w:history="1">
        <w:r w:rsidR="00A77B3E" w:rsidRPr="0030358C">
          <w:rPr>
            <w:rFonts w:ascii="Arial" w:hAnsi="Arial" w:cs="Arial"/>
            <w:strike/>
            <w:sz w:val="22"/>
            <w:szCs w:val="22"/>
          </w:rPr>
          <w:t>přílohy č. 2</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jiné než teplovzdušné spalovací zdroje.</w:t>
      </w:r>
    </w:p>
    <w:p w14:paraId="0BDABCB7" w14:textId="77777777" w:rsidR="00A77B3E" w:rsidRPr="0030358C" w:rsidRDefault="00000000">
      <w:pPr>
        <w:pStyle w:val="57"/>
        <w:rPr>
          <w:rFonts w:ascii="Arial" w:hAnsi="Arial" w:cs="Arial"/>
          <w:strike/>
          <w:szCs w:val="22"/>
        </w:rPr>
      </w:pPr>
      <w:r w:rsidRPr="0030358C">
        <w:rPr>
          <w:rFonts w:ascii="Arial" w:hAnsi="Arial" w:cs="Arial"/>
          <w:strike/>
          <w:szCs w:val="22"/>
        </w:rPr>
        <w:t>2.1.    Specifické emisní limity pro spalovací stacionární zdroje s výjimkou pístových spalovacích motorů a plynových turbín</w:t>
      </w:r>
    </w:p>
    <w:p w14:paraId="6186741F"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2.1.1 - Specifické emisní limity pro stacionární zdroje uvedené do provozu 20. prosince 2018 nebo později</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071"/>
        <w:gridCol w:w="710"/>
        <w:gridCol w:w="784"/>
        <w:gridCol w:w="718"/>
        <w:gridCol w:w="660"/>
        <w:gridCol w:w="784"/>
        <w:gridCol w:w="784"/>
        <w:gridCol w:w="718"/>
        <w:gridCol w:w="660"/>
        <w:gridCol w:w="784"/>
        <w:gridCol w:w="784"/>
        <w:gridCol w:w="718"/>
        <w:gridCol w:w="795"/>
      </w:tblGrid>
      <w:tr w:rsidR="00E40657" w14:paraId="2091E5A4"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E21B99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ED9475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58D396A6" w14:textId="77777777">
        <w:tc>
          <w:tcPr>
            <w:tcW w:w="0" w:type="auto"/>
            <w:vMerge/>
            <w:tcBorders>
              <w:left w:val="single" w:sz="12" w:space="0" w:color="000000"/>
              <w:right w:val="single" w:sz="12" w:space="0" w:color="000000"/>
            </w:tcBorders>
            <w:vAlign w:val="center"/>
            <w:hideMark/>
          </w:tcPr>
          <w:p w14:paraId="182377C2"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3B6034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8A87E4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302431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369F296A" w14:textId="77777777">
        <w:tc>
          <w:tcPr>
            <w:tcW w:w="0" w:type="auto"/>
            <w:vMerge/>
            <w:tcBorders>
              <w:left w:val="single" w:sz="12" w:space="0" w:color="000000"/>
              <w:bottom w:val="single" w:sz="12" w:space="0" w:color="000000"/>
              <w:right w:val="single" w:sz="12" w:space="0" w:color="000000"/>
            </w:tcBorders>
            <w:vAlign w:val="center"/>
            <w:hideMark/>
          </w:tcPr>
          <w:p w14:paraId="48475657"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3C820F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FA6A4D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70F7E0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863119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BA76E8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149121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B486B7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44F0C3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794A5D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CAC3A9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64FD5D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FCC95E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23E6CC9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3049C5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 s výjimkou biomasy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EE0DA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8F3A1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B3ECC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78E79B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FE00D8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174397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2CDEF1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5908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FA0B42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2D681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FED4E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E39A11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r>
      <w:tr w:rsidR="00E40657" w14:paraId="0138A40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843D51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 -biomasa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53709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13D78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54135F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C0BE6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A54E4D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133</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DCA04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FE24F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FDC77F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7F2F19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133</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E2BADF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CBD8A5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w:t>
            </w:r>
            <w:hyperlink w:history="1">
              <w:r w:rsidR="00A77B3E" w:rsidRPr="0030358C">
                <w:rPr>
                  <w:rFonts w:ascii="Arial" w:hAnsi="Arial" w:cs="Arial"/>
                  <w:strike/>
                  <w:sz w:val="22"/>
                  <w:szCs w:val="22"/>
                  <w:vertAlign w:val="superscript"/>
                </w:rPr>
                <w:t>6)</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71DD0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hyperlink w:history="1">
              <w:r w:rsidR="00A77B3E" w:rsidRPr="0030358C">
                <w:rPr>
                  <w:rFonts w:ascii="Arial" w:hAnsi="Arial" w:cs="Arial"/>
                  <w:strike/>
                  <w:sz w:val="22"/>
                  <w:szCs w:val="22"/>
                  <w:vertAlign w:val="superscript"/>
                </w:rPr>
                <w:t>1)</w:t>
              </w:r>
            </w:hyperlink>
          </w:p>
        </w:tc>
      </w:tr>
      <w:tr w:rsidR="00E40657" w14:paraId="4E9CE2D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4F904D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3ABE3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89F0AF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752D5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58C9C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42B8F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BE4FA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03239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795B3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6ACC3B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CDC230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39D47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99971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4E4CA0B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3B7A866"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7C43DC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E82C45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9B367F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A9573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583879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F55E9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3A52D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8904B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0865E4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DCCC5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A984F6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02AA01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4AA1CCE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CBE912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D45F7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F6006D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1F43EE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1EE07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59705D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C6AD5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9F4C5F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5B42A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E19347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7FFC39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9FEDDB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18C338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r w:rsidR="00E40657" w14:paraId="1D5BC4CE"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C3DEA32"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E4E4FD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D58BBA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022B38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E4E2A0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7AFC65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D5878B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61C6D3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B966AD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48D72C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17815E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6EC225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BED658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bl>
    <w:p w14:paraId="6499DC7D" w14:textId="77777777" w:rsidR="00A77B3E" w:rsidRPr="0030358C" w:rsidRDefault="00A77B3E">
      <w:pPr>
        <w:pStyle w:val="59"/>
        <w:rPr>
          <w:rFonts w:ascii="Arial" w:hAnsi="Arial" w:cs="Arial"/>
          <w:strike/>
          <w:sz w:val="22"/>
          <w:szCs w:val="22"/>
        </w:rPr>
      </w:pPr>
    </w:p>
    <w:p w14:paraId="7DAC9673"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6114C15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Platí v případě spalování výlisků z biomasy. Pro spalování ostatních druhů biomasy platí emisní limit 500 mg.m</w:t>
      </w:r>
      <w:r w:rsidRPr="0030358C">
        <w:rPr>
          <w:rFonts w:ascii="Arial" w:hAnsi="Arial" w:cs="Arial"/>
          <w:strike/>
          <w:sz w:val="22"/>
          <w:szCs w:val="22"/>
          <w:vertAlign w:val="superscript"/>
        </w:rPr>
        <w:t>-3</w:t>
      </w:r>
      <w:r w:rsidRPr="0030358C">
        <w:rPr>
          <w:rFonts w:ascii="Arial" w:hAnsi="Arial" w:cs="Arial"/>
          <w:strike/>
          <w:sz w:val="22"/>
          <w:szCs w:val="22"/>
        </w:rPr>
        <w:t>.</w:t>
      </w:r>
    </w:p>
    <w:p w14:paraId="7449574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Emisní limit neplatí pro spalování výlučně dřevní biomasy</w:t>
      </w:r>
    </w:p>
    <w:p w14:paraId="3CA54B1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Pokud provozovatel prokáže, že nelze této hodnoty z technických důvodů dosáhnout použitím nízkoemisních hořáků, platí specifický emisní limit 200 mg.m</w:t>
      </w:r>
      <w:r w:rsidRPr="0030358C">
        <w:rPr>
          <w:rFonts w:ascii="Arial" w:hAnsi="Arial" w:cs="Arial"/>
          <w:strike/>
          <w:sz w:val="22"/>
          <w:szCs w:val="22"/>
          <w:vertAlign w:val="superscript"/>
        </w:rPr>
        <w:t>-3</w:t>
      </w:r>
      <w:r w:rsidRPr="0030358C">
        <w:rPr>
          <w:rFonts w:ascii="Arial" w:hAnsi="Arial" w:cs="Arial"/>
          <w:strike/>
          <w:sz w:val="22"/>
          <w:szCs w:val="22"/>
        </w:rPr>
        <w:t>.</w:t>
      </w:r>
    </w:p>
    <w:p w14:paraId="2C3F134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lastRenderedPageBreak/>
        <w:t>4)    V případě spalování bioplynu se uplatní emisní limit 100 mg.m</w:t>
      </w:r>
      <w:r w:rsidRPr="0030358C">
        <w:rPr>
          <w:rFonts w:ascii="Arial" w:hAnsi="Arial" w:cs="Arial"/>
          <w:strike/>
          <w:sz w:val="22"/>
          <w:szCs w:val="22"/>
          <w:vertAlign w:val="superscript"/>
        </w:rPr>
        <w:t>-3</w:t>
      </w:r>
      <w:r w:rsidRPr="0030358C">
        <w:rPr>
          <w:rFonts w:ascii="Arial" w:hAnsi="Arial" w:cs="Arial"/>
          <w:strike/>
          <w:sz w:val="22"/>
          <w:szCs w:val="22"/>
        </w:rPr>
        <w:t>.</w:t>
      </w:r>
    </w:p>
    <w:p w14:paraId="0AD2E3FC"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5)    V případě spalovacích stacionárních zdrojů o celkovém jmenovitém tepelném příkonu do 20 MW včetně platí emisní limit 30 mg.m</w:t>
      </w:r>
      <w:r w:rsidRPr="0030358C">
        <w:rPr>
          <w:rFonts w:ascii="Arial" w:hAnsi="Arial" w:cs="Arial"/>
          <w:strike/>
          <w:sz w:val="22"/>
          <w:szCs w:val="22"/>
          <w:vertAlign w:val="superscript"/>
        </w:rPr>
        <w:t>-3</w:t>
      </w:r>
      <w:r w:rsidRPr="0030358C">
        <w:rPr>
          <w:rFonts w:ascii="Arial" w:hAnsi="Arial" w:cs="Arial"/>
          <w:strike/>
          <w:sz w:val="22"/>
          <w:szCs w:val="22"/>
        </w:rPr>
        <w:t>.</w:t>
      </w:r>
    </w:p>
    <w:p w14:paraId="5780EA93"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6)    V případě spalovacích stacionárních zdrojů o celkovém jmenovitém tepelném příkonu do 20 MW včetně platí emisní limit 20 mg.m</w:t>
      </w:r>
      <w:r w:rsidRPr="0030358C">
        <w:rPr>
          <w:rFonts w:ascii="Arial" w:hAnsi="Arial" w:cs="Arial"/>
          <w:strike/>
          <w:sz w:val="22"/>
          <w:szCs w:val="22"/>
          <w:vertAlign w:val="superscript"/>
        </w:rPr>
        <w:t>-3</w:t>
      </w:r>
    </w:p>
    <w:p w14:paraId="07B3F3CE"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2.1.2 - Specifické emisní limity pro stacionární zdroje uvedené do provozu před 20. prosincem 2018</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023"/>
        <w:gridCol w:w="710"/>
        <w:gridCol w:w="784"/>
        <w:gridCol w:w="718"/>
        <w:gridCol w:w="660"/>
        <w:gridCol w:w="710"/>
        <w:gridCol w:w="784"/>
        <w:gridCol w:w="718"/>
        <w:gridCol w:w="660"/>
        <w:gridCol w:w="906"/>
        <w:gridCol w:w="784"/>
        <w:gridCol w:w="718"/>
        <w:gridCol w:w="795"/>
      </w:tblGrid>
      <w:tr w:rsidR="00E40657" w14:paraId="133458A0"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D9CD69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4E2286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18A95FBD" w14:textId="77777777">
        <w:tc>
          <w:tcPr>
            <w:tcW w:w="0" w:type="auto"/>
            <w:vMerge/>
            <w:tcBorders>
              <w:left w:val="single" w:sz="12" w:space="0" w:color="000000"/>
              <w:right w:val="single" w:sz="12" w:space="0" w:color="000000"/>
            </w:tcBorders>
            <w:vAlign w:val="center"/>
            <w:hideMark/>
          </w:tcPr>
          <w:p w14:paraId="5A38B2DD"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C329FB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D267B6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85A3B7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4828B1BD" w14:textId="77777777">
        <w:tc>
          <w:tcPr>
            <w:tcW w:w="0" w:type="auto"/>
            <w:vMerge/>
            <w:tcBorders>
              <w:left w:val="single" w:sz="12" w:space="0" w:color="000000"/>
              <w:bottom w:val="single" w:sz="12" w:space="0" w:color="000000"/>
              <w:right w:val="single" w:sz="12" w:space="0" w:color="000000"/>
            </w:tcBorders>
            <w:vAlign w:val="center"/>
            <w:hideMark/>
          </w:tcPr>
          <w:p w14:paraId="34CA9F04"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C432F9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886D86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829BC7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431010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700EF1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9E109C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94077D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41A86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6E64DA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C3E28D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7B238F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B3F583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4468DA6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C37857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908E07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498A0E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60BB8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0079B3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EDB418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C6DFE7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C7B89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01CD9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738743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BD0415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66B59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252252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r w:rsidRPr="0030358C">
              <w:rPr>
                <w:rFonts w:ascii="Arial" w:hAnsi="Arial" w:cs="Arial"/>
                <w:strike/>
                <w:sz w:val="22"/>
                <w:szCs w:val="22"/>
              </w:rPr>
              <w:br/>
              <w:t>500</w:t>
            </w:r>
            <w:hyperlink w:history="1">
              <w:r w:rsidR="00A77B3E" w:rsidRPr="0030358C">
                <w:rPr>
                  <w:rFonts w:ascii="Arial" w:hAnsi="Arial" w:cs="Arial"/>
                  <w:strike/>
                  <w:sz w:val="22"/>
                  <w:szCs w:val="22"/>
                  <w:vertAlign w:val="superscript"/>
                </w:rPr>
                <w:t>3)</w:t>
              </w:r>
            </w:hyperlink>
          </w:p>
        </w:tc>
      </w:tr>
      <w:tr w:rsidR="00E40657" w14:paraId="7D2EED5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59098D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74317C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3F46B0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BA28A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AB5A0D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E78D8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2E3E5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450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19E9C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29E87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6C7ABB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1500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51281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450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F7B5F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70DF2F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60BA21CE"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C53BC8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a zkapalněný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374818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79AD76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A45D0A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362486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C81221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105917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DA961A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614606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6C3C26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F06124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6F9243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EEEF85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bl>
    <w:p w14:paraId="5FAFD3F2" w14:textId="77777777" w:rsidR="00A77B3E" w:rsidRPr="0030358C" w:rsidRDefault="00A77B3E">
      <w:pPr>
        <w:pStyle w:val="59"/>
        <w:rPr>
          <w:rFonts w:ascii="Arial" w:hAnsi="Arial" w:cs="Arial"/>
          <w:strike/>
          <w:sz w:val="22"/>
          <w:szCs w:val="22"/>
        </w:rPr>
      </w:pPr>
    </w:p>
    <w:p w14:paraId="7762CB45"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241D0689"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Na spalovací stacionární zdroje spalující hnědé uhlí, provozované nejvýše 3600 provozních hodin ročně, se vztahuje specifický emisní limit 2000 mg.m</w:t>
      </w:r>
      <w:r w:rsidRPr="0030358C">
        <w:rPr>
          <w:rFonts w:ascii="Arial" w:hAnsi="Arial" w:cs="Arial"/>
          <w:strike/>
          <w:sz w:val="22"/>
          <w:szCs w:val="22"/>
          <w:vertAlign w:val="superscript"/>
        </w:rPr>
        <w:t>-3</w:t>
      </w:r>
      <w:r w:rsidRPr="0030358C">
        <w:rPr>
          <w:rFonts w:ascii="Arial" w:hAnsi="Arial" w:cs="Arial"/>
          <w:strike/>
          <w:sz w:val="22"/>
          <w:szCs w:val="22"/>
        </w:rPr>
        <w:t>.</w:t>
      </w:r>
    </w:p>
    <w:p w14:paraId="089081FA"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Pokud provozovatel prokáže, že nelze této hodnoty z technických důvodů dosáhnout použitím nízkoemisních hořáků, platí specifický emisní limit 200 mg.m</w:t>
      </w:r>
      <w:r w:rsidRPr="0030358C">
        <w:rPr>
          <w:rFonts w:ascii="Arial" w:hAnsi="Arial" w:cs="Arial"/>
          <w:strike/>
          <w:sz w:val="22"/>
          <w:szCs w:val="22"/>
          <w:vertAlign w:val="superscript"/>
        </w:rPr>
        <w:t>-3</w:t>
      </w:r>
      <w:r w:rsidRPr="0030358C">
        <w:rPr>
          <w:rFonts w:ascii="Arial" w:hAnsi="Arial" w:cs="Arial"/>
          <w:strike/>
          <w:sz w:val="22"/>
          <w:szCs w:val="22"/>
        </w:rPr>
        <w:t>.</w:t>
      </w:r>
    </w:p>
    <w:p w14:paraId="2AD6FCE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Platí v případě spalování biomasy pro spalování ve stacionárních zdrojích s výjimkou spalování výlisků z takové biomasy.</w:t>
      </w:r>
    </w:p>
    <w:p w14:paraId="14B03243"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4)    Vztahuje se na spalování těžkého topného oleje a jemu podobných kapalných paliv.</w:t>
      </w:r>
    </w:p>
    <w:p w14:paraId="4684E4BE" w14:textId="77777777" w:rsidR="00A77B3E" w:rsidRPr="0030358C" w:rsidRDefault="00000000">
      <w:pPr>
        <w:pStyle w:val="57"/>
        <w:rPr>
          <w:rFonts w:ascii="Arial" w:hAnsi="Arial" w:cs="Arial"/>
          <w:strike/>
          <w:szCs w:val="22"/>
        </w:rPr>
      </w:pPr>
      <w:r w:rsidRPr="0030358C">
        <w:rPr>
          <w:rFonts w:ascii="Arial" w:hAnsi="Arial" w:cs="Arial"/>
          <w:strike/>
          <w:szCs w:val="22"/>
        </w:rPr>
        <w:t>2.2.    Specifické emisní limity pro pístové spalovací motory</w:t>
      </w:r>
    </w:p>
    <w:p w14:paraId="734833E6"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lastRenderedPageBreak/>
        <w:t>Tabulka 2.2.1 - Specifické emisní limity pro stacionární zdroje uvedené do provozu 20. prosince 2018 nebo později</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35"/>
        <w:gridCol w:w="840"/>
        <w:gridCol w:w="854"/>
        <w:gridCol w:w="849"/>
        <w:gridCol w:w="781"/>
        <w:gridCol w:w="840"/>
        <w:gridCol w:w="928"/>
        <w:gridCol w:w="849"/>
        <w:gridCol w:w="794"/>
      </w:tblGrid>
      <w:tr w:rsidR="00E40657" w14:paraId="16F82933"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33FBE77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8"/>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1EB325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6B011927" w14:textId="77777777">
        <w:tc>
          <w:tcPr>
            <w:tcW w:w="0" w:type="auto"/>
            <w:vMerge/>
            <w:tcBorders>
              <w:left w:val="single" w:sz="12" w:space="0" w:color="000000"/>
              <w:right w:val="single" w:sz="12" w:space="0" w:color="000000"/>
            </w:tcBorders>
            <w:vAlign w:val="center"/>
            <w:hideMark/>
          </w:tcPr>
          <w:p w14:paraId="49515654"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069B55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25DFEB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1-50 MW</w:t>
            </w:r>
          </w:p>
        </w:tc>
      </w:tr>
      <w:tr w:rsidR="00E40657" w14:paraId="0345DFF8" w14:textId="77777777">
        <w:tc>
          <w:tcPr>
            <w:tcW w:w="0" w:type="auto"/>
            <w:vMerge/>
            <w:tcBorders>
              <w:left w:val="single" w:sz="12" w:space="0" w:color="000000"/>
              <w:bottom w:val="single" w:sz="12" w:space="0" w:color="000000"/>
              <w:right w:val="single" w:sz="12" w:space="0" w:color="000000"/>
            </w:tcBorders>
            <w:vAlign w:val="center"/>
            <w:hideMark/>
          </w:tcPr>
          <w:p w14:paraId="242EDE3D"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5109850"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8AFF9D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210C9E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91F8FF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AE2F52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FE3039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30DF42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95C416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1A028CC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AADCE8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8D851E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DCA10D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F5A5E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E9A06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2BB45F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577F79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661193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6104A6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2016B0C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EDFC62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9C266F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F4073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9C49B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69D89C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BAFB6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44C223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7C8A85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7EED2B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49114EE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188137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C5F81E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707C4F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1D667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F1D35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2460C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469964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1B8023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B39F24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r w:rsidR="00E40657" w14:paraId="0CA788DC"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80CBB5B"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B7C50E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B3956C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1C329D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7283E1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DE312A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B4EAA9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253</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3F43A1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B65D4F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bl>
    <w:p w14:paraId="123A08E9" w14:textId="77777777" w:rsidR="00A77B3E" w:rsidRPr="0030358C" w:rsidRDefault="00A77B3E">
      <w:pPr>
        <w:pStyle w:val="59"/>
        <w:rPr>
          <w:rFonts w:ascii="Arial" w:hAnsi="Arial" w:cs="Arial"/>
          <w:strike/>
          <w:sz w:val="22"/>
          <w:szCs w:val="22"/>
        </w:rPr>
      </w:pPr>
    </w:p>
    <w:p w14:paraId="577493D5"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ysvětlivky:</w:t>
      </w:r>
    </w:p>
    <w:p w14:paraId="2E582D4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Pro motory o celkovém jmenovitém tepelném příkonu 1 MW nebo vyšším a nižším než 5 MW platí emisní limit 50 mg.m</w:t>
      </w:r>
      <w:r w:rsidRPr="0030358C">
        <w:rPr>
          <w:rFonts w:ascii="Arial" w:hAnsi="Arial" w:cs="Arial"/>
          <w:strike/>
          <w:sz w:val="22"/>
          <w:szCs w:val="22"/>
          <w:vertAlign w:val="superscript"/>
        </w:rPr>
        <w:t>-3</w:t>
      </w:r>
      <w:r w:rsidRPr="0030358C">
        <w:rPr>
          <w:rFonts w:ascii="Arial" w:hAnsi="Arial" w:cs="Arial"/>
          <w:strike/>
          <w:sz w:val="22"/>
          <w:szCs w:val="22"/>
        </w:rPr>
        <w:t>.</w:t>
      </w:r>
    </w:p>
    <w:p w14:paraId="07CD703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V případě spalování bioplynu se uplatní emisní limit 107 mg.m</w:t>
      </w:r>
      <w:r w:rsidRPr="0030358C">
        <w:rPr>
          <w:rFonts w:ascii="Arial" w:hAnsi="Arial" w:cs="Arial"/>
          <w:strike/>
          <w:sz w:val="22"/>
          <w:szCs w:val="22"/>
          <w:vertAlign w:val="superscript"/>
        </w:rPr>
        <w:t>-3</w:t>
      </w:r>
      <w:r w:rsidRPr="0030358C">
        <w:rPr>
          <w:rFonts w:ascii="Arial" w:hAnsi="Arial" w:cs="Arial"/>
          <w:strike/>
          <w:sz w:val="22"/>
          <w:szCs w:val="22"/>
        </w:rPr>
        <w:t>.</w:t>
      </w:r>
    </w:p>
    <w:p w14:paraId="6F56674F"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3)    Pro dvoupalivové motory při spalování pouze zemního plynu platí emisní limit 507 mg.m</w:t>
      </w:r>
      <w:r w:rsidRPr="0030358C">
        <w:rPr>
          <w:rFonts w:ascii="Arial" w:hAnsi="Arial" w:cs="Arial"/>
          <w:strike/>
          <w:sz w:val="22"/>
          <w:szCs w:val="22"/>
          <w:vertAlign w:val="superscript"/>
        </w:rPr>
        <w:t>-3</w:t>
      </w:r>
      <w:r w:rsidRPr="0030358C">
        <w:rPr>
          <w:rFonts w:ascii="Arial" w:hAnsi="Arial" w:cs="Arial"/>
          <w:strike/>
          <w:sz w:val="22"/>
          <w:szCs w:val="22"/>
        </w:rPr>
        <w:t>.</w:t>
      </w:r>
    </w:p>
    <w:p w14:paraId="60C63B88"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2.2.2 - Specifické emisní limity pro stacionární zdroje uvedené do provozu před 20. prosincem 2018</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217"/>
        <w:gridCol w:w="887"/>
        <w:gridCol w:w="882"/>
        <w:gridCol w:w="811"/>
        <w:gridCol w:w="887"/>
        <w:gridCol w:w="882"/>
        <w:gridCol w:w="811"/>
        <w:gridCol w:w="887"/>
        <w:gridCol w:w="882"/>
        <w:gridCol w:w="824"/>
      </w:tblGrid>
      <w:tr w:rsidR="00E40657" w14:paraId="07242FA9"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2FE6B7B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9"/>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1236D4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73EB42BC" w14:textId="77777777">
        <w:tc>
          <w:tcPr>
            <w:tcW w:w="0" w:type="auto"/>
            <w:vMerge/>
            <w:tcBorders>
              <w:left w:val="single" w:sz="12" w:space="0" w:color="000000"/>
              <w:right w:val="single" w:sz="12" w:space="0" w:color="000000"/>
            </w:tcBorders>
            <w:vAlign w:val="center"/>
            <w:hideMark/>
          </w:tcPr>
          <w:p w14:paraId="12452B55" w14:textId="77777777" w:rsidR="00A77B3E" w:rsidRPr="0030358C" w:rsidRDefault="00A77B3E">
            <w:pPr>
              <w:overflowPunct w:val="0"/>
              <w:rPr>
                <w:rFonts w:ascii="Arial" w:hAnsi="Arial" w:cs="Arial"/>
                <w:b/>
                <w:bCs/>
                <w:strike/>
                <w:sz w:val="22"/>
                <w:szCs w:val="22"/>
              </w:rPr>
            </w:pP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29C138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8A6E07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4FEF43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2B8AA1A9" w14:textId="77777777">
        <w:tc>
          <w:tcPr>
            <w:tcW w:w="0" w:type="auto"/>
            <w:vMerge/>
            <w:tcBorders>
              <w:left w:val="single" w:sz="12" w:space="0" w:color="000000"/>
              <w:bottom w:val="single" w:sz="12" w:space="0" w:color="000000"/>
              <w:right w:val="single" w:sz="12" w:space="0" w:color="000000"/>
            </w:tcBorders>
            <w:vAlign w:val="center"/>
            <w:hideMark/>
          </w:tcPr>
          <w:p w14:paraId="236C0A07"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2C97F6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728F8C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9DD58F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BA9F42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2093CB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76AEE3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C4123C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A0719F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D7BA58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0610828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06893E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6FEF80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7D3E9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D620B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B2A0E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D3277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9CE10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170E42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EE02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FDB95D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16212708"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26BF63E"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a zkapalněný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2D27EC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05601A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E8AB62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A7A65A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49BC5E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704659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EBA4BE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BFF25C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165A029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bl>
    <w:p w14:paraId="10E313C8" w14:textId="77777777" w:rsidR="00A77B3E" w:rsidRPr="0030358C" w:rsidRDefault="00A77B3E">
      <w:pPr>
        <w:pStyle w:val="59"/>
        <w:rPr>
          <w:rFonts w:ascii="Arial" w:hAnsi="Arial" w:cs="Arial"/>
          <w:strike/>
          <w:sz w:val="22"/>
          <w:szCs w:val="22"/>
        </w:rPr>
      </w:pPr>
    </w:p>
    <w:p w14:paraId="727AAA22"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66DDC951"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1)    Hodnoty vztažené k vlhkému plynu.</w:t>
      </w:r>
    </w:p>
    <w:p w14:paraId="65812913" w14:textId="77777777" w:rsidR="00A77B3E" w:rsidRPr="0030358C" w:rsidRDefault="00000000">
      <w:pPr>
        <w:pStyle w:val="57"/>
        <w:rPr>
          <w:rFonts w:ascii="Arial" w:hAnsi="Arial" w:cs="Arial"/>
          <w:strike/>
          <w:szCs w:val="22"/>
        </w:rPr>
      </w:pPr>
      <w:r w:rsidRPr="0030358C">
        <w:rPr>
          <w:rFonts w:ascii="Arial" w:hAnsi="Arial" w:cs="Arial"/>
          <w:strike/>
          <w:szCs w:val="22"/>
        </w:rPr>
        <w:t>2.3.    Specifické emisní limity pro plynové turbíny</w:t>
      </w:r>
    </w:p>
    <w:p w14:paraId="2711B963"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2.3.1 - Specifické emisní limity pro stacionární zdroje uvedené do provozu 20. prosince 2018 nebo později</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67"/>
        <w:gridCol w:w="845"/>
        <w:gridCol w:w="859"/>
        <w:gridCol w:w="855"/>
        <w:gridCol w:w="786"/>
        <w:gridCol w:w="845"/>
        <w:gridCol w:w="859"/>
        <w:gridCol w:w="855"/>
        <w:gridCol w:w="799"/>
      </w:tblGrid>
      <w:tr w:rsidR="00E40657" w14:paraId="1A844D81"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6E01CBA0"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8"/>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5EDAFF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7CF53B33" w14:textId="77777777">
        <w:tc>
          <w:tcPr>
            <w:tcW w:w="0" w:type="auto"/>
            <w:vMerge/>
            <w:tcBorders>
              <w:left w:val="single" w:sz="12" w:space="0" w:color="000000"/>
              <w:right w:val="single" w:sz="12" w:space="0" w:color="000000"/>
            </w:tcBorders>
            <w:vAlign w:val="center"/>
            <w:hideMark/>
          </w:tcPr>
          <w:p w14:paraId="609E1F3C"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D2124A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B88DF8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1-50 MW</w:t>
            </w:r>
          </w:p>
        </w:tc>
      </w:tr>
      <w:tr w:rsidR="00E40657" w14:paraId="23AD16B0" w14:textId="77777777">
        <w:tc>
          <w:tcPr>
            <w:tcW w:w="0" w:type="auto"/>
            <w:vMerge/>
            <w:tcBorders>
              <w:left w:val="single" w:sz="12" w:space="0" w:color="000000"/>
              <w:bottom w:val="single" w:sz="12" w:space="0" w:color="000000"/>
              <w:right w:val="single" w:sz="12" w:space="0" w:color="000000"/>
            </w:tcBorders>
            <w:vAlign w:val="center"/>
            <w:hideMark/>
          </w:tcPr>
          <w:p w14:paraId="66ED1407"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0263E2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62BA12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2D160F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581550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DA8701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1E2290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C4CF49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F50392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07B4BA1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24C140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BA97CA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01FF54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1159C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5AD9E2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09911D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B4F210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5B1F56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720930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64F0C03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B53388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AC73C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CE25FE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384F24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4ED5A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67FF7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BFC20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8486C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733452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7697372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30B9A3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26D57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FD9032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35A47A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97CC29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42EA2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C1DFAA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526287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3EA825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096ABB8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22B63BB"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59DB5F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E5A343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593303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AADE4A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C29D4B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BD2B94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E1B1DE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158095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bl>
    <w:p w14:paraId="5EA7EB20" w14:textId="77777777" w:rsidR="00A77B3E" w:rsidRPr="0030358C" w:rsidRDefault="00A77B3E">
      <w:pPr>
        <w:pStyle w:val="59"/>
        <w:rPr>
          <w:rFonts w:ascii="Arial" w:hAnsi="Arial" w:cs="Arial"/>
          <w:strike/>
          <w:sz w:val="22"/>
          <w:szCs w:val="22"/>
        </w:rPr>
      </w:pPr>
    </w:p>
    <w:p w14:paraId="6AF40B5B" w14:textId="77777777" w:rsidR="00A77B3E" w:rsidRPr="0030358C" w:rsidRDefault="00A77B3E">
      <w:pPr>
        <w:pStyle w:val="60"/>
        <w:rPr>
          <w:rFonts w:ascii="Arial" w:hAnsi="Arial" w:cs="Arial"/>
          <w:strike/>
          <w:sz w:val="22"/>
          <w:szCs w:val="22"/>
        </w:rPr>
        <w:sectPr w:rsidR="00A77B3E" w:rsidRPr="0030358C" w:rsidSect="00D804A3">
          <w:type w:val="nextColumn"/>
          <w:pgSz w:w="16838" w:h="11906" w:orient="landscape" w:code="9"/>
          <w:pgMar w:top="1418" w:right="1418" w:bottom="1418" w:left="1418" w:header="709" w:footer="709" w:gutter="0"/>
          <w:cols w:space="708"/>
          <w:docGrid w:linePitch="360"/>
        </w:sectPr>
      </w:pPr>
    </w:p>
    <w:p w14:paraId="2F648F01"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lastRenderedPageBreak/>
        <w:t>Vysvětlivky:</w:t>
      </w:r>
    </w:p>
    <w:p w14:paraId="3FCEF766"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Pro turbíny o celkovém jmenovitém tepelném příkonu od 1 MW do 5 MW včetně platí emisní limit 20 mg.m</w:t>
      </w:r>
      <w:r w:rsidRPr="0030358C">
        <w:rPr>
          <w:rFonts w:ascii="Arial" w:hAnsi="Arial" w:cs="Arial"/>
          <w:strike/>
          <w:sz w:val="22"/>
          <w:szCs w:val="22"/>
          <w:vertAlign w:val="superscript"/>
        </w:rPr>
        <w:t>-3</w:t>
      </w:r>
      <w:r w:rsidRPr="0030358C">
        <w:rPr>
          <w:rFonts w:ascii="Arial" w:hAnsi="Arial" w:cs="Arial"/>
          <w:strike/>
          <w:sz w:val="22"/>
          <w:szCs w:val="22"/>
        </w:rPr>
        <w:t>.</w:t>
      </w:r>
    </w:p>
    <w:p w14:paraId="01F5DC53"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2)    V případě spalování bioplynu se uplatní emisní limit 40 mg.m</w:t>
      </w:r>
      <w:r w:rsidRPr="0030358C">
        <w:rPr>
          <w:rFonts w:ascii="Arial" w:hAnsi="Arial" w:cs="Arial"/>
          <w:strike/>
          <w:sz w:val="22"/>
          <w:szCs w:val="22"/>
          <w:vertAlign w:val="superscript"/>
        </w:rPr>
        <w:t>-3</w:t>
      </w:r>
      <w:r w:rsidRPr="0030358C">
        <w:rPr>
          <w:rFonts w:ascii="Arial" w:hAnsi="Arial" w:cs="Arial"/>
          <w:strike/>
          <w:sz w:val="22"/>
          <w:szCs w:val="22"/>
        </w:rPr>
        <w:t>.</w:t>
      </w:r>
    </w:p>
    <w:p w14:paraId="50120E94"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2.3.2 - Specifické emisní limity pro stacionární zdroje uvedené do provozu před 20. prosincem 2018</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686"/>
        <w:gridCol w:w="1669"/>
        <w:gridCol w:w="1525"/>
        <w:gridCol w:w="1601"/>
        <w:gridCol w:w="1489"/>
      </w:tblGrid>
      <w:tr w:rsidR="00E40657" w14:paraId="45B66734"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FC626F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FD1FBD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4F84F76E" w14:textId="77777777">
        <w:tc>
          <w:tcPr>
            <w:tcW w:w="0" w:type="auto"/>
            <w:vMerge/>
            <w:tcBorders>
              <w:left w:val="single" w:sz="12" w:space="0" w:color="000000"/>
              <w:right w:val="single" w:sz="12" w:space="0" w:color="000000"/>
            </w:tcBorders>
            <w:vAlign w:val="center"/>
            <w:hideMark/>
          </w:tcPr>
          <w:p w14:paraId="01A20D69" w14:textId="77777777" w:rsidR="00A77B3E" w:rsidRPr="0030358C" w:rsidRDefault="00A77B3E">
            <w:pPr>
              <w:overflowPunct w:val="0"/>
              <w:rPr>
                <w:rFonts w:ascii="Arial" w:hAnsi="Arial" w:cs="Arial"/>
                <w:b/>
                <w:bCs/>
                <w:strike/>
                <w:sz w:val="22"/>
                <w:szCs w:val="22"/>
              </w:rPr>
            </w:pP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0E92E9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CAE231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1-50 MW</w:t>
            </w:r>
          </w:p>
        </w:tc>
      </w:tr>
      <w:tr w:rsidR="00E40657" w14:paraId="07A91FE2" w14:textId="77777777">
        <w:tc>
          <w:tcPr>
            <w:tcW w:w="0" w:type="auto"/>
            <w:vMerge/>
            <w:tcBorders>
              <w:left w:val="single" w:sz="12" w:space="0" w:color="000000"/>
              <w:bottom w:val="single" w:sz="12" w:space="0" w:color="000000"/>
              <w:right w:val="single" w:sz="12" w:space="0" w:color="000000"/>
            </w:tcBorders>
            <w:vAlign w:val="center"/>
            <w:hideMark/>
          </w:tcPr>
          <w:p w14:paraId="3B151B24"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3BF084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2AE2BB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ED0F39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11D99F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3B4B9E2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E38D19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CD089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8D02D9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723A1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A2C948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74302D00"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EFFB342"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a zkapalněný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28CCA7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E3EED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F3967C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84EDAE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bl>
    <w:p w14:paraId="773B4079" w14:textId="77777777" w:rsidR="00A77B3E" w:rsidRPr="0030358C" w:rsidRDefault="00A77B3E">
      <w:pPr>
        <w:pStyle w:val="59"/>
        <w:rPr>
          <w:rFonts w:ascii="Arial" w:hAnsi="Arial" w:cs="Arial"/>
          <w:strike/>
          <w:sz w:val="22"/>
          <w:szCs w:val="22"/>
        </w:rPr>
      </w:pPr>
    </w:p>
    <w:p w14:paraId="37255C51" w14:textId="77777777" w:rsidR="00A77B3E" w:rsidRPr="0030358C" w:rsidRDefault="00000000">
      <w:pPr>
        <w:pStyle w:val="46"/>
        <w:rPr>
          <w:rFonts w:ascii="Arial" w:hAnsi="Arial" w:cs="Arial"/>
          <w:strike/>
          <w:szCs w:val="22"/>
        </w:rPr>
      </w:pPr>
      <w:r w:rsidRPr="0030358C">
        <w:rPr>
          <w:rFonts w:ascii="Arial" w:hAnsi="Arial" w:cs="Arial"/>
          <w:strike/>
          <w:szCs w:val="22"/>
        </w:rPr>
        <w:t>3.    Specifické emisní limity platné od 1. ledna 2025</w:t>
      </w:r>
    </w:p>
    <w:p w14:paraId="2F535ABB"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Specifické emisní limity jsou vztaženy na normální stavové podmínky a suchý plyn při referenčním obsahu kyslíku v odpadním plynu 6 % v případě pevných paliv s výjimkou biomasy, 11 % v případě biomasy a 3 % v případě kapalných a plynných paliv.</w:t>
      </w:r>
    </w:p>
    <w:p w14:paraId="2BCC8077"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pístové spalovací motory jsou specifické emisní limity vztaženy na normální stavové podmínky a suchý plyn (pokud není stanoveno jinak), při referenčním obsahu kyslíku 5 % a nevztahují se na záložní zdroje energie a požární čerpadla provozované méně než 300 provozních hodin ročně. Plynovým motorem se rozumí motor s vnitřním spalováním pracující na principu Ottova cyklu a využívající zážehové zapalování paliva nebo v případě dvoupalivového motoru využívající vznětové zapalování paliva.</w:t>
      </w:r>
    </w:p>
    <w:p w14:paraId="5F692879"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spalovací stacionární zdroje, jejichž provozní hodiny nepřekročí 500 hodin ročně, vyjádřeno jako klouzavý průměr za období tří kalendářních let, platí specifické emisní limity uvedené v tabulkách 1.1.1, 1.2.1 a 1.3.1.</w:t>
      </w:r>
    </w:p>
    <w:p w14:paraId="6042A297"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plynové turbíny jsou specifické emisní limity vztaženy na normální stavové podmínky a suchý plyn při referenčním obsahu kyslíku 15 % a nevztahují se na záložní zdroje energie provozované méně než 300 provozních hodin ročně a v případě oxidů dusíku při nižším zatížení než 70 %.</w:t>
      </w:r>
    </w:p>
    <w:p w14:paraId="776465A0"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 xml:space="preserve">Pro teplovzdušné spalovací stacionární zdroje o jmenovitém tepelném příkonu 5 MW a nižším jsou do 31. 12. 2029 specifické emisní limity uvedené v tabulce 3.1.2 vztaženy na normální stavové podmínky a suchý plyn při referenčním obsahu kyslíku 17 %. V případě tabulek 3.1.1, 3.2.1, 3.3.1 a 3.3.2 jsou specifické emisní limity vztaženy k celkovému jmenovitému příkonu a v případě tabulek 3.1.2 a 3.2.2 jsou </w:t>
      </w:r>
      <w:r w:rsidRPr="0030358C">
        <w:rPr>
          <w:rFonts w:ascii="Arial" w:hAnsi="Arial" w:cs="Arial"/>
          <w:strike/>
          <w:sz w:val="22"/>
          <w:szCs w:val="22"/>
        </w:rPr>
        <w:lastRenderedPageBreak/>
        <w:t>vztaženy k jmenovitému tepelnému příkonu jednotlivých spalovacích stacionárních zdrojů; to neplatí v případě, že by emisní limit stanovený s ohledem na celkový jmenovitý tepelný příkon z části 1.1.1, 1.2.1 nebo 1.3.1 byl přísnější, v tom případě se uplatní limit uvedený tam.</w:t>
      </w:r>
    </w:p>
    <w:p w14:paraId="619BA51B"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stacionární zdroje, jejichž jmenovitý tepelný příkon je nižší než 1 MW, ale celkový jmenovitý tepelný příkon je vyšší než 1 MW se namísto emisních limitů podle tabulky 3.2.1. a 3.2.2. uplatní emisní limity dle celkového jmenovitého tepelného příkonu podle tabulky 2.2.2.</w:t>
      </w:r>
    </w:p>
    <w:p w14:paraId="2B19F1EC"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Pro stacionární zdroje, jejichž jmenovitý tepelný příkon je nižší než 1 MW, ale celkový jmenovitý tepelný příkon je vyšší než 1 MW se namísto emisních limitů podle tabulky 3.3.2. uplatní emisní limity dle celkového jmenovitého tepelného příkonu podle tabulky 2.3.2.</w:t>
      </w:r>
    </w:p>
    <w:p w14:paraId="1D62C0E8" w14:textId="77777777" w:rsidR="00A77B3E" w:rsidRPr="0030358C" w:rsidRDefault="00000000">
      <w:pPr>
        <w:pStyle w:val="56"/>
        <w:rPr>
          <w:rFonts w:ascii="Arial" w:hAnsi="Arial" w:cs="Arial"/>
          <w:strike/>
          <w:sz w:val="22"/>
          <w:szCs w:val="22"/>
        </w:rPr>
      </w:pPr>
      <w:r w:rsidRPr="0030358C">
        <w:rPr>
          <w:rFonts w:ascii="Arial" w:hAnsi="Arial" w:cs="Arial"/>
          <w:strike/>
          <w:sz w:val="22"/>
          <w:szCs w:val="22"/>
        </w:rPr>
        <w:t xml:space="preserve">Emisní limity uvedené v tabulce 3.1.2 se pro spalovací stacionární zdroje o jmenovitém tepelném příkonu nižším než 5 MW zařazené do kódu 1.4 </w:t>
      </w:r>
      <w:hyperlink w:history="1">
        <w:r w:rsidR="00A77B3E" w:rsidRPr="0030358C">
          <w:rPr>
            <w:rFonts w:ascii="Arial" w:hAnsi="Arial" w:cs="Arial"/>
            <w:strike/>
            <w:sz w:val="22"/>
            <w:szCs w:val="22"/>
          </w:rPr>
          <w:t>přílohy č. 2</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jiné než teplovzdušné spalovací zdroje uplatní až od 1. 1. 2030.</w:t>
      </w:r>
    </w:p>
    <w:p w14:paraId="708F3369" w14:textId="77777777" w:rsidR="00A77B3E" w:rsidRPr="0030358C" w:rsidRDefault="00000000">
      <w:pPr>
        <w:pStyle w:val="57"/>
        <w:rPr>
          <w:rFonts w:ascii="Arial" w:hAnsi="Arial" w:cs="Arial"/>
          <w:strike/>
          <w:szCs w:val="22"/>
        </w:rPr>
      </w:pPr>
      <w:r w:rsidRPr="0030358C">
        <w:rPr>
          <w:rFonts w:ascii="Arial" w:hAnsi="Arial" w:cs="Arial"/>
          <w:strike/>
          <w:szCs w:val="22"/>
        </w:rPr>
        <w:t>3.1.    Specifické emisní limity pro spalovací stacionární zdroje s výjimkou pístových spalovacích motorů a plynových turbín</w:t>
      </w:r>
    </w:p>
    <w:p w14:paraId="40B426A6"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3.1.1 - Specifické emisní limity pro stacionární zdroje uvedené do provozu 20. prosince 2018 nebo později</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071"/>
        <w:gridCol w:w="710"/>
        <w:gridCol w:w="784"/>
        <w:gridCol w:w="718"/>
        <w:gridCol w:w="660"/>
        <w:gridCol w:w="784"/>
        <w:gridCol w:w="784"/>
        <w:gridCol w:w="718"/>
        <w:gridCol w:w="660"/>
        <w:gridCol w:w="784"/>
        <w:gridCol w:w="784"/>
        <w:gridCol w:w="718"/>
        <w:gridCol w:w="795"/>
      </w:tblGrid>
      <w:tr w:rsidR="00E40657" w14:paraId="2D7F16AE"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A3B908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A24B6A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6477D4B8" w14:textId="77777777">
        <w:tc>
          <w:tcPr>
            <w:tcW w:w="0" w:type="auto"/>
            <w:vMerge/>
            <w:tcBorders>
              <w:left w:val="single" w:sz="12" w:space="0" w:color="000000"/>
              <w:right w:val="single" w:sz="12" w:space="0" w:color="000000"/>
            </w:tcBorders>
            <w:vAlign w:val="center"/>
            <w:hideMark/>
          </w:tcPr>
          <w:p w14:paraId="7F95E307"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433913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5770D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A91550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495F3D5B" w14:textId="77777777">
        <w:tc>
          <w:tcPr>
            <w:tcW w:w="0" w:type="auto"/>
            <w:vMerge/>
            <w:tcBorders>
              <w:left w:val="single" w:sz="12" w:space="0" w:color="000000"/>
              <w:bottom w:val="single" w:sz="12" w:space="0" w:color="000000"/>
              <w:right w:val="single" w:sz="12" w:space="0" w:color="000000"/>
            </w:tcBorders>
            <w:vAlign w:val="center"/>
            <w:hideMark/>
          </w:tcPr>
          <w:p w14:paraId="64287540"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F27135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91E749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06C438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467C7D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C69901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C9A32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A854FC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75391F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C137B6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2732ED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7D8959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AEFB77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519B34E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5C1AB1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 s výjimkou biomasy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CC914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FEF26E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B4C71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64655E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35B7B7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79CE65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3E5F1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8D3D9D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259D6B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8F05B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8DC2D0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1B7574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r>
      <w:tr w:rsidR="00E40657" w14:paraId="4173A4F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A4A398B"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 - biomasa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8E745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0122E8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490EE9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71D7A4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0E9FAB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133</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45475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CE487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3BEED4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A078E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133</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4C23A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003AF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w:t>
            </w:r>
            <w:hyperlink w:history="1">
              <w:r w:rsidR="00A77B3E" w:rsidRPr="0030358C">
                <w:rPr>
                  <w:rFonts w:ascii="Arial" w:hAnsi="Arial" w:cs="Arial"/>
                  <w:strike/>
                  <w:sz w:val="22"/>
                  <w:szCs w:val="22"/>
                  <w:vertAlign w:val="superscript"/>
                </w:rPr>
                <w:t>6)</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CE3279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hyperlink w:history="1">
              <w:r w:rsidR="00A77B3E" w:rsidRPr="0030358C">
                <w:rPr>
                  <w:rFonts w:ascii="Arial" w:hAnsi="Arial" w:cs="Arial"/>
                  <w:strike/>
                  <w:sz w:val="22"/>
                  <w:szCs w:val="22"/>
                  <w:vertAlign w:val="superscript"/>
                </w:rPr>
                <w:t>1)</w:t>
              </w:r>
            </w:hyperlink>
          </w:p>
        </w:tc>
      </w:tr>
      <w:tr w:rsidR="00E40657" w14:paraId="001DE2A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C8CD6B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216512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D32EA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56A753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1E813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4EE49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6A4E3C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C4215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540CA3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9AB39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6E87B4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FCD267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C49390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563029A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58C754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7C44D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69D3B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EBD6D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29DDB4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CF1550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58F16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30A9F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F479F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AF8A6E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284E3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54CE9A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2AC471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09FEA4F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0B9CB1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2B14E1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0E3B5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807A17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7CB48A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AED50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A2F6DB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920A1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98BAF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F4A581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21946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47733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91C9EA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r w:rsidR="00E40657" w14:paraId="54BE0F1B"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90B51BB"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24B16A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5B1B6F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DC55D4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798391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5D23E1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DA47D9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A734BD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431819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A44B1A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86037E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E4E341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930807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bl>
    <w:p w14:paraId="1A56549B" w14:textId="77777777" w:rsidR="00A77B3E" w:rsidRPr="0030358C" w:rsidRDefault="00A77B3E">
      <w:pPr>
        <w:pStyle w:val="59"/>
        <w:rPr>
          <w:rFonts w:ascii="Arial" w:hAnsi="Arial" w:cs="Arial"/>
          <w:strike/>
          <w:sz w:val="22"/>
          <w:szCs w:val="22"/>
        </w:rPr>
      </w:pPr>
    </w:p>
    <w:p w14:paraId="7CF870F5"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lastRenderedPageBreak/>
        <w:t>Vysvětlivky:</w:t>
      </w:r>
    </w:p>
    <w:p w14:paraId="62125F1D"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Platí v případě spalování výlisků z biomasy. Pro spalování ostatních druhů biomasy platí emisní limit 500 mg.m</w:t>
      </w:r>
      <w:r w:rsidRPr="0030358C">
        <w:rPr>
          <w:rFonts w:ascii="Arial" w:hAnsi="Arial" w:cs="Arial"/>
          <w:strike/>
          <w:sz w:val="22"/>
          <w:szCs w:val="22"/>
          <w:vertAlign w:val="superscript"/>
        </w:rPr>
        <w:t>-3</w:t>
      </w:r>
      <w:r w:rsidRPr="0030358C">
        <w:rPr>
          <w:rFonts w:ascii="Arial" w:hAnsi="Arial" w:cs="Arial"/>
          <w:strike/>
          <w:sz w:val="22"/>
          <w:szCs w:val="22"/>
        </w:rPr>
        <w:t>.</w:t>
      </w:r>
    </w:p>
    <w:p w14:paraId="75D7BBF7"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Emisní limit neplatí pro spalování výlučně dřevní biomasy</w:t>
      </w:r>
    </w:p>
    <w:p w14:paraId="7052EA2A"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Pokud provozovatel prokáže, že nelze této hodnoty z technických důvodů dosáhnout použitím nízkoemisních hořáků, platí specifický emisní limit 200 mg.m</w:t>
      </w:r>
      <w:r w:rsidRPr="0030358C">
        <w:rPr>
          <w:rFonts w:ascii="Arial" w:hAnsi="Arial" w:cs="Arial"/>
          <w:strike/>
          <w:sz w:val="22"/>
          <w:szCs w:val="22"/>
          <w:vertAlign w:val="superscript"/>
        </w:rPr>
        <w:t>-3</w:t>
      </w:r>
      <w:r w:rsidRPr="0030358C">
        <w:rPr>
          <w:rFonts w:ascii="Arial" w:hAnsi="Arial" w:cs="Arial"/>
          <w:strike/>
          <w:sz w:val="22"/>
          <w:szCs w:val="22"/>
        </w:rPr>
        <w:t>.</w:t>
      </w:r>
    </w:p>
    <w:p w14:paraId="37EE3BC7"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4)    V případě spalování bioplynu se uplatní emisní limit 100 mg.m</w:t>
      </w:r>
      <w:r w:rsidRPr="0030358C">
        <w:rPr>
          <w:rFonts w:ascii="Arial" w:hAnsi="Arial" w:cs="Arial"/>
          <w:strike/>
          <w:sz w:val="22"/>
          <w:szCs w:val="22"/>
          <w:vertAlign w:val="superscript"/>
        </w:rPr>
        <w:t>-3</w:t>
      </w:r>
      <w:r w:rsidRPr="0030358C">
        <w:rPr>
          <w:rFonts w:ascii="Arial" w:hAnsi="Arial" w:cs="Arial"/>
          <w:strike/>
          <w:sz w:val="22"/>
          <w:szCs w:val="22"/>
        </w:rPr>
        <w:t>.</w:t>
      </w:r>
    </w:p>
    <w:p w14:paraId="4978182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5)    V případě spalovacích stacionárních zdrojů o celkovém jmenovitém tepelném příkonu do 20 MW včetně platí emisní limit 30 mg.m</w:t>
      </w:r>
      <w:r w:rsidRPr="0030358C">
        <w:rPr>
          <w:rFonts w:ascii="Arial" w:hAnsi="Arial" w:cs="Arial"/>
          <w:strike/>
          <w:sz w:val="22"/>
          <w:szCs w:val="22"/>
          <w:vertAlign w:val="superscript"/>
        </w:rPr>
        <w:t>-3</w:t>
      </w:r>
      <w:r w:rsidRPr="0030358C">
        <w:rPr>
          <w:rFonts w:ascii="Arial" w:hAnsi="Arial" w:cs="Arial"/>
          <w:strike/>
          <w:sz w:val="22"/>
          <w:szCs w:val="22"/>
        </w:rPr>
        <w:t>.</w:t>
      </w:r>
    </w:p>
    <w:p w14:paraId="1F42BE33"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6)    V případě spalovacích stacionárních zdrojů o celkovém jmenovitém tepelném příkonu do 20 MW včetně platí emisní limit 20 mg.m</w:t>
      </w:r>
      <w:r w:rsidRPr="0030358C">
        <w:rPr>
          <w:rFonts w:ascii="Arial" w:hAnsi="Arial" w:cs="Arial"/>
          <w:strike/>
          <w:sz w:val="22"/>
          <w:szCs w:val="22"/>
          <w:vertAlign w:val="superscript"/>
        </w:rPr>
        <w:t>-3</w:t>
      </w:r>
    </w:p>
    <w:p w14:paraId="5E8768F1"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3.1.2 - Specifické emisní limity pro stacionární zdroje uvedené do provozu před 20. prosincem 2018</w:t>
      </w:r>
    </w:p>
    <w:tbl>
      <w:tblPr>
        <w:tblStyle w:val="data-tisk-na-sirku"/>
        <w:tblW w:w="13709"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304"/>
        <w:gridCol w:w="745"/>
        <w:gridCol w:w="822"/>
        <w:gridCol w:w="754"/>
        <w:gridCol w:w="693"/>
        <w:gridCol w:w="876"/>
        <w:gridCol w:w="822"/>
        <w:gridCol w:w="754"/>
        <w:gridCol w:w="693"/>
        <w:gridCol w:w="822"/>
        <w:gridCol w:w="822"/>
        <w:gridCol w:w="754"/>
        <w:gridCol w:w="848"/>
      </w:tblGrid>
      <w:tr w:rsidR="00E40657" w14:paraId="589B9739" w14:textId="77777777" w:rsidTr="00D804A3">
        <w:trPr>
          <w:trHeight w:val="445"/>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0BD1CB2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9420" w:type="dxa"/>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6B7CB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4AD1C989" w14:textId="77777777" w:rsidTr="00D804A3">
        <w:trPr>
          <w:trHeight w:val="157"/>
        </w:trPr>
        <w:tc>
          <w:tcPr>
            <w:tcW w:w="0" w:type="auto"/>
            <w:vMerge/>
            <w:tcBorders>
              <w:left w:val="single" w:sz="12" w:space="0" w:color="000000"/>
              <w:right w:val="single" w:sz="12" w:space="0" w:color="000000"/>
            </w:tcBorders>
            <w:vAlign w:val="center"/>
            <w:hideMark/>
          </w:tcPr>
          <w:p w14:paraId="64054863"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B6E04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7C69CE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 MW</w:t>
            </w:r>
          </w:p>
        </w:tc>
        <w:tc>
          <w:tcPr>
            <w:tcW w:w="3222" w:type="dxa"/>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97DD14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5-50 MW</w:t>
            </w:r>
          </w:p>
        </w:tc>
      </w:tr>
      <w:tr w:rsidR="00E40657" w14:paraId="1FD4ADC6" w14:textId="77777777" w:rsidTr="00D804A3">
        <w:trPr>
          <w:trHeight w:val="157"/>
        </w:trPr>
        <w:tc>
          <w:tcPr>
            <w:tcW w:w="0" w:type="auto"/>
            <w:vMerge/>
            <w:tcBorders>
              <w:left w:val="single" w:sz="12" w:space="0" w:color="000000"/>
              <w:bottom w:val="single" w:sz="12" w:space="0" w:color="000000"/>
              <w:right w:val="single" w:sz="12" w:space="0" w:color="000000"/>
            </w:tcBorders>
            <w:vAlign w:val="center"/>
            <w:hideMark/>
          </w:tcPr>
          <w:p w14:paraId="6D2D7092"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3448F2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8344CE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976A77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043D1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5A8EE5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hyperlink w:history="1">
              <w:r w:rsidR="00A77B3E" w:rsidRPr="0030358C">
                <w:rPr>
                  <w:rFonts w:ascii="Arial" w:hAnsi="Arial" w:cs="Arial"/>
                  <w:b/>
                  <w:bCs/>
                  <w:strike/>
                  <w:sz w:val="22"/>
                  <w:szCs w:val="22"/>
                  <w:vertAlign w:val="superscript"/>
                </w:rPr>
                <w:t>9)</w:t>
              </w:r>
            </w:hyperlink>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CCCDFB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AAF545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3432D9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33935E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4D69BC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823744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807"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33127E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1994E034" w14:textId="77777777" w:rsidTr="00D804A3">
        <w:trPr>
          <w:trHeight w:val="351"/>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D1B4B2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Pevné palivo s výjimkou biomasy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1E5F1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34073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04E85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5185D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F88E3E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9BB10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E2C4B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A1674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5044E6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3FF0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09859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w:t>
            </w:r>
          </w:p>
        </w:tc>
        <w:tc>
          <w:tcPr>
            <w:tcW w:w="80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156CA2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r>
      <w:tr w:rsidR="00E40657" w14:paraId="1446C782" w14:textId="77777777" w:rsidTr="00D804A3">
        <w:trPr>
          <w:trHeight w:val="351"/>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F69F5A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Biomasa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F02859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CC2EC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A2A525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A6B91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B17722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133</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8266D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AFC31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DCD8D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76CD5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133</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EB0C01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C6671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hyperlink w:history="1">
              <w:r w:rsidR="00A77B3E" w:rsidRPr="0030358C">
                <w:rPr>
                  <w:rFonts w:ascii="Arial" w:hAnsi="Arial" w:cs="Arial"/>
                  <w:strike/>
                  <w:sz w:val="22"/>
                  <w:szCs w:val="22"/>
                  <w:vertAlign w:val="superscript"/>
                </w:rPr>
                <w:t>8)</w:t>
              </w:r>
            </w:hyperlink>
          </w:p>
        </w:tc>
        <w:tc>
          <w:tcPr>
            <w:tcW w:w="80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F6D6EF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hyperlink w:history="1">
              <w:r w:rsidR="00A77B3E" w:rsidRPr="0030358C">
                <w:rPr>
                  <w:rFonts w:ascii="Arial" w:hAnsi="Arial" w:cs="Arial"/>
                  <w:strike/>
                  <w:sz w:val="22"/>
                  <w:szCs w:val="22"/>
                  <w:vertAlign w:val="superscript"/>
                </w:rPr>
                <w:t>3)</w:t>
              </w:r>
            </w:hyperlink>
          </w:p>
        </w:tc>
      </w:tr>
      <w:tr w:rsidR="00E40657" w14:paraId="4B5D9BCF" w14:textId="77777777" w:rsidTr="00D804A3">
        <w:trPr>
          <w:trHeight w:val="609"/>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A608E8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48DC1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30FCC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5F547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D38F73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7178B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30B5B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450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B7C78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D6F748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7D5D54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350</w:t>
            </w:r>
            <w:hyperlink w:history="1">
              <w:r w:rsidR="00A77B3E" w:rsidRPr="0030358C">
                <w:rPr>
                  <w:rFonts w:ascii="Arial" w:hAnsi="Arial" w:cs="Arial"/>
                  <w:strike/>
                  <w:sz w:val="22"/>
                  <w:szCs w:val="22"/>
                  <w:vertAlign w:val="superscript"/>
                </w:rPr>
                <w:t>6)</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64D3A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r w:rsidRPr="0030358C">
              <w:rPr>
                <w:rFonts w:ascii="Arial" w:hAnsi="Arial" w:cs="Arial"/>
                <w:strike/>
                <w:sz w:val="22"/>
                <w:szCs w:val="22"/>
              </w:rPr>
              <w:br/>
              <w:t>450</w:t>
            </w:r>
            <w:hyperlink w:history="1">
              <w:r w:rsidR="00A77B3E" w:rsidRPr="0030358C">
                <w:rPr>
                  <w:rFonts w:ascii="Arial" w:hAnsi="Arial" w:cs="Arial"/>
                  <w:strike/>
                  <w:sz w:val="22"/>
                  <w:szCs w:val="22"/>
                  <w:vertAlign w:val="superscript"/>
                </w:rPr>
                <w:t>4)</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41857A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w:t>
            </w:r>
          </w:p>
        </w:tc>
        <w:tc>
          <w:tcPr>
            <w:tcW w:w="80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4E68A8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24E16B53" w14:textId="77777777" w:rsidTr="00D804A3">
        <w:trPr>
          <w:trHeight w:val="351"/>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12F3FB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AC68C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3CB2E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CA8E1B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5E855D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D31041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C761BE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A184B9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1903A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7ADD3B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29F05B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9AB243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80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598E04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80</w:t>
            </w:r>
          </w:p>
        </w:tc>
      </w:tr>
      <w:tr w:rsidR="00E40657" w14:paraId="10E53D72" w14:textId="77777777" w:rsidTr="00D804A3">
        <w:trPr>
          <w:trHeight w:val="32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6DF0CF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6015A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CF28F3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6C4CB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5C8541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4DB12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C91AF4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BFE4AF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9023E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BF2EB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35</w:t>
            </w:r>
            <w:hyperlink w:history="1">
              <w:r w:rsidR="00A77B3E" w:rsidRPr="0030358C">
                <w:rPr>
                  <w:rFonts w:ascii="Arial" w:hAnsi="Arial" w:cs="Arial"/>
                  <w:strike/>
                  <w:sz w:val="22"/>
                  <w:szCs w:val="22"/>
                  <w:vertAlign w:val="superscript"/>
                </w:rPr>
                <w:t>7)</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26FE05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FF77B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80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B9FEA1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r w:rsidR="00E40657" w14:paraId="5C717939" w14:textId="77777777" w:rsidTr="00D804A3">
        <w:trPr>
          <w:trHeight w:val="351"/>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572E8E6"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45D990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5C42A0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18C7CB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599919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F71F84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24FE07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D63609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87D6A8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E6BCC0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87FEBD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hyperlink w:history="1">
              <w:r w:rsidR="00A77B3E" w:rsidRPr="0030358C">
                <w:rPr>
                  <w:rFonts w:ascii="Arial" w:hAnsi="Arial" w:cs="Arial"/>
                  <w:strike/>
                  <w:sz w:val="22"/>
                  <w:szCs w:val="22"/>
                  <w:vertAlign w:val="superscript"/>
                </w:rPr>
                <w:t>5)</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E88285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807"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88188F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bl>
    <w:p w14:paraId="084470B4" w14:textId="77777777" w:rsidR="00A77B3E" w:rsidRPr="0030358C" w:rsidRDefault="00A77B3E">
      <w:pPr>
        <w:pStyle w:val="59"/>
        <w:rPr>
          <w:rFonts w:ascii="Arial" w:hAnsi="Arial" w:cs="Arial"/>
          <w:strike/>
          <w:sz w:val="22"/>
          <w:szCs w:val="22"/>
        </w:rPr>
      </w:pPr>
    </w:p>
    <w:p w14:paraId="44A45992"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700D080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Pro stacionární zdroje o jmenovitém tepelném příkonu 20 MW a nižším platí emisní limit 1100 mg.m</w:t>
      </w:r>
      <w:r w:rsidRPr="0030358C">
        <w:rPr>
          <w:rFonts w:ascii="Arial" w:hAnsi="Arial" w:cs="Arial"/>
          <w:strike/>
          <w:sz w:val="22"/>
          <w:szCs w:val="22"/>
          <w:vertAlign w:val="superscript"/>
        </w:rPr>
        <w:t>-3</w:t>
      </w:r>
      <w:r w:rsidRPr="0030358C">
        <w:rPr>
          <w:rFonts w:ascii="Arial" w:hAnsi="Arial" w:cs="Arial"/>
          <w:strike/>
          <w:sz w:val="22"/>
          <w:szCs w:val="22"/>
        </w:rPr>
        <w:t>.</w:t>
      </w:r>
    </w:p>
    <w:p w14:paraId="3EF929FD"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Neplatí pro výlučné spalování dřevní biomasy. Pro spalování slámy platí emisní limit 200 mg.m</w:t>
      </w:r>
      <w:r w:rsidRPr="0030358C">
        <w:rPr>
          <w:rFonts w:ascii="Arial" w:hAnsi="Arial" w:cs="Arial"/>
          <w:strike/>
          <w:sz w:val="22"/>
          <w:szCs w:val="22"/>
          <w:vertAlign w:val="superscript"/>
        </w:rPr>
        <w:t>-3</w:t>
      </w:r>
      <w:r w:rsidRPr="0030358C">
        <w:rPr>
          <w:rFonts w:ascii="Arial" w:hAnsi="Arial" w:cs="Arial"/>
          <w:strike/>
          <w:sz w:val="22"/>
          <w:szCs w:val="22"/>
        </w:rPr>
        <w:t>.</w:t>
      </w:r>
    </w:p>
    <w:p w14:paraId="77CCB316"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Platí v případě spalování výlisků z biomasy. Pro spalování ostatních druhů biomasy platí emisní limit 500 mg.m</w:t>
      </w:r>
      <w:r w:rsidRPr="0030358C">
        <w:rPr>
          <w:rFonts w:ascii="Arial" w:hAnsi="Arial" w:cs="Arial"/>
          <w:strike/>
          <w:sz w:val="22"/>
          <w:szCs w:val="22"/>
          <w:vertAlign w:val="superscript"/>
        </w:rPr>
        <w:t>-3</w:t>
      </w:r>
      <w:r w:rsidRPr="0030358C">
        <w:rPr>
          <w:rFonts w:ascii="Arial" w:hAnsi="Arial" w:cs="Arial"/>
          <w:strike/>
          <w:sz w:val="22"/>
          <w:szCs w:val="22"/>
        </w:rPr>
        <w:t>.</w:t>
      </w:r>
    </w:p>
    <w:p w14:paraId="02FF4D9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4)    Vztahuje se na spalování těžkého topného oleje a jemu podobných kapalných paliv.</w:t>
      </w:r>
    </w:p>
    <w:p w14:paraId="174FE08A"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5)    Pokud provozovatel prokáže, že nelze této hodnoty z technických důvodů dosáhnout použitím nízkoemisních hořáků, platí specifický emisní limit 200 mg.m</w:t>
      </w:r>
      <w:r w:rsidRPr="0030358C">
        <w:rPr>
          <w:rFonts w:ascii="Arial" w:hAnsi="Arial" w:cs="Arial"/>
          <w:strike/>
          <w:sz w:val="22"/>
          <w:szCs w:val="22"/>
          <w:vertAlign w:val="superscript"/>
        </w:rPr>
        <w:t>-3</w:t>
      </w:r>
      <w:r w:rsidRPr="0030358C">
        <w:rPr>
          <w:rFonts w:ascii="Arial" w:hAnsi="Arial" w:cs="Arial"/>
          <w:strike/>
          <w:sz w:val="22"/>
          <w:szCs w:val="22"/>
        </w:rPr>
        <w:t>.</w:t>
      </w:r>
    </w:p>
    <w:p w14:paraId="6E65C35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6)    Do 1. ledna 2030 pro stacionární zdroje o jmenovitém tepelném příkonu 20 MW a nižším platí emisní limit 850 mg.m</w:t>
      </w:r>
      <w:r w:rsidRPr="0030358C">
        <w:rPr>
          <w:rFonts w:ascii="Arial" w:hAnsi="Arial" w:cs="Arial"/>
          <w:strike/>
          <w:sz w:val="22"/>
          <w:szCs w:val="22"/>
          <w:vertAlign w:val="superscript"/>
        </w:rPr>
        <w:t>-3</w:t>
      </w:r>
      <w:r w:rsidRPr="0030358C">
        <w:rPr>
          <w:rFonts w:ascii="Arial" w:hAnsi="Arial" w:cs="Arial"/>
          <w:strike/>
          <w:sz w:val="22"/>
          <w:szCs w:val="22"/>
        </w:rPr>
        <w:t xml:space="preserve"> při spalování těžkého topného oleje.</w:t>
      </w:r>
    </w:p>
    <w:p w14:paraId="5103835F"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7)    Pro spalování bioplynu platí emisní limit 170 mg.m</w:t>
      </w:r>
      <w:r w:rsidRPr="0030358C">
        <w:rPr>
          <w:rFonts w:ascii="Arial" w:hAnsi="Arial" w:cs="Arial"/>
          <w:strike/>
          <w:sz w:val="22"/>
          <w:szCs w:val="22"/>
          <w:vertAlign w:val="superscript"/>
        </w:rPr>
        <w:t>-3</w:t>
      </w:r>
      <w:r w:rsidRPr="0030358C">
        <w:rPr>
          <w:rFonts w:ascii="Arial" w:hAnsi="Arial" w:cs="Arial"/>
          <w:strike/>
          <w:sz w:val="22"/>
          <w:szCs w:val="22"/>
        </w:rPr>
        <w:t>.</w:t>
      </w:r>
    </w:p>
    <w:p w14:paraId="0ED3B82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8)    Pro stacionární zdroje o jmenovitém tepelném příkonu 20 MW a nižším platí emisní limit 33 mg.m</w:t>
      </w:r>
      <w:r w:rsidRPr="0030358C">
        <w:rPr>
          <w:rFonts w:ascii="Arial" w:hAnsi="Arial" w:cs="Arial"/>
          <w:strike/>
          <w:sz w:val="22"/>
          <w:szCs w:val="22"/>
          <w:vertAlign w:val="superscript"/>
        </w:rPr>
        <w:t>-3</w:t>
      </w:r>
      <w:r w:rsidRPr="0030358C">
        <w:rPr>
          <w:rFonts w:ascii="Arial" w:hAnsi="Arial" w:cs="Arial"/>
          <w:strike/>
          <w:sz w:val="22"/>
          <w:szCs w:val="22"/>
        </w:rPr>
        <w:t>.</w:t>
      </w:r>
    </w:p>
    <w:p w14:paraId="6B4C14BE"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9)    Emisní limity pro SO</w:t>
      </w:r>
      <w:r w:rsidRPr="0030358C">
        <w:rPr>
          <w:rFonts w:ascii="Arial" w:hAnsi="Arial" w:cs="Arial"/>
          <w:strike/>
          <w:sz w:val="22"/>
          <w:szCs w:val="22"/>
          <w:vertAlign w:val="subscript"/>
        </w:rPr>
        <w:t>2</w:t>
      </w:r>
      <w:r w:rsidRPr="0030358C">
        <w:rPr>
          <w:rFonts w:ascii="Arial" w:hAnsi="Arial" w:cs="Arial"/>
          <w:strike/>
          <w:sz w:val="22"/>
          <w:szCs w:val="22"/>
        </w:rPr>
        <w:t xml:space="preserve"> se u zdrojů o jmenovitém tepelném příkonu 5 MW a nižším uplatní od 1. ledna 2030.</w:t>
      </w:r>
    </w:p>
    <w:p w14:paraId="60C4AACB" w14:textId="77777777" w:rsidR="00A77B3E" w:rsidRPr="0030358C" w:rsidRDefault="00000000">
      <w:pPr>
        <w:pStyle w:val="57"/>
        <w:rPr>
          <w:rFonts w:ascii="Arial" w:hAnsi="Arial" w:cs="Arial"/>
          <w:strike/>
          <w:szCs w:val="22"/>
        </w:rPr>
      </w:pPr>
      <w:r w:rsidRPr="0030358C">
        <w:rPr>
          <w:rFonts w:ascii="Arial" w:hAnsi="Arial" w:cs="Arial"/>
          <w:strike/>
          <w:szCs w:val="22"/>
        </w:rPr>
        <w:t>3.2.    Specifické emisní limity pro pístové spalovací motory</w:t>
      </w:r>
    </w:p>
    <w:p w14:paraId="73D90BA1"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3.2.1 - Specifické emisní limity pro stacionární zdroje uvedené do provozu 20. prosince 2018 nebo později</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35"/>
        <w:gridCol w:w="840"/>
        <w:gridCol w:w="854"/>
        <w:gridCol w:w="849"/>
        <w:gridCol w:w="781"/>
        <w:gridCol w:w="840"/>
        <w:gridCol w:w="928"/>
        <w:gridCol w:w="849"/>
        <w:gridCol w:w="794"/>
      </w:tblGrid>
      <w:tr w:rsidR="00E40657" w14:paraId="22127C7B"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68A0102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8"/>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F9995B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7A63908F" w14:textId="77777777">
        <w:tc>
          <w:tcPr>
            <w:tcW w:w="0" w:type="auto"/>
            <w:vMerge/>
            <w:tcBorders>
              <w:left w:val="single" w:sz="12" w:space="0" w:color="000000"/>
              <w:right w:val="single" w:sz="12" w:space="0" w:color="000000"/>
            </w:tcBorders>
            <w:vAlign w:val="center"/>
            <w:hideMark/>
          </w:tcPr>
          <w:p w14:paraId="3A3E4816"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2603FD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17D2E3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1-50 MW</w:t>
            </w:r>
          </w:p>
        </w:tc>
      </w:tr>
      <w:tr w:rsidR="00E40657" w14:paraId="261AE0E2" w14:textId="77777777">
        <w:tc>
          <w:tcPr>
            <w:tcW w:w="0" w:type="auto"/>
            <w:vMerge/>
            <w:tcBorders>
              <w:left w:val="single" w:sz="12" w:space="0" w:color="000000"/>
              <w:bottom w:val="single" w:sz="12" w:space="0" w:color="000000"/>
              <w:right w:val="single" w:sz="12" w:space="0" w:color="000000"/>
            </w:tcBorders>
            <w:vAlign w:val="center"/>
            <w:hideMark/>
          </w:tcPr>
          <w:p w14:paraId="58ADA9D8"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959B2E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1308C2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E7C8369"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9CA408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F1ACF7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295E03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AC6C172"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5F7FFB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76313CA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032152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C62EF0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A77F83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7A43A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8831AB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A3BFC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01407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11C7E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92FB4A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189A815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9F1E84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067E7F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3BE81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42CA7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35EEFF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29507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00CEB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207AC2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B654F2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1C898F4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A605E8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16B01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6F315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C574A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51A246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6F2901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w:t>
            </w:r>
            <w:hyperlink w:history="1">
              <w:r w:rsidR="00A77B3E" w:rsidRPr="0030358C">
                <w:rPr>
                  <w:rFonts w:ascii="Arial" w:hAnsi="Arial" w:cs="Arial"/>
                  <w:strike/>
                  <w:sz w:val="22"/>
                  <w:szCs w:val="22"/>
                  <w:vertAlign w:val="superscript"/>
                </w:rPr>
                <w:t>2)</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8F20B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E7F70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8FDD2B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r w:rsidR="00E40657" w14:paraId="1754B74B"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44A2D4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CB79CC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B06BA5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C28587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2D7204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1FF1DF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32D471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253</w:t>
            </w:r>
            <w:hyperlink w:history="1">
              <w:r w:rsidR="00A77B3E" w:rsidRPr="0030358C">
                <w:rPr>
                  <w:rFonts w:ascii="Arial" w:hAnsi="Arial" w:cs="Arial"/>
                  <w:strike/>
                  <w:sz w:val="22"/>
                  <w:szCs w:val="22"/>
                  <w:vertAlign w:val="superscript"/>
                </w:rPr>
                <w:t>3)</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B0D770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E9C256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bl>
    <w:p w14:paraId="280872EB" w14:textId="77777777" w:rsidR="00A77B3E" w:rsidRPr="0030358C" w:rsidRDefault="00A77B3E">
      <w:pPr>
        <w:pStyle w:val="59"/>
        <w:rPr>
          <w:rFonts w:ascii="Arial" w:hAnsi="Arial" w:cs="Arial"/>
          <w:strike/>
          <w:sz w:val="22"/>
          <w:szCs w:val="22"/>
        </w:rPr>
      </w:pPr>
    </w:p>
    <w:p w14:paraId="672D5D76"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52676BA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Pro motory o celkovém jmenovitém tepelném příkonu 1 MW nebo vyšším a nižším než 5 MW platí emisní limit 50 mg.m</w:t>
      </w:r>
      <w:r w:rsidRPr="0030358C">
        <w:rPr>
          <w:rFonts w:ascii="Arial" w:hAnsi="Arial" w:cs="Arial"/>
          <w:strike/>
          <w:sz w:val="22"/>
          <w:szCs w:val="22"/>
          <w:vertAlign w:val="superscript"/>
        </w:rPr>
        <w:t>-3</w:t>
      </w:r>
      <w:r w:rsidRPr="0030358C">
        <w:rPr>
          <w:rFonts w:ascii="Arial" w:hAnsi="Arial" w:cs="Arial"/>
          <w:strike/>
          <w:sz w:val="22"/>
          <w:szCs w:val="22"/>
        </w:rPr>
        <w:t>.</w:t>
      </w:r>
    </w:p>
    <w:p w14:paraId="6498F1AD"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V případě spalování bioplynu se uplatní emisní limit 107 mg.m</w:t>
      </w:r>
      <w:r w:rsidRPr="0030358C">
        <w:rPr>
          <w:rFonts w:ascii="Arial" w:hAnsi="Arial" w:cs="Arial"/>
          <w:strike/>
          <w:sz w:val="22"/>
          <w:szCs w:val="22"/>
          <w:vertAlign w:val="superscript"/>
        </w:rPr>
        <w:t>-3</w:t>
      </w:r>
      <w:r w:rsidRPr="0030358C">
        <w:rPr>
          <w:rFonts w:ascii="Arial" w:hAnsi="Arial" w:cs="Arial"/>
          <w:strike/>
          <w:sz w:val="22"/>
          <w:szCs w:val="22"/>
        </w:rPr>
        <w:t>.</w:t>
      </w:r>
    </w:p>
    <w:p w14:paraId="5A7C7328"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3)    Pro dvoupalivové motory při spalování pouze zemního plynu platí emisní limit 507 mg.m</w:t>
      </w:r>
      <w:r w:rsidRPr="0030358C">
        <w:rPr>
          <w:rFonts w:ascii="Arial" w:hAnsi="Arial" w:cs="Arial"/>
          <w:strike/>
          <w:sz w:val="22"/>
          <w:szCs w:val="22"/>
          <w:vertAlign w:val="superscript"/>
        </w:rPr>
        <w:t>-3</w:t>
      </w:r>
      <w:r w:rsidRPr="0030358C">
        <w:rPr>
          <w:rFonts w:ascii="Arial" w:hAnsi="Arial" w:cs="Arial"/>
          <w:strike/>
          <w:sz w:val="22"/>
          <w:szCs w:val="22"/>
        </w:rPr>
        <w:t>.</w:t>
      </w:r>
    </w:p>
    <w:p w14:paraId="735AA24A"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3.2.2 Specifické emisní limity pro stacionární zdroje uvedené do provozu před 20. prosincem 2018</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27"/>
        <w:gridCol w:w="839"/>
        <w:gridCol w:w="853"/>
        <w:gridCol w:w="848"/>
        <w:gridCol w:w="780"/>
        <w:gridCol w:w="929"/>
        <w:gridCol w:w="853"/>
        <w:gridCol w:w="848"/>
        <w:gridCol w:w="793"/>
      </w:tblGrid>
      <w:tr w:rsidR="00E40657" w14:paraId="3364A84F"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710EC2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8"/>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F3FF34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6C780379" w14:textId="77777777">
        <w:tc>
          <w:tcPr>
            <w:tcW w:w="0" w:type="auto"/>
            <w:vMerge/>
            <w:tcBorders>
              <w:left w:val="single" w:sz="12" w:space="0" w:color="000000"/>
              <w:right w:val="single" w:sz="12" w:space="0" w:color="000000"/>
            </w:tcBorders>
            <w:vAlign w:val="center"/>
            <w:hideMark/>
          </w:tcPr>
          <w:p w14:paraId="3799BD69"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0042F6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B9B361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1-50 MW</w:t>
            </w:r>
          </w:p>
        </w:tc>
      </w:tr>
      <w:tr w:rsidR="00E40657" w14:paraId="5C5E0066" w14:textId="77777777">
        <w:tc>
          <w:tcPr>
            <w:tcW w:w="0" w:type="auto"/>
            <w:vMerge/>
            <w:tcBorders>
              <w:left w:val="single" w:sz="12" w:space="0" w:color="000000"/>
              <w:bottom w:val="single" w:sz="12" w:space="0" w:color="000000"/>
              <w:right w:val="single" w:sz="12" w:space="0" w:color="000000"/>
            </w:tcBorders>
            <w:vAlign w:val="center"/>
            <w:hideMark/>
          </w:tcPr>
          <w:p w14:paraId="532A2C59"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3F421A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7BCF7C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779CEBA"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6FC9C1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3FC4AF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0D492D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1202E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C06CFC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4BAC185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D4233AE"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FC55F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FCAB2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53FFF7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3961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B56FA2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2C6831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9F6DD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346515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50171BF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42F1E0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A074A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CA8BAC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13663F" w14:textId="77777777" w:rsidR="00A77B3E" w:rsidRPr="0030358C" w:rsidRDefault="00A77B3E">
            <w:pPr>
              <w:pStyle w:val="59"/>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34670E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0671F7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F2F239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7578B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BA550B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450</w:t>
            </w:r>
          </w:p>
        </w:tc>
      </w:tr>
      <w:tr w:rsidR="00E40657" w14:paraId="3ED806E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199444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FDE08D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405721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F7150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4EF8A1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4922DB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40</w:t>
            </w:r>
            <w:r w:rsidRPr="0030358C">
              <w:rPr>
                <w:rFonts w:ascii="Arial" w:hAnsi="Arial" w:cs="Arial"/>
                <w:strike/>
                <w:sz w:val="22"/>
                <w:szCs w:val="22"/>
                <w:vertAlign w:val="superscript"/>
              </w:rPr>
              <w:t>2)3)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6F07B5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2B91C8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288A2B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r w:rsidR="00E40657" w14:paraId="7A28489F"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08C8D8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B1E38D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176ED1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A735D8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6D8842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B5279C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61778B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D7E52F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241320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650</w:t>
            </w:r>
          </w:p>
        </w:tc>
      </w:tr>
    </w:tbl>
    <w:p w14:paraId="7676EA0E" w14:textId="77777777" w:rsidR="00A77B3E" w:rsidRPr="0030358C" w:rsidRDefault="00A77B3E">
      <w:pPr>
        <w:pStyle w:val="59"/>
        <w:rPr>
          <w:rFonts w:ascii="Arial" w:hAnsi="Arial" w:cs="Arial"/>
          <w:strike/>
          <w:sz w:val="22"/>
          <w:szCs w:val="22"/>
        </w:rPr>
      </w:pPr>
    </w:p>
    <w:p w14:paraId="4AFE0350"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0DD1E10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V případě motorů s celkovým jmenovitým tepelným příkonem 20 MW a nižším platí emisní limit 50 mg.m</w:t>
      </w:r>
      <w:r w:rsidRPr="0030358C">
        <w:rPr>
          <w:rFonts w:ascii="Arial" w:hAnsi="Arial" w:cs="Arial"/>
          <w:strike/>
          <w:sz w:val="22"/>
          <w:szCs w:val="22"/>
          <w:vertAlign w:val="superscript"/>
        </w:rPr>
        <w:t>-3</w:t>
      </w:r>
      <w:r w:rsidRPr="0030358C">
        <w:rPr>
          <w:rFonts w:ascii="Arial" w:hAnsi="Arial" w:cs="Arial"/>
          <w:strike/>
          <w:sz w:val="22"/>
          <w:szCs w:val="22"/>
        </w:rPr>
        <w:t>.</w:t>
      </w:r>
    </w:p>
    <w:p w14:paraId="47B21ED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V případě spalování bioplynu platí emisní limit 160 mg.m</w:t>
      </w:r>
      <w:r w:rsidRPr="0030358C">
        <w:rPr>
          <w:rFonts w:ascii="Arial" w:hAnsi="Arial" w:cs="Arial"/>
          <w:strike/>
          <w:sz w:val="22"/>
          <w:szCs w:val="22"/>
          <w:vertAlign w:val="superscript"/>
        </w:rPr>
        <w:t>-3</w:t>
      </w:r>
      <w:r w:rsidRPr="0030358C">
        <w:rPr>
          <w:rFonts w:ascii="Arial" w:hAnsi="Arial" w:cs="Arial"/>
          <w:strike/>
          <w:sz w:val="22"/>
          <w:szCs w:val="22"/>
        </w:rPr>
        <w:t>.</w:t>
      </w:r>
    </w:p>
    <w:p w14:paraId="1755BD0E"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3)    V případě spalování nízkovýhřevných plynů z koksárenských pecí platí emisní limit 347 mg.m</w:t>
      </w:r>
      <w:r w:rsidRPr="0030358C">
        <w:rPr>
          <w:rFonts w:ascii="Arial" w:hAnsi="Arial" w:cs="Arial"/>
          <w:strike/>
          <w:sz w:val="22"/>
          <w:szCs w:val="22"/>
          <w:vertAlign w:val="superscript"/>
        </w:rPr>
        <w:t>-3</w:t>
      </w:r>
      <w:r w:rsidRPr="0030358C">
        <w:rPr>
          <w:rFonts w:ascii="Arial" w:hAnsi="Arial" w:cs="Arial"/>
          <w:strike/>
          <w:sz w:val="22"/>
          <w:szCs w:val="22"/>
        </w:rPr>
        <w:t xml:space="preserve"> a v případě spalování nízkovýhřevných plynů z vysokých pecí v železářském a ocelářském průmyslu platí emisní limit 173 mg.m</w:t>
      </w:r>
      <w:r w:rsidRPr="0030358C">
        <w:rPr>
          <w:rFonts w:ascii="Arial" w:hAnsi="Arial" w:cs="Arial"/>
          <w:strike/>
          <w:sz w:val="22"/>
          <w:szCs w:val="22"/>
          <w:vertAlign w:val="superscript"/>
        </w:rPr>
        <w:t>-3</w:t>
      </w:r>
      <w:r w:rsidRPr="0030358C">
        <w:rPr>
          <w:rFonts w:ascii="Arial" w:hAnsi="Arial" w:cs="Arial"/>
          <w:strike/>
          <w:sz w:val="22"/>
          <w:szCs w:val="22"/>
        </w:rPr>
        <w:t>.</w:t>
      </w:r>
    </w:p>
    <w:p w14:paraId="4F42763C" w14:textId="77777777" w:rsidR="00A77B3E" w:rsidRPr="0030358C" w:rsidRDefault="00000000">
      <w:pPr>
        <w:pStyle w:val="57"/>
        <w:rPr>
          <w:rFonts w:ascii="Arial" w:hAnsi="Arial" w:cs="Arial"/>
          <w:strike/>
          <w:szCs w:val="22"/>
        </w:rPr>
      </w:pPr>
      <w:r w:rsidRPr="0030358C">
        <w:rPr>
          <w:rFonts w:ascii="Arial" w:hAnsi="Arial" w:cs="Arial"/>
          <w:strike/>
          <w:szCs w:val="22"/>
        </w:rPr>
        <w:t>3.3.    Specifické emisní limity pro plynové turbíny</w:t>
      </w:r>
    </w:p>
    <w:p w14:paraId="43BEC5D2"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3.3.1 - Specifické emisní limity pro stacionární zdroje uvedené do provozu 20. prosince 2018 nebo později</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67"/>
        <w:gridCol w:w="845"/>
        <w:gridCol w:w="859"/>
        <w:gridCol w:w="855"/>
        <w:gridCol w:w="786"/>
        <w:gridCol w:w="845"/>
        <w:gridCol w:w="859"/>
        <w:gridCol w:w="855"/>
        <w:gridCol w:w="799"/>
      </w:tblGrid>
      <w:tr w:rsidR="00E40657" w14:paraId="488ACB95"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08B7E3F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lastRenderedPageBreak/>
              <w:t>Druh paliva</w:t>
            </w:r>
          </w:p>
        </w:tc>
        <w:tc>
          <w:tcPr>
            <w:tcW w:w="0" w:type="auto"/>
            <w:gridSpan w:val="8"/>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1B0D93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045C482C" w14:textId="77777777">
        <w:tc>
          <w:tcPr>
            <w:tcW w:w="0" w:type="auto"/>
            <w:vMerge/>
            <w:tcBorders>
              <w:left w:val="single" w:sz="12" w:space="0" w:color="000000"/>
              <w:right w:val="single" w:sz="12" w:space="0" w:color="000000"/>
            </w:tcBorders>
            <w:vAlign w:val="center"/>
            <w:hideMark/>
          </w:tcPr>
          <w:p w14:paraId="0FB0E57A"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06044B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8385686"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1-50 MW</w:t>
            </w:r>
          </w:p>
        </w:tc>
      </w:tr>
      <w:tr w:rsidR="00E40657" w14:paraId="31BA305B" w14:textId="77777777">
        <w:tc>
          <w:tcPr>
            <w:tcW w:w="0" w:type="auto"/>
            <w:vMerge/>
            <w:tcBorders>
              <w:left w:val="single" w:sz="12" w:space="0" w:color="000000"/>
              <w:bottom w:val="single" w:sz="12" w:space="0" w:color="000000"/>
              <w:right w:val="single" w:sz="12" w:space="0" w:color="000000"/>
            </w:tcBorders>
            <w:vAlign w:val="center"/>
            <w:hideMark/>
          </w:tcPr>
          <w:p w14:paraId="63496C44"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2CB53F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D609D0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E74997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A2F489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3016A3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855201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4BCF73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064AFD5"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5F5253E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EDDF2D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B9296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75EFF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84B71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271DD8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54D5A6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391850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A8F0B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w:t>
            </w:r>
            <w:hyperlink w:history="1">
              <w:r w:rsidR="00A77B3E" w:rsidRPr="0030358C">
                <w:rPr>
                  <w:rFonts w:ascii="Arial" w:hAnsi="Arial" w:cs="Arial"/>
                  <w:strike/>
                  <w:sz w:val="22"/>
                  <w:szCs w:val="22"/>
                  <w:vertAlign w:val="superscript"/>
                </w:rPr>
                <w:t>1</w:t>
              </w:r>
              <w:r w:rsidR="00A77B3E" w:rsidRPr="0030358C">
                <w:rPr>
                  <w:rFonts w:ascii="Arial" w:hAnsi="Arial" w:cs="Arial"/>
                  <w:strike/>
                  <w:sz w:val="22"/>
                  <w:szCs w:val="22"/>
                </w:rPr>
                <w:t>)</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C27D63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6C72390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46A714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899EB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9BBDF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5D33F2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42AFBF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10CDB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B05B3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A82B3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D8FB07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50F8A9F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5035D7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24C16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61C179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C18B7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0F3F8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03D5F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w:t>
            </w:r>
            <w:hyperlink w:history="1">
              <w:r w:rsidR="00A77B3E" w:rsidRPr="0030358C">
                <w:rPr>
                  <w:rFonts w:ascii="Arial" w:hAnsi="Arial" w:cs="Arial"/>
                  <w:strike/>
                  <w:sz w:val="22"/>
                  <w:szCs w:val="22"/>
                  <w:vertAlign w:val="superscript"/>
                </w:rPr>
                <w:t>2</w:t>
              </w:r>
              <w:r w:rsidR="00A77B3E" w:rsidRPr="0030358C">
                <w:rPr>
                  <w:rFonts w:ascii="Arial" w:hAnsi="Arial" w:cs="Arial"/>
                  <w:strike/>
                  <w:sz w:val="22"/>
                  <w:szCs w:val="22"/>
                </w:rPr>
                <w:t>)</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434FF2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02CC35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04EFAC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53763BA7"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E9E6A7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E670E0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2910DC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1CBA90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D210BF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7D433F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2DB01B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6DCD78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144B23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bl>
    <w:p w14:paraId="79DB54AD" w14:textId="77777777" w:rsidR="00A77B3E" w:rsidRPr="0030358C" w:rsidRDefault="00A77B3E">
      <w:pPr>
        <w:pStyle w:val="59"/>
        <w:rPr>
          <w:rFonts w:ascii="Arial" w:hAnsi="Arial" w:cs="Arial"/>
          <w:strike/>
          <w:sz w:val="22"/>
          <w:szCs w:val="22"/>
        </w:rPr>
      </w:pPr>
    </w:p>
    <w:p w14:paraId="6E4C56F9"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01B17E7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Pro turbíny o celkovém jmenovitém tepelném příkonu od 1 MW do 5 MW včetně platí emisní limit 20 mg.m</w:t>
      </w:r>
      <w:r w:rsidRPr="0030358C">
        <w:rPr>
          <w:rFonts w:ascii="Arial" w:hAnsi="Arial" w:cs="Arial"/>
          <w:strike/>
          <w:sz w:val="22"/>
          <w:szCs w:val="22"/>
          <w:vertAlign w:val="superscript"/>
        </w:rPr>
        <w:t>-3</w:t>
      </w:r>
      <w:r w:rsidRPr="0030358C">
        <w:rPr>
          <w:rFonts w:ascii="Arial" w:hAnsi="Arial" w:cs="Arial"/>
          <w:strike/>
          <w:sz w:val="22"/>
          <w:szCs w:val="22"/>
        </w:rPr>
        <w:t>.</w:t>
      </w:r>
    </w:p>
    <w:p w14:paraId="114DD714"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2)    V případě spalování bioplynu se uplatní emisní limit 40 mg.m</w:t>
      </w:r>
      <w:r w:rsidRPr="0030358C">
        <w:rPr>
          <w:rFonts w:ascii="Arial" w:hAnsi="Arial" w:cs="Arial"/>
          <w:strike/>
          <w:sz w:val="22"/>
          <w:szCs w:val="22"/>
          <w:vertAlign w:val="superscript"/>
        </w:rPr>
        <w:t>-3</w:t>
      </w:r>
      <w:r w:rsidRPr="0030358C">
        <w:rPr>
          <w:rFonts w:ascii="Arial" w:hAnsi="Arial" w:cs="Arial"/>
          <w:strike/>
          <w:sz w:val="22"/>
          <w:szCs w:val="22"/>
        </w:rPr>
        <w:t>.</w:t>
      </w:r>
    </w:p>
    <w:p w14:paraId="7240DC0D" w14:textId="77777777" w:rsidR="00A77B3E" w:rsidRPr="0030358C" w:rsidRDefault="00000000">
      <w:pPr>
        <w:pStyle w:val="58"/>
        <w:rPr>
          <w:rFonts w:ascii="Arial" w:hAnsi="Arial" w:cs="Arial"/>
          <w:strike/>
          <w:sz w:val="22"/>
          <w:szCs w:val="22"/>
        </w:rPr>
      </w:pPr>
      <w:r w:rsidRPr="0030358C">
        <w:rPr>
          <w:rFonts w:ascii="Arial" w:hAnsi="Arial" w:cs="Arial"/>
          <w:strike/>
          <w:sz w:val="22"/>
          <w:szCs w:val="22"/>
        </w:rPr>
        <w:t>Tabulka 3.3.2 - Specifické emisní limity pro stacionární zdroje uvedené do provozu před 20. prosincem 2018</w:t>
      </w:r>
    </w:p>
    <w:tbl>
      <w:tblPr>
        <w:tblStyle w:val="data-tisk-na-sirku"/>
        <w:tblW w:w="1197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27"/>
        <w:gridCol w:w="839"/>
        <w:gridCol w:w="853"/>
        <w:gridCol w:w="848"/>
        <w:gridCol w:w="780"/>
        <w:gridCol w:w="929"/>
        <w:gridCol w:w="853"/>
        <w:gridCol w:w="848"/>
        <w:gridCol w:w="793"/>
      </w:tblGrid>
      <w:tr w:rsidR="00E40657" w14:paraId="62288379"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3D46E1F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8"/>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358D677"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Specifické 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205323BA" w14:textId="77777777">
        <w:tc>
          <w:tcPr>
            <w:tcW w:w="0" w:type="auto"/>
            <w:vMerge/>
            <w:tcBorders>
              <w:left w:val="single" w:sz="12" w:space="0" w:color="000000"/>
              <w:right w:val="single" w:sz="12" w:space="0" w:color="000000"/>
            </w:tcBorders>
            <w:vAlign w:val="center"/>
            <w:hideMark/>
          </w:tcPr>
          <w:p w14:paraId="4748968B" w14:textId="77777777" w:rsidR="00A77B3E" w:rsidRPr="0030358C" w:rsidRDefault="00A77B3E">
            <w:pPr>
              <w:overflowPunct w:val="0"/>
              <w:rPr>
                <w:rFonts w:ascii="Arial" w:hAnsi="Arial" w:cs="Arial"/>
                <w:b/>
                <w:bCs/>
                <w:strike/>
                <w:sz w:val="22"/>
                <w:szCs w:val="22"/>
              </w:rPr>
            </w:pP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6C4275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&gt; 0,3 až &lt; 1 MW</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E251994"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1-50 MW</w:t>
            </w:r>
          </w:p>
        </w:tc>
      </w:tr>
      <w:tr w:rsidR="00E40657" w14:paraId="0DF531D7" w14:textId="77777777">
        <w:tc>
          <w:tcPr>
            <w:tcW w:w="0" w:type="auto"/>
            <w:vMerge/>
            <w:tcBorders>
              <w:left w:val="single" w:sz="12" w:space="0" w:color="000000"/>
              <w:bottom w:val="single" w:sz="12" w:space="0" w:color="000000"/>
              <w:right w:val="single" w:sz="12" w:space="0" w:color="000000"/>
            </w:tcBorders>
            <w:vAlign w:val="center"/>
            <w:hideMark/>
          </w:tcPr>
          <w:p w14:paraId="308E4BD8"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E007CE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3C579AC"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9D992B3"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DDC75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93597D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8100721"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EE2A9F"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0E5E0FE"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CO</w:t>
            </w:r>
          </w:p>
        </w:tc>
      </w:tr>
      <w:tr w:rsidR="00E40657" w14:paraId="29D7C76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285B61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Kapalné palivo s výjimkou plynového oleje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A82D9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E9109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C2F660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16A474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53DC63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DE9E7C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6D6ED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w:t>
            </w:r>
            <w:hyperlink w:history="1">
              <w:r w:rsidR="00A77B3E" w:rsidRPr="0030358C">
                <w:rPr>
                  <w:rFonts w:ascii="Arial" w:hAnsi="Arial" w:cs="Arial"/>
                  <w:strike/>
                  <w:sz w:val="22"/>
                  <w:szCs w:val="22"/>
                  <w:vertAlign w:val="superscript"/>
                </w:rPr>
                <w:t>1)</w:t>
              </w:r>
            </w:hyperlink>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E414A9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72C1026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609324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Plynový olej</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9D9A2C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47A5B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0ACE7A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407FE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978D48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B7F388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AA8974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0C0E29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48821AB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1873EC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Plynné palivo s výjimkou zemního plynu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804C3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F8671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497D57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E5169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2A068F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w:t>
            </w:r>
            <w:r w:rsidRPr="0030358C">
              <w:rPr>
                <w:rFonts w:ascii="Arial" w:hAnsi="Arial" w:cs="Arial"/>
                <w:strike/>
                <w:sz w:val="22"/>
                <w:szCs w:val="22"/>
                <w:vertAlign w:val="superscript"/>
              </w:rPr>
              <w:t>2)3)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E7719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FFCBD77"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DFD466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r w:rsidR="00E40657" w14:paraId="44778D3B"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2485ECF"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Zemní plyn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D6A141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991E8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D8A07D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35AFD6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4B8F4E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698CFA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F635CA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1E5B5A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r>
    </w:tbl>
    <w:p w14:paraId="3971F30A" w14:textId="77777777" w:rsidR="00A77B3E" w:rsidRPr="0030358C" w:rsidRDefault="00A77B3E">
      <w:pPr>
        <w:pStyle w:val="59"/>
        <w:rPr>
          <w:rFonts w:ascii="Arial" w:hAnsi="Arial" w:cs="Arial"/>
          <w:strike/>
          <w:sz w:val="22"/>
          <w:szCs w:val="22"/>
        </w:rPr>
      </w:pPr>
    </w:p>
    <w:p w14:paraId="6385A1F8"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w:t>
      </w:r>
    </w:p>
    <w:p w14:paraId="18A3910C"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Pro turbíny o celkovém jmenovitém tepelném příkonu 1 MW nebo vyšším a nepřevyšujícím 20 MW platí emisní limit 20 mg.m</w:t>
      </w:r>
      <w:r w:rsidRPr="0030358C">
        <w:rPr>
          <w:rFonts w:ascii="Arial" w:hAnsi="Arial" w:cs="Arial"/>
          <w:strike/>
          <w:sz w:val="22"/>
          <w:szCs w:val="22"/>
          <w:vertAlign w:val="superscript"/>
        </w:rPr>
        <w:t>-3</w:t>
      </w:r>
      <w:r w:rsidRPr="0030358C">
        <w:rPr>
          <w:rFonts w:ascii="Arial" w:hAnsi="Arial" w:cs="Arial"/>
          <w:strike/>
          <w:sz w:val="22"/>
          <w:szCs w:val="22"/>
        </w:rPr>
        <w:t>.</w:t>
      </w:r>
    </w:p>
    <w:p w14:paraId="560026B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V případě spalování bioplynu platí emisní limit 60 mg.m</w:t>
      </w:r>
      <w:r w:rsidRPr="0030358C">
        <w:rPr>
          <w:rFonts w:ascii="Arial" w:hAnsi="Arial" w:cs="Arial"/>
          <w:strike/>
          <w:sz w:val="22"/>
          <w:szCs w:val="22"/>
          <w:vertAlign w:val="superscript"/>
        </w:rPr>
        <w:t>-3</w:t>
      </w:r>
      <w:r w:rsidRPr="0030358C">
        <w:rPr>
          <w:rFonts w:ascii="Arial" w:hAnsi="Arial" w:cs="Arial"/>
          <w:strike/>
          <w:sz w:val="22"/>
          <w:szCs w:val="22"/>
        </w:rPr>
        <w:t>.</w:t>
      </w:r>
    </w:p>
    <w:p w14:paraId="5ED92A04"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3)    V případě spalování nízkovýhřevných plynů z koksárenských pecí platí emisní limit 130 mg.m</w:t>
      </w:r>
      <w:r w:rsidRPr="0030358C">
        <w:rPr>
          <w:rFonts w:ascii="Arial" w:hAnsi="Arial" w:cs="Arial"/>
          <w:strike/>
          <w:sz w:val="22"/>
          <w:szCs w:val="22"/>
          <w:vertAlign w:val="superscript"/>
        </w:rPr>
        <w:t>-3</w:t>
      </w:r>
      <w:r w:rsidRPr="0030358C">
        <w:rPr>
          <w:rFonts w:ascii="Arial" w:hAnsi="Arial" w:cs="Arial"/>
          <w:strike/>
          <w:sz w:val="22"/>
          <w:szCs w:val="22"/>
        </w:rPr>
        <w:t xml:space="preserve"> a v případě spalování nízkovýhřevných plynů z vysokých pecí v železářském a ocelářském průmyslu platí emisní limit 65 mg.m</w:t>
      </w:r>
      <w:r w:rsidRPr="0030358C">
        <w:rPr>
          <w:rFonts w:ascii="Arial" w:hAnsi="Arial" w:cs="Arial"/>
          <w:strike/>
          <w:sz w:val="22"/>
          <w:szCs w:val="22"/>
          <w:vertAlign w:val="superscript"/>
        </w:rPr>
        <w:t>-3</w:t>
      </w:r>
      <w:r w:rsidRPr="0030358C">
        <w:rPr>
          <w:rFonts w:ascii="Arial" w:hAnsi="Arial" w:cs="Arial"/>
          <w:strike/>
          <w:sz w:val="22"/>
          <w:szCs w:val="22"/>
        </w:rPr>
        <w:t>.</w:t>
      </w:r>
    </w:p>
    <w:p w14:paraId="4C2DD3DD" w14:textId="77777777" w:rsidR="00A77B3E" w:rsidRPr="0030358C" w:rsidRDefault="00000000">
      <w:pPr>
        <w:pStyle w:val="44"/>
        <w:rPr>
          <w:rFonts w:ascii="Arial" w:hAnsi="Arial" w:cs="Arial"/>
          <w:strike/>
          <w:sz w:val="22"/>
          <w:szCs w:val="22"/>
        </w:rPr>
      </w:pPr>
      <w:r w:rsidRPr="0030358C">
        <w:rPr>
          <w:rFonts w:ascii="Arial" w:hAnsi="Arial" w:cs="Arial"/>
          <w:strike/>
          <w:sz w:val="22"/>
          <w:szCs w:val="22"/>
        </w:rPr>
        <w:t>Část III</w:t>
      </w:r>
    </w:p>
    <w:p w14:paraId="15259B28" w14:textId="77777777" w:rsidR="00A77B3E" w:rsidRPr="0030358C" w:rsidRDefault="00000000">
      <w:pPr>
        <w:pStyle w:val="8"/>
        <w:rPr>
          <w:rFonts w:ascii="Arial" w:hAnsi="Arial" w:cs="Arial"/>
          <w:strike/>
          <w:sz w:val="22"/>
          <w:szCs w:val="22"/>
        </w:rPr>
      </w:pPr>
      <w:r w:rsidRPr="0030358C">
        <w:rPr>
          <w:rFonts w:ascii="Arial" w:hAnsi="Arial" w:cs="Arial"/>
          <w:strike/>
          <w:sz w:val="22"/>
          <w:szCs w:val="22"/>
        </w:rPr>
        <w:t>Specifické emisní limity pro spalovací stacionární zdroje ke spalování více druhů paliv</w:t>
      </w:r>
    </w:p>
    <w:p w14:paraId="5EBE0726" w14:textId="77777777" w:rsidR="00A77B3E" w:rsidRPr="0030358C" w:rsidRDefault="00000000">
      <w:pPr>
        <w:pStyle w:val="46"/>
        <w:rPr>
          <w:rFonts w:ascii="Arial" w:hAnsi="Arial" w:cs="Arial"/>
          <w:strike/>
          <w:szCs w:val="22"/>
        </w:rPr>
      </w:pPr>
      <w:r w:rsidRPr="0030358C">
        <w:rPr>
          <w:rFonts w:ascii="Arial" w:hAnsi="Arial" w:cs="Arial"/>
          <w:strike/>
          <w:szCs w:val="22"/>
        </w:rPr>
        <w:t>1.    U spalovacího stacionárního zdroje používajícího současně dva nebo více druhů paliv se stanoví hodnoty specifických emisních limitů následujícím postupem:</w:t>
      </w:r>
    </w:p>
    <w:p w14:paraId="3B2530CB" w14:textId="77777777" w:rsidR="00A77B3E" w:rsidRPr="0030358C" w:rsidRDefault="00000000">
      <w:pPr>
        <w:pStyle w:val="63"/>
        <w:rPr>
          <w:rFonts w:ascii="Arial" w:hAnsi="Arial" w:cs="Arial"/>
          <w:strike/>
          <w:sz w:val="22"/>
          <w:szCs w:val="22"/>
        </w:rPr>
      </w:pPr>
      <w:r w:rsidRPr="0030358C">
        <w:rPr>
          <w:rFonts w:ascii="Arial" w:hAnsi="Arial" w:cs="Arial"/>
          <w:strike/>
          <w:sz w:val="22"/>
          <w:szCs w:val="22"/>
        </w:rPr>
        <w:t>a)    přiřadí se hodnota specifického emisního limitu odpovídající každému jednotlivému palivu a znečišťující látce v závislosti na celkovém jmenovitém tepelném příkonu spalovacích stacionárních zdrojů,</w:t>
      </w:r>
    </w:p>
    <w:p w14:paraId="1CCDBC7B" w14:textId="77777777" w:rsidR="00A77B3E" w:rsidRPr="0030358C" w:rsidRDefault="00000000">
      <w:pPr>
        <w:pStyle w:val="64"/>
        <w:rPr>
          <w:rFonts w:ascii="Arial" w:hAnsi="Arial" w:cs="Arial"/>
          <w:strike/>
          <w:sz w:val="22"/>
          <w:szCs w:val="22"/>
        </w:rPr>
      </w:pPr>
      <w:r w:rsidRPr="0030358C">
        <w:rPr>
          <w:rFonts w:ascii="Arial" w:hAnsi="Arial" w:cs="Arial"/>
          <w:strike/>
          <w:sz w:val="22"/>
          <w:szCs w:val="22"/>
        </w:rPr>
        <w:t>b)    následně se určí vážené hodnoty specifických emisních limitů podle jednotlivých druhů paliv, a to tak, že jednotlivé hodnoty specifických emisních limitů se vynásobí tepelným příkonem každého paliva a tento součin se vydělí součtem tepelných příkonů dodaných všemi palivy, a</w:t>
      </w:r>
    </w:p>
    <w:p w14:paraId="1BC48145" w14:textId="77777777" w:rsidR="00A77B3E" w:rsidRPr="0030358C" w:rsidRDefault="00000000">
      <w:pPr>
        <w:pStyle w:val="65"/>
        <w:rPr>
          <w:rFonts w:ascii="Arial" w:hAnsi="Arial" w:cs="Arial"/>
          <w:strike/>
          <w:sz w:val="22"/>
          <w:szCs w:val="22"/>
        </w:rPr>
      </w:pPr>
      <w:r w:rsidRPr="0030358C">
        <w:rPr>
          <w:rFonts w:ascii="Arial" w:hAnsi="Arial" w:cs="Arial"/>
          <w:strike/>
          <w:sz w:val="22"/>
          <w:szCs w:val="22"/>
        </w:rPr>
        <w:t>c)    sečtou se vážené hodnoty specifických emisních limitů pro jednotlivá paliva.</w:t>
      </w:r>
    </w:p>
    <w:p w14:paraId="5C9FEB96" w14:textId="77777777" w:rsidR="00A77B3E" w:rsidRPr="0030358C" w:rsidRDefault="00000000">
      <w:pPr>
        <w:pStyle w:val="46"/>
        <w:rPr>
          <w:rFonts w:ascii="Arial" w:hAnsi="Arial" w:cs="Arial"/>
          <w:strike/>
          <w:szCs w:val="22"/>
        </w:rPr>
      </w:pPr>
      <w:r w:rsidRPr="0030358C">
        <w:rPr>
          <w:rFonts w:ascii="Arial" w:hAnsi="Arial" w:cs="Arial"/>
          <w:strike/>
          <w:szCs w:val="22"/>
        </w:rPr>
        <w:t xml:space="preserve">2.    U spalovacího stacionárního zdroje spalujícího více druhů paliv, ve kterém se používají zbytky z destilace a zpracování ropy samostatně nebo s jinými druhy paliv pro vlastní spotřebu, platí bez ohledu na ustanovení </w:t>
      </w:r>
      <w:hyperlink w:history="1">
        <w:r w:rsidR="00A77B3E" w:rsidRPr="0030358C">
          <w:rPr>
            <w:rFonts w:ascii="Arial" w:hAnsi="Arial" w:cs="Arial"/>
            <w:strike/>
            <w:szCs w:val="22"/>
          </w:rPr>
          <w:t>bodu 1</w:t>
        </w:r>
      </w:hyperlink>
      <w:r w:rsidRPr="0030358C">
        <w:rPr>
          <w:rFonts w:ascii="Arial" w:hAnsi="Arial" w:cs="Arial"/>
          <w:strike/>
          <w:szCs w:val="22"/>
        </w:rPr>
        <w:t xml:space="preserve"> požadavky na spalování paliva s nejvyšším specifickým emisním limitem, pokud během provozu stacionárního zdroje činí podíl, jímž přispívá toto palivo k souhrnu tepelných příkonů dodaných všemi palivy, alespoň 50 %. Je-li podíl tohoto paliva nižší než 50 %, stanoví se hodnota specifického emisního limitu na základě poměrného podílu tepelného příkonu zabezpečeného jednotlivými palivy na součtu tepelných příkonů všech paliv následujícím postupem:</w:t>
      </w:r>
    </w:p>
    <w:p w14:paraId="7E1DCA2E" w14:textId="77777777" w:rsidR="00A77B3E" w:rsidRPr="0030358C" w:rsidRDefault="00000000">
      <w:pPr>
        <w:pStyle w:val="63"/>
        <w:rPr>
          <w:rFonts w:ascii="Arial" w:hAnsi="Arial" w:cs="Arial"/>
          <w:strike/>
          <w:sz w:val="22"/>
          <w:szCs w:val="22"/>
        </w:rPr>
      </w:pPr>
      <w:r w:rsidRPr="0030358C">
        <w:rPr>
          <w:rFonts w:ascii="Arial" w:hAnsi="Arial" w:cs="Arial"/>
          <w:strike/>
          <w:sz w:val="22"/>
          <w:szCs w:val="22"/>
        </w:rPr>
        <w:t>a)    přiřadí se hodnota specifického emisního limitu odpovídající každému jednotlivému palivu a odpovídající znečišťující látce v závislosti na celkovém jmenovitém tepelném příkonu spalovacích stacionárních zdrojů,</w:t>
      </w:r>
    </w:p>
    <w:p w14:paraId="57E24E1B" w14:textId="77777777" w:rsidR="00A77B3E" w:rsidRPr="0030358C" w:rsidRDefault="00000000">
      <w:pPr>
        <w:pStyle w:val="64"/>
        <w:rPr>
          <w:rFonts w:ascii="Arial" w:hAnsi="Arial" w:cs="Arial"/>
          <w:strike/>
          <w:sz w:val="22"/>
          <w:szCs w:val="22"/>
        </w:rPr>
      </w:pPr>
      <w:r w:rsidRPr="0030358C">
        <w:rPr>
          <w:rFonts w:ascii="Arial" w:hAnsi="Arial" w:cs="Arial"/>
          <w:strike/>
          <w:sz w:val="22"/>
          <w:szCs w:val="22"/>
        </w:rPr>
        <w:t>b)    následně se vypočte hodnota specifického emisního limitu pro palivo s nejvyšší hodnotou specifického emisního limitu a v případě dvou druhů paliv se stejnou hodnotou specifického emisního limitu, palivo s vyšším tepelným příkonem (dále jen „směrodatné palivo“); tato hodnota se získá vynásobením hodnoty specifického emisního limitu příslušného paliva dvěma a od tohoto součinu se odečte hodnota specifického emisního limitu paliva s nejnižší hodnotou specifického emisního limitu,</w:t>
      </w:r>
    </w:p>
    <w:p w14:paraId="1FDB4457" w14:textId="77777777" w:rsidR="00A77B3E" w:rsidRPr="0030358C" w:rsidRDefault="00000000">
      <w:pPr>
        <w:pStyle w:val="64"/>
        <w:rPr>
          <w:rFonts w:ascii="Arial" w:hAnsi="Arial" w:cs="Arial"/>
          <w:strike/>
          <w:sz w:val="22"/>
          <w:szCs w:val="22"/>
        </w:rPr>
      </w:pPr>
      <w:r w:rsidRPr="0030358C">
        <w:rPr>
          <w:rFonts w:ascii="Arial" w:hAnsi="Arial" w:cs="Arial"/>
          <w:strike/>
          <w:sz w:val="22"/>
          <w:szCs w:val="22"/>
        </w:rPr>
        <w:lastRenderedPageBreak/>
        <w:t>c)    následně se určí vážené hodnoty specifických emisních limitů pro jednotlivá paliva, které se získají vynásobením vypočtené hodnoty specifického emisního limitu paliva tepelným příkonem směrodatného paliva, a další jednotlivé hodnoty specifických emisních limitů se vynásobí tepelným příkonem dodaným každým palivem a výsledek násobení se podělí součtem tepelných příkonů dodaných všemi palivy, a</w:t>
      </w:r>
    </w:p>
    <w:p w14:paraId="39D991FA" w14:textId="77777777" w:rsidR="00A77B3E" w:rsidRPr="0030358C" w:rsidRDefault="00000000">
      <w:pPr>
        <w:pStyle w:val="65"/>
        <w:rPr>
          <w:rFonts w:ascii="Arial" w:hAnsi="Arial" w:cs="Arial"/>
          <w:strike/>
          <w:sz w:val="22"/>
          <w:szCs w:val="22"/>
        </w:rPr>
      </w:pPr>
      <w:r w:rsidRPr="0030358C">
        <w:rPr>
          <w:rFonts w:ascii="Arial" w:hAnsi="Arial" w:cs="Arial"/>
          <w:strike/>
          <w:sz w:val="22"/>
          <w:szCs w:val="22"/>
        </w:rPr>
        <w:t>d)    sečtou se vážené hodnoty specifických emisních limitů pro jednotlivá paliva.</w:t>
      </w:r>
    </w:p>
    <w:p w14:paraId="6AC1EB86"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 xml:space="preserve">Ustanovení tohoto bodu nelze použít u stacionárních zdrojů o celkovém jmenovitém tepelném příkonu nižším než 50 MW a dále u stacionárních zdrojů, pro něž byla podána kompletní žádost o povolení provozu 7. ledna 2013 nebo později nebo které byly uvedeny do provozu po 7. lednu 2014 bez ohledu na datum podání žádosti o povolení provozu; u těchto zdrojů se postupuje podle </w:t>
      </w:r>
      <w:hyperlink w:history="1">
        <w:r w:rsidR="00A77B3E" w:rsidRPr="0030358C">
          <w:rPr>
            <w:rFonts w:ascii="Arial" w:hAnsi="Arial" w:cs="Arial"/>
            <w:strike/>
            <w:sz w:val="22"/>
            <w:szCs w:val="22"/>
          </w:rPr>
          <w:t>bodu 1</w:t>
        </w:r>
      </w:hyperlink>
      <w:r w:rsidRPr="0030358C">
        <w:rPr>
          <w:rFonts w:ascii="Arial" w:hAnsi="Arial" w:cs="Arial"/>
          <w:strike/>
          <w:sz w:val="22"/>
          <w:szCs w:val="22"/>
        </w:rPr>
        <w:t>.</w:t>
      </w:r>
    </w:p>
    <w:p w14:paraId="2C756D5D" w14:textId="77777777" w:rsidR="00A77B3E" w:rsidRPr="0030358C" w:rsidRDefault="00000000">
      <w:pPr>
        <w:pStyle w:val="46"/>
        <w:rPr>
          <w:rFonts w:ascii="Arial" w:hAnsi="Arial" w:cs="Arial"/>
          <w:strike/>
          <w:szCs w:val="22"/>
        </w:rPr>
      </w:pPr>
      <w:r w:rsidRPr="0030358C">
        <w:rPr>
          <w:rFonts w:ascii="Arial" w:hAnsi="Arial" w:cs="Arial"/>
          <w:strike/>
          <w:szCs w:val="22"/>
        </w:rPr>
        <w:t xml:space="preserve">3.    Alternativně k </w:t>
      </w:r>
      <w:hyperlink w:history="1">
        <w:r w:rsidR="00A77B3E" w:rsidRPr="0030358C">
          <w:rPr>
            <w:rFonts w:ascii="Arial" w:hAnsi="Arial" w:cs="Arial"/>
            <w:strike/>
            <w:szCs w:val="22"/>
          </w:rPr>
          <w:t>bodu 2</w:t>
        </w:r>
      </w:hyperlink>
      <w:r w:rsidRPr="0030358C">
        <w:rPr>
          <w:rFonts w:ascii="Arial" w:hAnsi="Arial" w:cs="Arial"/>
          <w:strike/>
          <w:szCs w:val="22"/>
        </w:rPr>
        <w:t xml:space="preserve"> lze pro oxid siřičitý použít následující průměrné hodnoty specifických emisních limitů (bez ohledu na použitou kombinaci paliv):</w:t>
      </w:r>
    </w:p>
    <w:p w14:paraId="2FF16207" w14:textId="77777777" w:rsidR="00A77B3E" w:rsidRPr="0030358C" w:rsidRDefault="00000000">
      <w:pPr>
        <w:pStyle w:val="63"/>
        <w:rPr>
          <w:rFonts w:ascii="Arial" w:hAnsi="Arial" w:cs="Arial"/>
          <w:strike/>
          <w:sz w:val="22"/>
          <w:szCs w:val="22"/>
        </w:rPr>
      </w:pPr>
      <w:r w:rsidRPr="0030358C">
        <w:rPr>
          <w:rFonts w:ascii="Arial" w:hAnsi="Arial" w:cs="Arial"/>
          <w:strike/>
          <w:sz w:val="22"/>
          <w:szCs w:val="22"/>
        </w:rPr>
        <w:t>a)    1 000 mg.m</w:t>
      </w:r>
      <w:r w:rsidRPr="0030358C">
        <w:rPr>
          <w:rFonts w:ascii="Arial" w:hAnsi="Arial" w:cs="Arial"/>
          <w:strike/>
          <w:sz w:val="22"/>
          <w:szCs w:val="22"/>
          <w:vertAlign w:val="superscript"/>
        </w:rPr>
        <w:t>-3</w:t>
      </w:r>
      <w:r w:rsidRPr="0030358C">
        <w:rPr>
          <w:rFonts w:ascii="Arial" w:hAnsi="Arial" w:cs="Arial"/>
          <w:strike/>
          <w:sz w:val="22"/>
          <w:szCs w:val="22"/>
        </w:rPr>
        <w:t xml:space="preserve"> pro spalovací stacionární zdroje v rámci rafinerie využívající zbytky z destilace a zpracování ropy samostatně nebo s jinými druhy paliv pro vlastní spotřebu, kterým bylo uděleno první povolení před 27. listopadem 2002 nebo jejichž provozovatel před tímto datem podal úplnou žádost o povolení a které byly uvedeny do provozu nejpozději 27. listopadu 2003 nebo</w:t>
      </w:r>
    </w:p>
    <w:p w14:paraId="5A4A66D5" w14:textId="77777777" w:rsidR="00A77B3E" w:rsidRPr="0030358C" w:rsidRDefault="00000000">
      <w:pPr>
        <w:pStyle w:val="65"/>
        <w:rPr>
          <w:rFonts w:ascii="Arial" w:hAnsi="Arial" w:cs="Arial"/>
          <w:strike/>
          <w:sz w:val="22"/>
          <w:szCs w:val="22"/>
        </w:rPr>
      </w:pPr>
      <w:r w:rsidRPr="0030358C">
        <w:rPr>
          <w:rFonts w:ascii="Arial" w:hAnsi="Arial" w:cs="Arial"/>
          <w:strike/>
          <w:sz w:val="22"/>
          <w:szCs w:val="22"/>
        </w:rPr>
        <w:t>b)    600 mg.m</w:t>
      </w:r>
      <w:r w:rsidRPr="0030358C">
        <w:rPr>
          <w:rFonts w:ascii="Arial" w:hAnsi="Arial" w:cs="Arial"/>
          <w:strike/>
          <w:sz w:val="22"/>
          <w:szCs w:val="22"/>
          <w:vertAlign w:val="superscript"/>
        </w:rPr>
        <w:t>-3</w:t>
      </w:r>
      <w:r w:rsidRPr="0030358C">
        <w:rPr>
          <w:rFonts w:ascii="Arial" w:hAnsi="Arial" w:cs="Arial"/>
          <w:strike/>
          <w:sz w:val="22"/>
          <w:szCs w:val="22"/>
        </w:rPr>
        <w:t xml:space="preserve"> pro ostatní spalovací stacionární zdroje v rámci rafinerie využívající zbytky z destilace a zpracování ropy samostatně nebo s jinými druhy paliv pro vlastní spotřebu.</w:t>
      </w:r>
    </w:p>
    <w:p w14:paraId="7357CD5F"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Tyto emisní limity jsou vztaženy na normální stavové podmínky a suchý plyn při referenčním obsahu kyslíku v odpadním plynu 6 % v případě pevných paliv a 3 % v případě kapalných a plynných paliv.</w:t>
      </w:r>
    </w:p>
    <w:p w14:paraId="0A6EA71B"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Ustanovení tohoto bodu nelze použít u plynových turbín a plynových motorů a dále u stacionárních zdrojů, pro něž byla podána kompletní žádost o povolení provozu 7. ledna 2013 nebo později nebo které byly uvedeny do provozu po 7. lednu 2014 bez ohledu na datum podání žádosti o povolení provozu.</w:t>
      </w:r>
    </w:p>
    <w:p w14:paraId="520D785F" w14:textId="77777777" w:rsidR="00A77B3E" w:rsidRPr="0030358C" w:rsidRDefault="00000000">
      <w:pPr>
        <w:pStyle w:val="56"/>
        <w:rPr>
          <w:rFonts w:ascii="Arial" w:hAnsi="Arial" w:cs="Arial"/>
          <w:strike/>
          <w:sz w:val="22"/>
          <w:szCs w:val="22"/>
        </w:rPr>
      </w:pPr>
      <w:r w:rsidRPr="0030358C">
        <w:rPr>
          <w:rFonts w:ascii="Arial" w:hAnsi="Arial" w:cs="Arial"/>
          <w:strike/>
          <w:sz w:val="22"/>
          <w:szCs w:val="22"/>
        </w:rPr>
        <w:t>Po 1. 1. 2025 nelze ustanovení tohoto bodu použít u stacionárních zdrojů o celkovém jmenovitém tepelném příkonu nižším než 5 MW a po 1. 1. 2030 u stacionárních zdrojů o celkovém jmenovitém tepelném příkonu od 5 MW do 50 MW.</w:t>
      </w:r>
    </w:p>
    <w:p w14:paraId="69CFABE0" w14:textId="77777777" w:rsidR="00A77B3E" w:rsidRPr="0030358C" w:rsidRDefault="00000000">
      <w:pPr>
        <w:pStyle w:val="44"/>
        <w:rPr>
          <w:rFonts w:ascii="Arial" w:hAnsi="Arial" w:cs="Arial"/>
          <w:strike/>
          <w:sz w:val="22"/>
          <w:szCs w:val="22"/>
        </w:rPr>
      </w:pPr>
      <w:r w:rsidRPr="0030358C">
        <w:rPr>
          <w:rFonts w:ascii="Arial" w:hAnsi="Arial" w:cs="Arial"/>
          <w:strike/>
          <w:sz w:val="22"/>
          <w:szCs w:val="22"/>
        </w:rPr>
        <w:t>Část IV</w:t>
      </w:r>
    </w:p>
    <w:p w14:paraId="5F01A8A2" w14:textId="77777777" w:rsidR="00A77B3E" w:rsidRPr="0030358C" w:rsidRDefault="00000000">
      <w:pPr>
        <w:pStyle w:val="8"/>
        <w:rPr>
          <w:rFonts w:ascii="Arial" w:hAnsi="Arial" w:cs="Arial"/>
          <w:strike/>
          <w:sz w:val="22"/>
          <w:szCs w:val="22"/>
        </w:rPr>
      </w:pPr>
      <w:r w:rsidRPr="0030358C">
        <w:rPr>
          <w:rFonts w:ascii="Arial" w:hAnsi="Arial" w:cs="Arial"/>
          <w:strike/>
          <w:sz w:val="22"/>
          <w:szCs w:val="22"/>
        </w:rPr>
        <w:t>Minimální stupně odsíření pro spalovací stacionární zdroje o celkovém jmenovitém tepelném příkonu 50 MW a vyšším</w:t>
      </w:r>
    </w:p>
    <w:p w14:paraId="5DAF3D25"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1 - Minimální stupně odsíření pro spalovací stacionární zdroje,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811"/>
        <w:gridCol w:w="2380"/>
      </w:tblGrid>
      <w:tr w:rsidR="00E40657" w14:paraId="5CA7D669"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6C99CA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lastRenderedPageBreak/>
              <w:t>Celkový jmenovitý tepelný příkon</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F8C1900"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Stupeň odsíření [%]</w:t>
            </w:r>
          </w:p>
        </w:tc>
      </w:tr>
      <w:tr w:rsidR="00E40657" w14:paraId="1413BBB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DD969F0"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50-100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8C1F654"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80</w:t>
            </w:r>
          </w:p>
        </w:tc>
      </w:tr>
      <w:tr w:rsidR="00E40657" w14:paraId="578E58E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4148AE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100-300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322C28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90</w:t>
            </w:r>
          </w:p>
        </w:tc>
      </w:tr>
      <w:tr w:rsidR="00E40657" w14:paraId="3B8438AC"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AF4E91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300 MW</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09FBF8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96</w:t>
            </w:r>
          </w:p>
        </w:tc>
      </w:tr>
    </w:tbl>
    <w:p w14:paraId="5A7EFE04" w14:textId="77777777" w:rsidR="00A77B3E" w:rsidRPr="0030358C" w:rsidRDefault="00A77B3E">
      <w:pPr>
        <w:pStyle w:val="16"/>
        <w:rPr>
          <w:rFonts w:ascii="Arial" w:hAnsi="Arial" w:cs="Arial"/>
          <w:strike/>
          <w:sz w:val="22"/>
          <w:szCs w:val="22"/>
        </w:rPr>
      </w:pPr>
    </w:p>
    <w:p w14:paraId="54E3CFFF"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2 - Minimální stupně odsíření pro spalovací stacionární zdroje, kterým bylo vydáno první povolení provozu, nebo obdobné povolení podle dřívějších právních předpisů, mezi 27. listopadu 2002 a 7. lednem 2013 nebo byly uvedeny do provozu mezi 27. listopadem 2003 a 7. lednem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811"/>
        <w:gridCol w:w="2380"/>
      </w:tblGrid>
      <w:tr w:rsidR="00E40657" w14:paraId="0B865F82"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2AF3CB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Celkový jmenovitý tepelný příkon</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7B9BCA1"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Stupeň odsíření [%]</w:t>
            </w:r>
          </w:p>
        </w:tc>
      </w:tr>
      <w:tr w:rsidR="00E40657" w14:paraId="32237F5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D0AAAB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50-100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D44C41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92</w:t>
            </w:r>
          </w:p>
        </w:tc>
      </w:tr>
      <w:tr w:rsidR="00E40657" w14:paraId="69F45A5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6DA314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100-300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BA0915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92</w:t>
            </w:r>
          </w:p>
        </w:tc>
      </w:tr>
      <w:tr w:rsidR="00E40657" w14:paraId="1188EB6F"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E3AD47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300 MW</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11F57B5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96</w:t>
            </w:r>
          </w:p>
        </w:tc>
      </w:tr>
    </w:tbl>
    <w:p w14:paraId="4CBCB15A" w14:textId="77777777" w:rsidR="00A77B3E" w:rsidRPr="0030358C" w:rsidRDefault="00A77B3E">
      <w:pPr>
        <w:pStyle w:val="16"/>
        <w:rPr>
          <w:rFonts w:ascii="Arial" w:hAnsi="Arial" w:cs="Arial"/>
          <w:strike/>
          <w:sz w:val="22"/>
          <w:szCs w:val="22"/>
        </w:rPr>
      </w:pPr>
    </w:p>
    <w:p w14:paraId="7DECB417"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3 - Minimální stupně odsíření pro spalovací stacionární zdroje, kterým bylo vydáno první povolení provozu, nebo obdobné povolení podle dřívějších právních předpisů, 7. ledna 2013 nebo později nebo byly uvedeny do provozu po 7. lednu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811"/>
        <w:gridCol w:w="2380"/>
      </w:tblGrid>
      <w:tr w:rsidR="00E40657" w14:paraId="3A5E9209"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CC5D3DB"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Celkový jmenovitý tepelný příkon</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C5D825A"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Stupeň odsíření [%]</w:t>
            </w:r>
          </w:p>
        </w:tc>
      </w:tr>
      <w:tr w:rsidR="00E40657" w14:paraId="29D25A5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91526D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50-100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B80734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93</w:t>
            </w:r>
          </w:p>
        </w:tc>
      </w:tr>
      <w:tr w:rsidR="00E40657" w14:paraId="154A78B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5E040E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100-300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72799F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93</w:t>
            </w:r>
          </w:p>
        </w:tc>
      </w:tr>
      <w:tr w:rsidR="00E40657" w14:paraId="3EEB3914"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505D21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300 MW</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B5A368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97</w:t>
            </w:r>
          </w:p>
        </w:tc>
      </w:tr>
    </w:tbl>
    <w:p w14:paraId="60F99226" w14:textId="77777777" w:rsidR="00A77B3E" w:rsidRPr="0030358C" w:rsidRDefault="00A77B3E">
      <w:pPr>
        <w:pStyle w:val="16"/>
        <w:rPr>
          <w:rFonts w:ascii="Arial" w:hAnsi="Arial" w:cs="Arial"/>
          <w:strike/>
          <w:sz w:val="22"/>
          <w:szCs w:val="22"/>
        </w:rPr>
      </w:pPr>
    </w:p>
    <w:p w14:paraId="6168AC7F"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lastRenderedPageBreak/>
        <w:t>Tabulka 4 - Minimální stupně odsíření platné do 31. prosince 2015 pro spalovací stacionární zdroje,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811"/>
        <w:gridCol w:w="2380"/>
      </w:tblGrid>
      <w:tr w:rsidR="00E40657" w14:paraId="730B9DAA"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7AE652C"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Celkový jmenovitý tepelný příkon</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86C0514"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Stupeň odsíření [%]</w:t>
            </w:r>
          </w:p>
        </w:tc>
      </w:tr>
      <w:tr w:rsidR="00E40657" w14:paraId="0711A47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FAC74F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50-100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60F613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60</w:t>
            </w:r>
          </w:p>
        </w:tc>
      </w:tr>
      <w:tr w:rsidR="00E40657" w14:paraId="76BEFB3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ADF647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100-300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71EE18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75</w:t>
            </w:r>
          </w:p>
        </w:tc>
      </w:tr>
      <w:tr w:rsidR="00E40657" w14:paraId="5BFC1EB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7B9557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300-500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C1064E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90</w:t>
            </w:r>
          </w:p>
        </w:tc>
      </w:tr>
      <w:tr w:rsidR="00E40657" w14:paraId="252C96DB"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232B3F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500 MW</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1E2FA72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94</w:t>
            </w:r>
          </w:p>
        </w:tc>
      </w:tr>
    </w:tbl>
    <w:p w14:paraId="3AA4038F" w14:textId="77777777" w:rsidR="00A77B3E" w:rsidRPr="0030358C" w:rsidRDefault="00A77B3E">
      <w:pPr>
        <w:pStyle w:val="16"/>
        <w:rPr>
          <w:rFonts w:ascii="Arial" w:hAnsi="Arial" w:cs="Arial"/>
          <w:strike/>
          <w:sz w:val="22"/>
          <w:szCs w:val="22"/>
        </w:rPr>
      </w:pPr>
    </w:p>
    <w:p w14:paraId="41296109"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Tabulka 5 - Minimální stupně odsíření platné do 31. prosince 2015 pro spalovací stacionární zdroje, kterým bylo vydáno první povolení provozu, nebo obdobné povolení podle dřívějších právních předpisů, mezi 27. listopadu 2002 a 7. lednem 2013 nebo byly uvedeny do provozu mezi 27. listopadem 2003 a 7. lednem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811"/>
        <w:gridCol w:w="2380"/>
      </w:tblGrid>
      <w:tr w:rsidR="00E40657" w14:paraId="69794BB3"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B7C792C"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Celkový jmenovitý tepelný příkon</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1418433"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Stupeň odsíření [%]</w:t>
            </w:r>
          </w:p>
        </w:tc>
      </w:tr>
      <w:tr w:rsidR="00E40657" w14:paraId="4C8E3EE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D5A148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50-300 MW</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3D34F1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92</w:t>
            </w:r>
          </w:p>
        </w:tc>
      </w:tr>
      <w:tr w:rsidR="00E40657" w14:paraId="65EA93ED"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80F44E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 300 MW</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4CD36C32"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95</w:t>
            </w:r>
            <w:r w:rsidRPr="0030358C">
              <w:rPr>
                <w:rFonts w:ascii="Arial" w:hAnsi="Arial" w:cs="Arial"/>
                <w:strike/>
                <w:sz w:val="22"/>
                <w:szCs w:val="22"/>
                <w:vertAlign w:val="superscript"/>
              </w:rPr>
              <w:t>1)</w:t>
            </w:r>
          </w:p>
        </w:tc>
      </w:tr>
    </w:tbl>
    <w:p w14:paraId="7339DC29" w14:textId="77777777" w:rsidR="00A77B3E" w:rsidRPr="0030358C" w:rsidRDefault="00A77B3E">
      <w:pPr>
        <w:pStyle w:val="16"/>
        <w:rPr>
          <w:rFonts w:ascii="Arial" w:hAnsi="Arial" w:cs="Arial"/>
          <w:strike/>
          <w:sz w:val="22"/>
          <w:szCs w:val="22"/>
        </w:rPr>
      </w:pPr>
    </w:p>
    <w:p w14:paraId="0DC014C6" w14:textId="77777777" w:rsidR="00A77B3E" w:rsidRPr="0030358C" w:rsidRDefault="00000000">
      <w:pPr>
        <w:pStyle w:val="48"/>
        <w:rPr>
          <w:rFonts w:ascii="Arial" w:hAnsi="Arial" w:cs="Arial"/>
          <w:strike/>
          <w:sz w:val="22"/>
          <w:szCs w:val="22"/>
        </w:rPr>
      </w:pPr>
      <w:r w:rsidRPr="0030358C">
        <w:rPr>
          <w:rFonts w:ascii="Arial" w:hAnsi="Arial" w:cs="Arial"/>
          <w:strike/>
          <w:sz w:val="22"/>
          <w:szCs w:val="22"/>
        </w:rPr>
        <w:t>Vysvětlivka:</w:t>
      </w:r>
    </w:p>
    <w:p w14:paraId="1CE9976B" w14:textId="77777777" w:rsidR="00A77B3E" w:rsidRPr="0030358C" w:rsidRDefault="00000000">
      <w:pPr>
        <w:pStyle w:val="53"/>
        <w:rPr>
          <w:rFonts w:ascii="Arial" w:hAnsi="Arial" w:cs="Arial"/>
          <w:strike/>
          <w:sz w:val="22"/>
          <w:szCs w:val="22"/>
        </w:rPr>
      </w:pPr>
      <w:r w:rsidRPr="0030358C">
        <w:rPr>
          <w:rFonts w:ascii="Arial" w:hAnsi="Arial" w:cs="Arial"/>
          <w:strike/>
          <w:sz w:val="22"/>
          <w:szCs w:val="22"/>
        </w:rPr>
        <w:t>1)    Současně platí specifický emisní limit 400 mg.m</w:t>
      </w:r>
      <w:r w:rsidRPr="0030358C">
        <w:rPr>
          <w:rFonts w:ascii="Arial" w:hAnsi="Arial" w:cs="Arial"/>
          <w:strike/>
          <w:sz w:val="22"/>
          <w:szCs w:val="22"/>
          <w:vertAlign w:val="superscript"/>
        </w:rPr>
        <w:t>-3</w:t>
      </w:r>
      <w:r w:rsidRPr="0030358C">
        <w:rPr>
          <w:rFonts w:ascii="Arial" w:hAnsi="Arial" w:cs="Arial"/>
          <w:strike/>
          <w:sz w:val="22"/>
          <w:szCs w:val="22"/>
        </w:rPr>
        <w:t xml:space="preserve"> vztaženo na referenční obsah kyslíku 6 %, normální stavové podmínky a suchý plyn.</w:t>
      </w:r>
    </w:p>
    <w:p w14:paraId="4862B325" w14:textId="77777777" w:rsidR="006945AD" w:rsidRPr="0030358C" w:rsidRDefault="006945AD">
      <w:pPr>
        <w:pStyle w:val="53"/>
        <w:rPr>
          <w:rFonts w:ascii="Arial" w:hAnsi="Arial" w:cs="Arial"/>
          <w:strike/>
          <w:sz w:val="22"/>
          <w:szCs w:val="22"/>
        </w:rPr>
      </w:pPr>
    </w:p>
    <w:p w14:paraId="0D7F7307" w14:textId="77777777" w:rsidR="006945AD" w:rsidRPr="0030358C" w:rsidRDefault="00000000">
      <w:pPr>
        <w:rPr>
          <w:rFonts w:ascii="Arial" w:hAnsi="Arial" w:cs="Arial"/>
          <w:sz w:val="22"/>
          <w:szCs w:val="22"/>
        </w:rPr>
      </w:pPr>
      <w:r w:rsidRPr="0030358C">
        <w:rPr>
          <w:rFonts w:ascii="Arial" w:hAnsi="Arial" w:cs="Arial"/>
          <w:sz w:val="22"/>
          <w:szCs w:val="22"/>
        </w:rPr>
        <w:br w:type="page"/>
      </w:r>
    </w:p>
    <w:p w14:paraId="6D6C8C30" w14:textId="77777777" w:rsidR="006945AD" w:rsidRPr="0030358C" w:rsidRDefault="00000000" w:rsidP="006945AD">
      <w:pPr>
        <w:pageBreakBefore/>
        <w:widowControl w:val="0"/>
        <w:jc w:val="right"/>
        <w:outlineLvl w:val="0"/>
        <w:rPr>
          <w:rFonts w:ascii="Arial" w:hAnsi="Arial" w:cs="Arial"/>
          <w:b/>
          <w:bCs/>
          <w:sz w:val="22"/>
          <w:szCs w:val="22"/>
        </w:rPr>
      </w:pPr>
      <w:bookmarkStart w:id="42" w:name="_Hlk184890507"/>
      <w:bookmarkStart w:id="43" w:name="_Hlk181278574"/>
      <w:bookmarkStart w:id="44" w:name="_Hlk184891575"/>
      <w:r w:rsidRPr="0030358C">
        <w:rPr>
          <w:rFonts w:ascii="Arial" w:hAnsi="Arial" w:cs="Arial"/>
          <w:b/>
          <w:bCs/>
          <w:sz w:val="22"/>
          <w:szCs w:val="22"/>
        </w:rPr>
        <w:lastRenderedPageBreak/>
        <w:t>Příloha č. 2 k vyhlášce č. 415/2012 Sb.</w:t>
      </w:r>
    </w:p>
    <w:p w14:paraId="784AF390" w14:textId="77777777" w:rsidR="006945AD" w:rsidRPr="0030358C" w:rsidRDefault="006945AD" w:rsidP="006945AD">
      <w:pPr>
        <w:widowControl w:val="0"/>
        <w:jc w:val="both"/>
        <w:rPr>
          <w:rFonts w:ascii="Arial" w:hAnsi="Arial" w:cs="Arial"/>
          <w:b/>
          <w:bCs/>
          <w:sz w:val="22"/>
          <w:szCs w:val="22"/>
        </w:rPr>
      </w:pPr>
    </w:p>
    <w:p w14:paraId="6E6ECB54" w14:textId="77777777" w:rsidR="006945AD" w:rsidRPr="0030358C" w:rsidRDefault="00000000" w:rsidP="006945AD">
      <w:pPr>
        <w:widowControl w:val="0"/>
        <w:jc w:val="center"/>
        <w:outlineLvl w:val="0"/>
        <w:rPr>
          <w:rFonts w:ascii="Arial" w:hAnsi="Arial" w:cs="Arial"/>
          <w:b/>
          <w:bCs/>
          <w:sz w:val="22"/>
          <w:szCs w:val="22"/>
        </w:rPr>
      </w:pPr>
      <w:r w:rsidRPr="0030358C">
        <w:rPr>
          <w:rFonts w:ascii="Arial" w:hAnsi="Arial" w:cs="Arial"/>
          <w:b/>
          <w:bCs/>
          <w:sz w:val="22"/>
          <w:szCs w:val="22"/>
        </w:rPr>
        <w:t>Podmínky provozu pro spalovací stacionární zdroje</w:t>
      </w:r>
    </w:p>
    <w:p w14:paraId="2B7B44A3" w14:textId="77777777" w:rsidR="006945AD" w:rsidRPr="0030358C" w:rsidRDefault="006945AD" w:rsidP="006945AD">
      <w:pPr>
        <w:widowControl w:val="0"/>
        <w:rPr>
          <w:rFonts w:ascii="Arial" w:hAnsi="Arial" w:cs="Arial"/>
          <w:b/>
          <w:bCs/>
          <w:sz w:val="22"/>
          <w:szCs w:val="22"/>
        </w:rPr>
      </w:pPr>
    </w:p>
    <w:p w14:paraId="3304E314" w14:textId="77777777" w:rsidR="006945AD" w:rsidRPr="0030358C" w:rsidRDefault="00000000" w:rsidP="006945AD">
      <w:pPr>
        <w:widowControl w:val="0"/>
        <w:jc w:val="center"/>
        <w:outlineLvl w:val="0"/>
        <w:rPr>
          <w:rFonts w:ascii="Arial" w:hAnsi="Arial" w:cs="Arial"/>
          <w:b/>
          <w:bCs/>
          <w:sz w:val="22"/>
          <w:szCs w:val="22"/>
        </w:rPr>
      </w:pPr>
      <w:r w:rsidRPr="0030358C">
        <w:rPr>
          <w:rFonts w:ascii="Arial" w:hAnsi="Arial" w:cs="Arial"/>
          <w:b/>
          <w:bCs/>
          <w:sz w:val="22"/>
          <w:szCs w:val="22"/>
        </w:rPr>
        <w:t>Část I</w:t>
      </w:r>
    </w:p>
    <w:p w14:paraId="5D884324" w14:textId="77777777" w:rsidR="006945AD" w:rsidRPr="0030358C" w:rsidRDefault="00000000" w:rsidP="006945AD">
      <w:pPr>
        <w:widowControl w:val="0"/>
        <w:jc w:val="center"/>
        <w:rPr>
          <w:rFonts w:ascii="Arial" w:hAnsi="Arial" w:cs="Arial"/>
          <w:b/>
          <w:bCs/>
          <w:sz w:val="22"/>
          <w:szCs w:val="22"/>
        </w:rPr>
      </w:pPr>
      <w:r w:rsidRPr="0030358C">
        <w:rPr>
          <w:rFonts w:ascii="Arial" w:hAnsi="Arial" w:cs="Arial"/>
          <w:b/>
          <w:bCs/>
          <w:sz w:val="22"/>
          <w:szCs w:val="22"/>
        </w:rPr>
        <w:t>Specifické emisní limity pro spalovací stacionární zdroje o celkovém jmenovitém tepelném příkonu 50 MW a vyšším</w:t>
      </w:r>
    </w:p>
    <w:p w14:paraId="4F84A3DA" w14:textId="77777777" w:rsidR="006945AD" w:rsidRPr="0030358C" w:rsidRDefault="006945AD" w:rsidP="006945AD">
      <w:pPr>
        <w:widowControl w:val="0"/>
        <w:jc w:val="center"/>
        <w:rPr>
          <w:rFonts w:ascii="Arial" w:hAnsi="Arial" w:cs="Arial"/>
          <w:b/>
          <w:bCs/>
          <w:sz w:val="22"/>
          <w:szCs w:val="22"/>
        </w:rPr>
      </w:pPr>
    </w:p>
    <w:p w14:paraId="2E8ED1FD" w14:textId="77777777" w:rsidR="006945AD" w:rsidRPr="0030358C" w:rsidRDefault="00000000" w:rsidP="006945AD">
      <w:pPr>
        <w:widowControl w:val="0"/>
        <w:ind w:firstLine="708"/>
        <w:jc w:val="both"/>
        <w:rPr>
          <w:rFonts w:ascii="Arial" w:hAnsi="Arial" w:cs="Arial"/>
          <w:b/>
          <w:bCs/>
          <w:sz w:val="22"/>
          <w:szCs w:val="22"/>
        </w:rPr>
      </w:pPr>
      <w:r w:rsidRPr="0030358C">
        <w:rPr>
          <w:rFonts w:ascii="Arial" w:hAnsi="Arial" w:cs="Arial"/>
          <w:b/>
          <w:bCs/>
          <w:sz w:val="22"/>
          <w:szCs w:val="22"/>
        </w:rPr>
        <w:t xml:space="preserve">Specifické emisní limity jsou vztaženy k celkovému jmenovitému tepelnému příkonu a na normální stavové podmínky a suchý plyn při referenčním obsahu kyslíku v odpadním plynu 6 % v případě pevných paliv a 3 % v případě kapalných a plynných paliv. </w:t>
      </w:r>
    </w:p>
    <w:p w14:paraId="381AB10D"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730706E7"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ab/>
        <w:t xml:space="preserve">Specifické emisní limity pro plynové turbíny a pístové spalovací motory jsou vztaženy k celkovému jmenovitému tepelnému příkonu a na normální stavové podmínky a suchý plyn při referenčním obsahu kyslíku v odpadním plynu 15 % a nevztahují se na záložní zdroje energie provozované méně než 300 provozních hodin ročně. Specifické emisní limity pro plynové turbíny se uplatní pouze na provozní stavy, při kterých je překročeno 70 % instalovaného tepelného příkonu. Plynovým motorem se rozumí motor s vnitřním spalováním pracující na principu Ottova cyklu a využívající zážehové zapalování paliva nebo v případě dvoupalivového motoru využívající vznětové zapalování paliva. </w:t>
      </w:r>
    </w:p>
    <w:p w14:paraId="6FA0BB2F"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0439F03D" w14:textId="77777777" w:rsidR="005906DC" w:rsidRPr="0030358C" w:rsidRDefault="00000000" w:rsidP="006945AD">
      <w:pPr>
        <w:widowControl w:val="0"/>
        <w:jc w:val="both"/>
        <w:rPr>
          <w:rFonts w:ascii="Arial" w:hAnsi="Arial" w:cs="Arial"/>
          <w:b/>
          <w:bCs/>
          <w:sz w:val="22"/>
          <w:szCs w:val="22"/>
        </w:rPr>
        <w:sectPr w:rsidR="005906DC" w:rsidRPr="0030358C" w:rsidSect="00D804A3">
          <w:headerReference w:type="default" r:id="rId9"/>
          <w:pgSz w:w="16838" w:h="11906" w:orient="landscape" w:code="9"/>
          <w:pgMar w:top="1418" w:right="1418" w:bottom="1418" w:left="1418" w:header="709" w:footer="709" w:gutter="0"/>
          <w:cols w:space="708"/>
        </w:sectPr>
      </w:pPr>
      <w:r w:rsidRPr="0030358C">
        <w:rPr>
          <w:rFonts w:ascii="Arial" w:hAnsi="Arial" w:cs="Arial"/>
          <w:b/>
          <w:bCs/>
          <w:sz w:val="22"/>
          <w:szCs w:val="22"/>
        </w:rPr>
        <w:tab/>
      </w:r>
    </w:p>
    <w:p w14:paraId="3DC218DF"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lastRenderedPageBreak/>
        <w:t>Tabulka 1 - Specifické emisní limity pro spalovací stacionární zdroje, pro něž byla podána kompletní žádost o první povolení provozu, nebo obdobné povolení podle dřívějších právních předpisů, před 7. lednem 2013 a byly uvedeny do provozu nejpozději 7. ledna 2014</w:t>
      </w:r>
    </w:p>
    <w:p w14:paraId="5A40EC24" w14:textId="77777777" w:rsidR="005906DC" w:rsidRPr="0030358C" w:rsidRDefault="005906DC" w:rsidP="006945AD">
      <w:pPr>
        <w:widowControl w:val="0"/>
        <w:jc w:val="both"/>
        <w:rPr>
          <w:rFonts w:ascii="Arial" w:hAnsi="Arial" w:cs="Arial"/>
          <w:b/>
          <w:bCs/>
          <w:sz w:val="22"/>
          <w:szCs w:val="22"/>
        </w:rPr>
      </w:pPr>
    </w:p>
    <w:tbl>
      <w:tblPr>
        <w:tblW w:w="14664" w:type="dxa"/>
        <w:tblInd w:w="-5" w:type="dxa"/>
        <w:tblLayout w:type="fixed"/>
        <w:tblLook w:val="0000" w:firstRow="0" w:lastRow="0" w:firstColumn="0" w:lastColumn="0" w:noHBand="0" w:noVBand="0"/>
      </w:tblPr>
      <w:tblGrid>
        <w:gridCol w:w="2536"/>
        <w:gridCol w:w="1042"/>
        <w:gridCol w:w="1043"/>
        <w:gridCol w:w="1043"/>
        <w:gridCol w:w="1042"/>
        <w:gridCol w:w="1043"/>
        <w:gridCol w:w="1043"/>
        <w:gridCol w:w="1042"/>
        <w:gridCol w:w="1043"/>
        <w:gridCol w:w="1043"/>
        <w:gridCol w:w="1042"/>
        <w:gridCol w:w="767"/>
        <w:gridCol w:w="935"/>
      </w:tblGrid>
      <w:tr w:rsidR="00E40657" w14:paraId="1F309EA5" w14:textId="77777777" w:rsidTr="00A115F0">
        <w:tc>
          <w:tcPr>
            <w:tcW w:w="2536" w:type="dxa"/>
            <w:vMerge w:val="restart"/>
            <w:tcBorders>
              <w:top w:val="single" w:sz="4" w:space="0" w:color="000000"/>
              <w:left w:val="single" w:sz="4" w:space="0" w:color="000000"/>
              <w:bottom w:val="single" w:sz="6" w:space="0" w:color="000000"/>
            </w:tcBorders>
          </w:tcPr>
          <w:p w14:paraId="07B005B6"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Druh paliva</w:t>
            </w:r>
          </w:p>
        </w:tc>
        <w:tc>
          <w:tcPr>
            <w:tcW w:w="12128" w:type="dxa"/>
            <w:gridSpan w:val="12"/>
            <w:tcBorders>
              <w:top w:val="single" w:sz="4" w:space="0" w:color="000000"/>
              <w:left w:val="single" w:sz="6" w:space="0" w:color="000000"/>
              <w:bottom w:val="single" w:sz="6" w:space="0" w:color="000000"/>
              <w:right w:val="single" w:sz="4" w:space="0" w:color="000000"/>
            </w:tcBorders>
            <w:vAlign w:val="center"/>
          </w:tcPr>
          <w:p w14:paraId="06D7C86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1B1F8C9D" w14:textId="77777777" w:rsidTr="00A115F0">
        <w:tc>
          <w:tcPr>
            <w:tcW w:w="2536" w:type="dxa"/>
            <w:vMerge/>
            <w:tcBorders>
              <w:top w:val="single" w:sz="6" w:space="0" w:color="000000"/>
              <w:left w:val="single" w:sz="4" w:space="0" w:color="000000"/>
              <w:bottom w:val="single" w:sz="6" w:space="0" w:color="000000"/>
            </w:tcBorders>
          </w:tcPr>
          <w:p w14:paraId="2742D764" w14:textId="77777777" w:rsidR="006945AD" w:rsidRPr="0030358C" w:rsidRDefault="006945AD" w:rsidP="006945AD">
            <w:pPr>
              <w:keepNext/>
              <w:widowControl w:val="0"/>
              <w:numPr>
                <w:ilvl w:val="0"/>
                <w:numId w:val="15"/>
              </w:numPr>
              <w:rPr>
                <w:rFonts w:ascii="Arial" w:hAnsi="Arial" w:cs="Arial"/>
                <w:b/>
                <w:bCs/>
                <w:sz w:val="22"/>
                <w:szCs w:val="22"/>
              </w:rPr>
            </w:pPr>
          </w:p>
        </w:tc>
        <w:tc>
          <w:tcPr>
            <w:tcW w:w="4170" w:type="dxa"/>
            <w:gridSpan w:val="4"/>
            <w:tcBorders>
              <w:top w:val="single" w:sz="6" w:space="0" w:color="000000"/>
              <w:left w:val="single" w:sz="6" w:space="0" w:color="000000"/>
              <w:bottom w:val="single" w:sz="6" w:space="0" w:color="000000"/>
            </w:tcBorders>
          </w:tcPr>
          <w:p w14:paraId="4A4DDAB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50-100 MW</w:t>
            </w:r>
          </w:p>
        </w:tc>
        <w:tc>
          <w:tcPr>
            <w:tcW w:w="4171" w:type="dxa"/>
            <w:gridSpan w:val="4"/>
            <w:tcBorders>
              <w:top w:val="single" w:sz="6" w:space="0" w:color="000000"/>
              <w:left w:val="single" w:sz="6" w:space="0" w:color="000000"/>
              <w:bottom w:val="single" w:sz="6" w:space="0" w:color="000000"/>
            </w:tcBorders>
          </w:tcPr>
          <w:p w14:paraId="27CB771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&gt; 100-300 MW</w:t>
            </w:r>
          </w:p>
        </w:tc>
        <w:tc>
          <w:tcPr>
            <w:tcW w:w="3787" w:type="dxa"/>
            <w:gridSpan w:val="4"/>
            <w:tcBorders>
              <w:top w:val="single" w:sz="6" w:space="0" w:color="000000"/>
              <w:left w:val="single" w:sz="6" w:space="0" w:color="000000"/>
              <w:bottom w:val="single" w:sz="6" w:space="0" w:color="000000"/>
              <w:right w:val="single" w:sz="4" w:space="0" w:color="000000"/>
            </w:tcBorders>
          </w:tcPr>
          <w:p w14:paraId="43A48F7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&gt; 300 MW</w:t>
            </w:r>
          </w:p>
        </w:tc>
      </w:tr>
      <w:tr w:rsidR="00E40657" w14:paraId="10842DE2" w14:textId="77777777" w:rsidTr="00A115F0">
        <w:tc>
          <w:tcPr>
            <w:tcW w:w="2536" w:type="dxa"/>
            <w:vMerge/>
            <w:tcBorders>
              <w:top w:val="single" w:sz="6" w:space="0" w:color="000000"/>
              <w:left w:val="single" w:sz="4" w:space="0" w:color="000000"/>
              <w:bottom w:val="single" w:sz="6" w:space="0" w:color="000000"/>
            </w:tcBorders>
          </w:tcPr>
          <w:p w14:paraId="24621D1B" w14:textId="77777777" w:rsidR="006945AD" w:rsidRPr="0030358C" w:rsidRDefault="006945AD" w:rsidP="006945AD">
            <w:pPr>
              <w:keepNext/>
              <w:widowControl w:val="0"/>
              <w:numPr>
                <w:ilvl w:val="0"/>
                <w:numId w:val="15"/>
              </w:numPr>
              <w:rPr>
                <w:rFonts w:ascii="Arial" w:hAnsi="Arial" w:cs="Arial"/>
                <w:b/>
                <w:bCs/>
                <w:sz w:val="22"/>
                <w:szCs w:val="22"/>
              </w:rPr>
            </w:pPr>
          </w:p>
        </w:tc>
        <w:tc>
          <w:tcPr>
            <w:tcW w:w="1042" w:type="dxa"/>
            <w:tcBorders>
              <w:top w:val="single" w:sz="6" w:space="0" w:color="000000"/>
              <w:left w:val="single" w:sz="6" w:space="0" w:color="000000"/>
              <w:bottom w:val="single" w:sz="6" w:space="0" w:color="000000"/>
            </w:tcBorders>
            <w:vAlign w:val="center"/>
          </w:tcPr>
          <w:p w14:paraId="630365E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43" w:type="dxa"/>
            <w:tcBorders>
              <w:top w:val="single" w:sz="6" w:space="0" w:color="000000"/>
              <w:left w:val="single" w:sz="6" w:space="0" w:color="000000"/>
              <w:bottom w:val="single" w:sz="6" w:space="0" w:color="000000"/>
            </w:tcBorders>
            <w:vAlign w:val="center"/>
          </w:tcPr>
          <w:p w14:paraId="1468571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43" w:type="dxa"/>
            <w:tcBorders>
              <w:top w:val="single" w:sz="6" w:space="0" w:color="000000"/>
              <w:left w:val="single" w:sz="6" w:space="0" w:color="000000"/>
              <w:bottom w:val="single" w:sz="6" w:space="0" w:color="000000"/>
            </w:tcBorders>
            <w:vAlign w:val="center"/>
          </w:tcPr>
          <w:p w14:paraId="01E2960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TZL</w:t>
            </w:r>
          </w:p>
        </w:tc>
        <w:tc>
          <w:tcPr>
            <w:tcW w:w="1042" w:type="dxa"/>
            <w:tcBorders>
              <w:top w:val="single" w:sz="6" w:space="0" w:color="000000"/>
              <w:left w:val="single" w:sz="6" w:space="0" w:color="000000"/>
              <w:bottom w:val="single" w:sz="6" w:space="0" w:color="000000"/>
            </w:tcBorders>
          </w:tcPr>
          <w:p w14:paraId="6CA16D1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CO</w:t>
            </w:r>
          </w:p>
        </w:tc>
        <w:tc>
          <w:tcPr>
            <w:tcW w:w="1043" w:type="dxa"/>
            <w:tcBorders>
              <w:top w:val="single" w:sz="6" w:space="0" w:color="000000"/>
              <w:left w:val="single" w:sz="6" w:space="0" w:color="000000"/>
              <w:bottom w:val="single" w:sz="6" w:space="0" w:color="000000"/>
            </w:tcBorders>
            <w:vAlign w:val="center"/>
          </w:tcPr>
          <w:p w14:paraId="07E4000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43" w:type="dxa"/>
            <w:tcBorders>
              <w:top w:val="single" w:sz="6" w:space="0" w:color="000000"/>
              <w:left w:val="single" w:sz="6" w:space="0" w:color="000000"/>
              <w:bottom w:val="single" w:sz="6" w:space="0" w:color="000000"/>
            </w:tcBorders>
            <w:vAlign w:val="center"/>
          </w:tcPr>
          <w:p w14:paraId="50E2CFB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42" w:type="dxa"/>
            <w:tcBorders>
              <w:top w:val="single" w:sz="6" w:space="0" w:color="000000"/>
              <w:left w:val="single" w:sz="6" w:space="0" w:color="000000"/>
              <w:bottom w:val="single" w:sz="6" w:space="0" w:color="000000"/>
            </w:tcBorders>
            <w:vAlign w:val="center"/>
          </w:tcPr>
          <w:p w14:paraId="28473C8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TZL</w:t>
            </w:r>
          </w:p>
        </w:tc>
        <w:tc>
          <w:tcPr>
            <w:tcW w:w="1043" w:type="dxa"/>
            <w:tcBorders>
              <w:top w:val="single" w:sz="6" w:space="0" w:color="000000"/>
              <w:left w:val="single" w:sz="6" w:space="0" w:color="000000"/>
              <w:bottom w:val="single" w:sz="6" w:space="0" w:color="000000"/>
            </w:tcBorders>
          </w:tcPr>
          <w:p w14:paraId="4FEAD95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CO</w:t>
            </w:r>
          </w:p>
        </w:tc>
        <w:tc>
          <w:tcPr>
            <w:tcW w:w="1043" w:type="dxa"/>
            <w:tcBorders>
              <w:top w:val="single" w:sz="6" w:space="0" w:color="000000"/>
              <w:left w:val="single" w:sz="6" w:space="0" w:color="000000"/>
              <w:bottom w:val="single" w:sz="6" w:space="0" w:color="000000"/>
            </w:tcBorders>
            <w:vAlign w:val="center"/>
          </w:tcPr>
          <w:p w14:paraId="7FA0E2E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42" w:type="dxa"/>
            <w:tcBorders>
              <w:top w:val="single" w:sz="6" w:space="0" w:color="000000"/>
              <w:left w:val="single" w:sz="6" w:space="0" w:color="000000"/>
              <w:bottom w:val="single" w:sz="6" w:space="0" w:color="000000"/>
            </w:tcBorders>
            <w:vAlign w:val="center"/>
          </w:tcPr>
          <w:p w14:paraId="5A2E95C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767" w:type="dxa"/>
            <w:tcBorders>
              <w:top w:val="single" w:sz="6" w:space="0" w:color="000000"/>
              <w:left w:val="single" w:sz="6" w:space="0" w:color="000000"/>
              <w:bottom w:val="single" w:sz="6" w:space="0" w:color="000000"/>
            </w:tcBorders>
            <w:vAlign w:val="center"/>
          </w:tcPr>
          <w:p w14:paraId="4834107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TZL</w:t>
            </w:r>
          </w:p>
        </w:tc>
        <w:tc>
          <w:tcPr>
            <w:tcW w:w="935" w:type="dxa"/>
            <w:tcBorders>
              <w:top w:val="single" w:sz="6" w:space="0" w:color="000000"/>
              <w:left w:val="single" w:sz="6" w:space="0" w:color="000000"/>
              <w:bottom w:val="single" w:sz="6" w:space="0" w:color="000000"/>
              <w:right w:val="single" w:sz="4" w:space="0" w:color="000000"/>
            </w:tcBorders>
          </w:tcPr>
          <w:p w14:paraId="106868A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CO</w:t>
            </w:r>
          </w:p>
        </w:tc>
      </w:tr>
      <w:tr w:rsidR="00E40657" w14:paraId="41CC7570" w14:textId="77777777" w:rsidTr="00A115F0">
        <w:tc>
          <w:tcPr>
            <w:tcW w:w="2536" w:type="dxa"/>
            <w:tcBorders>
              <w:top w:val="single" w:sz="6" w:space="0" w:color="000000"/>
              <w:left w:val="single" w:sz="4" w:space="0" w:color="000000"/>
              <w:bottom w:val="single" w:sz="6" w:space="0" w:color="000000"/>
            </w:tcBorders>
          </w:tcPr>
          <w:p w14:paraId="39E0EEB3"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Pevné palivo obecně</w:t>
            </w:r>
          </w:p>
        </w:tc>
        <w:tc>
          <w:tcPr>
            <w:tcW w:w="1042" w:type="dxa"/>
            <w:tcBorders>
              <w:top w:val="single" w:sz="6" w:space="0" w:color="000000"/>
              <w:left w:val="single" w:sz="6" w:space="0" w:color="000000"/>
              <w:bottom w:val="single" w:sz="6" w:space="0" w:color="000000"/>
            </w:tcBorders>
          </w:tcPr>
          <w:p w14:paraId="05321A5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6E28BF1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r w:rsidRPr="0030358C">
              <w:rPr>
                <w:rFonts w:ascii="Arial" w:hAnsi="Arial" w:cs="Arial"/>
                <w:b/>
                <w:bCs/>
                <w:sz w:val="22"/>
                <w:szCs w:val="22"/>
                <w:vertAlign w:val="superscript"/>
              </w:rPr>
              <w:t>3), 4)</w:t>
            </w:r>
          </w:p>
        </w:tc>
        <w:tc>
          <w:tcPr>
            <w:tcW w:w="1043" w:type="dxa"/>
            <w:tcBorders>
              <w:top w:val="single" w:sz="6" w:space="0" w:color="000000"/>
              <w:left w:val="single" w:sz="6" w:space="0" w:color="000000"/>
              <w:bottom w:val="single" w:sz="6" w:space="0" w:color="000000"/>
            </w:tcBorders>
          </w:tcPr>
          <w:p w14:paraId="2C36ABA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r w:rsidRPr="0030358C">
              <w:rPr>
                <w:rFonts w:ascii="Arial" w:hAnsi="Arial" w:cs="Arial"/>
                <w:b/>
                <w:bCs/>
                <w:sz w:val="22"/>
                <w:szCs w:val="22"/>
                <w:vertAlign w:val="superscript"/>
              </w:rPr>
              <w:t>7)</w:t>
            </w:r>
          </w:p>
        </w:tc>
        <w:tc>
          <w:tcPr>
            <w:tcW w:w="1042" w:type="dxa"/>
            <w:tcBorders>
              <w:top w:val="single" w:sz="6" w:space="0" w:color="000000"/>
              <w:left w:val="single" w:sz="6" w:space="0" w:color="000000"/>
              <w:bottom w:val="single" w:sz="6" w:space="0" w:color="000000"/>
            </w:tcBorders>
          </w:tcPr>
          <w:p w14:paraId="4863A2E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316D0FB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4001E31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3), 4)</w:t>
            </w:r>
          </w:p>
        </w:tc>
        <w:tc>
          <w:tcPr>
            <w:tcW w:w="1042" w:type="dxa"/>
            <w:tcBorders>
              <w:top w:val="single" w:sz="6" w:space="0" w:color="000000"/>
              <w:left w:val="single" w:sz="6" w:space="0" w:color="000000"/>
              <w:bottom w:val="single" w:sz="6" w:space="0" w:color="000000"/>
            </w:tcBorders>
          </w:tcPr>
          <w:p w14:paraId="23718E8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w:t>
            </w:r>
            <w:r w:rsidRPr="0030358C">
              <w:rPr>
                <w:rFonts w:ascii="Arial" w:hAnsi="Arial" w:cs="Arial"/>
                <w:b/>
                <w:bCs/>
                <w:sz w:val="22"/>
                <w:szCs w:val="22"/>
                <w:vertAlign w:val="superscript"/>
              </w:rPr>
              <w:t>7)</w:t>
            </w:r>
          </w:p>
        </w:tc>
        <w:tc>
          <w:tcPr>
            <w:tcW w:w="1043" w:type="dxa"/>
            <w:tcBorders>
              <w:top w:val="single" w:sz="6" w:space="0" w:color="000000"/>
              <w:left w:val="single" w:sz="6" w:space="0" w:color="000000"/>
              <w:bottom w:val="single" w:sz="6" w:space="0" w:color="000000"/>
            </w:tcBorders>
          </w:tcPr>
          <w:p w14:paraId="567561C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7033EFF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1)</w:t>
            </w:r>
          </w:p>
        </w:tc>
        <w:tc>
          <w:tcPr>
            <w:tcW w:w="1042" w:type="dxa"/>
            <w:tcBorders>
              <w:top w:val="single" w:sz="6" w:space="0" w:color="000000"/>
              <w:left w:val="single" w:sz="6" w:space="0" w:color="000000"/>
              <w:bottom w:val="single" w:sz="6" w:space="0" w:color="000000"/>
            </w:tcBorders>
          </w:tcPr>
          <w:p w14:paraId="138ADD0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3), 4)</w:t>
            </w:r>
          </w:p>
        </w:tc>
        <w:tc>
          <w:tcPr>
            <w:tcW w:w="767" w:type="dxa"/>
            <w:tcBorders>
              <w:top w:val="single" w:sz="6" w:space="0" w:color="000000"/>
              <w:left w:val="single" w:sz="6" w:space="0" w:color="000000"/>
              <w:bottom w:val="single" w:sz="6" w:space="0" w:color="000000"/>
            </w:tcBorders>
          </w:tcPr>
          <w:p w14:paraId="514E5C3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r w:rsidRPr="0030358C">
              <w:rPr>
                <w:rFonts w:ascii="Arial" w:hAnsi="Arial" w:cs="Arial"/>
                <w:b/>
                <w:bCs/>
                <w:sz w:val="22"/>
                <w:szCs w:val="22"/>
                <w:vertAlign w:val="superscript"/>
              </w:rPr>
              <w:t>7)</w:t>
            </w:r>
          </w:p>
        </w:tc>
        <w:tc>
          <w:tcPr>
            <w:tcW w:w="935" w:type="dxa"/>
            <w:tcBorders>
              <w:top w:val="single" w:sz="6" w:space="0" w:color="000000"/>
              <w:left w:val="single" w:sz="6" w:space="0" w:color="000000"/>
              <w:bottom w:val="single" w:sz="6" w:space="0" w:color="000000"/>
              <w:right w:val="single" w:sz="4" w:space="0" w:color="000000"/>
            </w:tcBorders>
          </w:tcPr>
          <w:p w14:paraId="463386F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r>
      <w:tr w:rsidR="00E40657" w14:paraId="613D7A09" w14:textId="77777777" w:rsidTr="00A115F0">
        <w:tc>
          <w:tcPr>
            <w:tcW w:w="2536" w:type="dxa"/>
            <w:tcBorders>
              <w:top w:val="single" w:sz="6" w:space="0" w:color="000000"/>
              <w:left w:val="single" w:sz="4" w:space="0" w:color="000000"/>
              <w:bottom w:val="single" w:sz="6" w:space="0" w:color="000000"/>
            </w:tcBorders>
          </w:tcPr>
          <w:p w14:paraId="5BC211C4"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Biomasa podle § 2 písm. a)</w:t>
            </w:r>
          </w:p>
        </w:tc>
        <w:tc>
          <w:tcPr>
            <w:tcW w:w="1042" w:type="dxa"/>
            <w:tcBorders>
              <w:top w:val="single" w:sz="6" w:space="0" w:color="000000"/>
              <w:left w:val="single" w:sz="6" w:space="0" w:color="000000"/>
              <w:bottom w:val="single" w:sz="6" w:space="0" w:color="000000"/>
            </w:tcBorders>
          </w:tcPr>
          <w:p w14:paraId="3F30825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430614C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r w:rsidRPr="0030358C">
              <w:rPr>
                <w:rFonts w:ascii="Arial" w:hAnsi="Arial" w:cs="Arial"/>
                <w:b/>
                <w:bCs/>
                <w:sz w:val="22"/>
                <w:szCs w:val="22"/>
                <w:vertAlign w:val="superscript"/>
              </w:rPr>
              <w:t>3), 4)</w:t>
            </w:r>
          </w:p>
        </w:tc>
        <w:tc>
          <w:tcPr>
            <w:tcW w:w="1043" w:type="dxa"/>
            <w:tcBorders>
              <w:top w:val="single" w:sz="6" w:space="0" w:color="000000"/>
              <w:left w:val="single" w:sz="6" w:space="0" w:color="000000"/>
              <w:bottom w:val="single" w:sz="6" w:space="0" w:color="000000"/>
            </w:tcBorders>
          </w:tcPr>
          <w:p w14:paraId="5B58252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1042" w:type="dxa"/>
            <w:tcBorders>
              <w:top w:val="single" w:sz="6" w:space="0" w:color="000000"/>
              <w:left w:val="single" w:sz="6" w:space="0" w:color="000000"/>
              <w:bottom w:val="single" w:sz="6" w:space="0" w:color="000000"/>
            </w:tcBorders>
          </w:tcPr>
          <w:p w14:paraId="5F973E7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48440C2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75934BD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r w:rsidRPr="0030358C">
              <w:rPr>
                <w:rFonts w:ascii="Arial" w:hAnsi="Arial" w:cs="Arial"/>
                <w:b/>
                <w:bCs/>
                <w:sz w:val="22"/>
                <w:szCs w:val="22"/>
                <w:vertAlign w:val="superscript"/>
              </w:rPr>
              <w:t>3)</w:t>
            </w:r>
          </w:p>
        </w:tc>
        <w:tc>
          <w:tcPr>
            <w:tcW w:w="1042" w:type="dxa"/>
            <w:tcBorders>
              <w:top w:val="single" w:sz="6" w:space="0" w:color="000000"/>
              <w:left w:val="single" w:sz="6" w:space="0" w:color="000000"/>
              <w:bottom w:val="single" w:sz="6" w:space="0" w:color="000000"/>
            </w:tcBorders>
          </w:tcPr>
          <w:p w14:paraId="2ED0A9B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3" w:type="dxa"/>
            <w:tcBorders>
              <w:top w:val="single" w:sz="6" w:space="0" w:color="000000"/>
              <w:left w:val="single" w:sz="6" w:space="0" w:color="000000"/>
              <w:bottom w:val="single" w:sz="6" w:space="0" w:color="000000"/>
            </w:tcBorders>
          </w:tcPr>
          <w:p w14:paraId="160B465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499568C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1)</w:t>
            </w:r>
          </w:p>
        </w:tc>
        <w:tc>
          <w:tcPr>
            <w:tcW w:w="1042" w:type="dxa"/>
            <w:tcBorders>
              <w:top w:val="single" w:sz="6" w:space="0" w:color="000000"/>
              <w:left w:val="single" w:sz="6" w:space="0" w:color="000000"/>
              <w:bottom w:val="single" w:sz="6" w:space="0" w:color="000000"/>
            </w:tcBorders>
          </w:tcPr>
          <w:p w14:paraId="03E205A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3)</w:t>
            </w:r>
          </w:p>
        </w:tc>
        <w:tc>
          <w:tcPr>
            <w:tcW w:w="767" w:type="dxa"/>
            <w:tcBorders>
              <w:top w:val="single" w:sz="6" w:space="0" w:color="000000"/>
              <w:left w:val="single" w:sz="6" w:space="0" w:color="000000"/>
              <w:bottom w:val="single" w:sz="6" w:space="0" w:color="000000"/>
            </w:tcBorders>
          </w:tcPr>
          <w:p w14:paraId="10FF52E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935" w:type="dxa"/>
            <w:tcBorders>
              <w:top w:val="single" w:sz="6" w:space="0" w:color="000000"/>
              <w:left w:val="single" w:sz="6" w:space="0" w:color="000000"/>
              <w:bottom w:val="single" w:sz="6" w:space="0" w:color="000000"/>
              <w:right w:val="single" w:sz="4" w:space="0" w:color="000000"/>
            </w:tcBorders>
          </w:tcPr>
          <w:p w14:paraId="2E1B1D3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r>
      <w:tr w:rsidR="00E40657" w14:paraId="11DD56AA" w14:textId="77777777" w:rsidTr="00A115F0">
        <w:tc>
          <w:tcPr>
            <w:tcW w:w="2536" w:type="dxa"/>
            <w:tcBorders>
              <w:top w:val="single" w:sz="6" w:space="0" w:color="000000"/>
              <w:left w:val="single" w:sz="4" w:space="0" w:color="000000"/>
              <w:bottom w:val="single" w:sz="6" w:space="0" w:color="000000"/>
            </w:tcBorders>
          </w:tcPr>
          <w:p w14:paraId="0E7F930C"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Rašelina</w:t>
            </w:r>
          </w:p>
        </w:tc>
        <w:tc>
          <w:tcPr>
            <w:tcW w:w="1042" w:type="dxa"/>
            <w:tcBorders>
              <w:top w:val="single" w:sz="6" w:space="0" w:color="000000"/>
              <w:left w:val="single" w:sz="6" w:space="0" w:color="000000"/>
              <w:bottom w:val="single" w:sz="6" w:space="0" w:color="000000"/>
            </w:tcBorders>
          </w:tcPr>
          <w:p w14:paraId="4F38FCC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5846AB8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r w:rsidRPr="0030358C">
              <w:rPr>
                <w:rFonts w:ascii="Arial" w:hAnsi="Arial" w:cs="Arial"/>
                <w:b/>
                <w:bCs/>
                <w:sz w:val="22"/>
                <w:szCs w:val="22"/>
                <w:vertAlign w:val="superscript"/>
              </w:rPr>
              <w:t>3), 4)</w:t>
            </w:r>
          </w:p>
        </w:tc>
        <w:tc>
          <w:tcPr>
            <w:tcW w:w="1043" w:type="dxa"/>
            <w:tcBorders>
              <w:top w:val="single" w:sz="6" w:space="0" w:color="000000"/>
              <w:left w:val="single" w:sz="6" w:space="0" w:color="000000"/>
              <w:bottom w:val="single" w:sz="6" w:space="0" w:color="000000"/>
            </w:tcBorders>
          </w:tcPr>
          <w:p w14:paraId="2A2EFAD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1042" w:type="dxa"/>
            <w:tcBorders>
              <w:top w:val="single" w:sz="6" w:space="0" w:color="000000"/>
              <w:left w:val="single" w:sz="6" w:space="0" w:color="000000"/>
              <w:bottom w:val="single" w:sz="6" w:space="0" w:color="000000"/>
            </w:tcBorders>
          </w:tcPr>
          <w:p w14:paraId="675AB93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1E7F5C8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170D64B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r w:rsidRPr="0030358C">
              <w:rPr>
                <w:rFonts w:ascii="Arial" w:hAnsi="Arial" w:cs="Arial"/>
                <w:b/>
                <w:bCs/>
                <w:sz w:val="22"/>
                <w:szCs w:val="22"/>
                <w:vertAlign w:val="superscript"/>
              </w:rPr>
              <w:t>3)</w:t>
            </w:r>
          </w:p>
        </w:tc>
        <w:tc>
          <w:tcPr>
            <w:tcW w:w="1042" w:type="dxa"/>
            <w:tcBorders>
              <w:top w:val="single" w:sz="6" w:space="0" w:color="000000"/>
              <w:left w:val="single" w:sz="6" w:space="0" w:color="000000"/>
              <w:bottom w:val="single" w:sz="6" w:space="0" w:color="000000"/>
            </w:tcBorders>
          </w:tcPr>
          <w:p w14:paraId="77DD606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3" w:type="dxa"/>
            <w:tcBorders>
              <w:top w:val="single" w:sz="6" w:space="0" w:color="000000"/>
              <w:left w:val="single" w:sz="6" w:space="0" w:color="000000"/>
              <w:bottom w:val="single" w:sz="6" w:space="0" w:color="000000"/>
            </w:tcBorders>
          </w:tcPr>
          <w:p w14:paraId="02C8116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505183D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1)</w:t>
            </w:r>
          </w:p>
        </w:tc>
        <w:tc>
          <w:tcPr>
            <w:tcW w:w="1042" w:type="dxa"/>
            <w:tcBorders>
              <w:top w:val="single" w:sz="6" w:space="0" w:color="000000"/>
              <w:left w:val="single" w:sz="6" w:space="0" w:color="000000"/>
              <w:bottom w:val="single" w:sz="6" w:space="0" w:color="000000"/>
            </w:tcBorders>
          </w:tcPr>
          <w:p w14:paraId="623C025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3)</w:t>
            </w:r>
          </w:p>
        </w:tc>
        <w:tc>
          <w:tcPr>
            <w:tcW w:w="767" w:type="dxa"/>
            <w:tcBorders>
              <w:top w:val="single" w:sz="6" w:space="0" w:color="000000"/>
              <w:left w:val="single" w:sz="6" w:space="0" w:color="000000"/>
              <w:bottom w:val="single" w:sz="6" w:space="0" w:color="000000"/>
            </w:tcBorders>
          </w:tcPr>
          <w:p w14:paraId="33327A4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935" w:type="dxa"/>
            <w:tcBorders>
              <w:top w:val="single" w:sz="6" w:space="0" w:color="000000"/>
              <w:left w:val="single" w:sz="6" w:space="0" w:color="000000"/>
              <w:bottom w:val="single" w:sz="6" w:space="0" w:color="000000"/>
              <w:right w:val="single" w:sz="4" w:space="0" w:color="000000"/>
            </w:tcBorders>
          </w:tcPr>
          <w:p w14:paraId="328ACCB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r>
      <w:tr w:rsidR="00E40657" w14:paraId="2183F7E1" w14:textId="77777777" w:rsidTr="00A115F0">
        <w:tc>
          <w:tcPr>
            <w:tcW w:w="2536" w:type="dxa"/>
            <w:tcBorders>
              <w:top w:val="single" w:sz="6" w:space="0" w:color="000000"/>
              <w:left w:val="single" w:sz="4" w:space="0" w:color="000000"/>
              <w:bottom w:val="single" w:sz="6" w:space="0" w:color="000000"/>
            </w:tcBorders>
          </w:tcPr>
          <w:p w14:paraId="73526FBA"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Kapalné palivo obecně</w:t>
            </w:r>
          </w:p>
        </w:tc>
        <w:tc>
          <w:tcPr>
            <w:tcW w:w="1042" w:type="dxa"/>
            <w:tcBorders>
              <w:top w:val="single" w:sz="6" w:space="0" w:color="000000"/>
              <w:left w:val="single" w:sz="6" w:space="0" w:color="000000"/>
              <w:bottom w:val="single" w:sz="6" w:space="0" w:color="000000"/>
            </w:tcBorders>
          </w:tcPr>
          <w:p w14:paraId="3C9526B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40FADC9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450</w:t>
            </w:r>
            <w:r w:rsidRPr="0030358C">
              <w:rPr>
                <w:rFonts w:ascii="Arial" w:hAnsi="Arial" w:cs="Arial"/>
                <w:b/>
                <w:bCs/>
                <w:sz w:val="22"/>
                <w:szCs w:val="22"/>
                <w:vertAlign w:val="superscript"/>
              </w:rPr>
              <w:t>3), 4), 5)</w:t>
            </w:r>
          </w:p>
        </w:tc>
        <w:tc>
          <w:tcPr>
            <w:tcW w:w="1043" w:type="dxa"/>
            <w:tcBorders>
              <w:top w:val="single" w:sz="6" w:space="0" w:color="000000"/>
              <w:left w:val="single" w:sz="6" w:space="0" w:color="000000"/>
              <w:bottom w:val="single" w:sz="6" w:space="0" w:color="000000"/>
            </w:tcBorders>
          </w:tcPr>
          <w:p w14:paraId="72ECBFA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r w:rsidRPr="0030358C">
              <w:rPr>
                <w:rFonts w:ascii="Arial" w:hAnsi="Arial" w:cs="Arial"/>
                <w:b/>
                <w:bCs/>
                <w:sz w:val="22"/>
                <w:szCs w:val="22"/>
                <w:vertAlign w:val="superscript"/>
              </w:rPr>
              <w:t>7)</w:t>
            </w:r>
          </w:p>
        </w:tc>
        <w:tc>
          <w:tcPr>
            <w:tcW w:w="1042" w:type="dxa"/>
            <w:tcBorders>
              <w:top w:val="single" w:sz="6" w:space="0" w:color="000000"/>
              <w:left w:val="single" w:sz="6" w:space="0" w:color="000000"/>
              <w:bottom w:val="single" w:sz="6" w:space="0" w:color="000000"/>
            </w:tcBorders>
          </w:tcPr>
          <w:p w14:paraId="7F824C9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r w:rsidRPr="0030358C">
              <w:rPr>
                <w:rFonts w:ascii="Arial" w:hAnsi="Arial" w:cs="Arial"/>
                <w:b/>
                <w:bCs/>
                <w:sz w:val="22"/>
                <w:szCs w:val="22"/>
                <w:vertAlign w:val="superscript"/>
              </w:rPr>
              <w:t xml:space="preserve">8) </w:t>
            </w:r>
          </w:p>
        </w:tc>
        <w:tc>
          <w:tcPr>
            <w:tcW w:w="1043" w:type="dxa"/>
            <w:tcBorders>
              <w:top w:val="single" w:sz="6" w:space="0" w:color="000000"/>
              <w:left w:val="single" w:sz="6" w:space="0" w:color="000000"/>
              <w:bottom w:val="single" w:sz="6" w:space="0" w:color="000000"/>
            </w:tcBorders>
          </w:tcPr>
          <w:p w14:paraId="44C19A6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524DD90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3) 4) 5)</w:t>
            </w:r>
          </w:p>
        </w:tc>
        <w:tc>
          <w:tcPr>
            <w:tcW w:w="1042" w:type="dxa"/>
            <w:tcBorders>
              <w:top w:val="single" w:sz="6" w:space="0" w:color="000000"/>
              <w:left w:val="single" w:sz="6" w:space="0" w:color="000000"/>
              <w:bottom w:val="single" w:sz="6" w:space="0" w:color="000000"/>
            </w:tcBorders>
          </w:tcPr>
          <w:p w14:paraId="0F8CD44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w:t>
            </w:r>
            <w:r w:rsidRPr="0030358C">
              <w:rPr>
                <w:rFonts w:ascii="Arial" w:hAnsi="Arial" w:cs="Arial"/>
                <w:b/>
                <w:bCs/>
                <w:sz w:val="22"/>
                <w:szCs w:val="22"/>
                <w:vertAlign w:val="superscript"/>
              </w:rPr>
              <w:t>7)</w:t>
            </w:r>
          </w:p>
        </w:tc>
        <w:tc>
          <w:tcPr>
            <w:tcW w:w="1043" w:type="dxa"/>
            <w:tcBorders>
              <w:top w:val="single" w:sz="6" w:space="0" w:color="000000"/>
              <w:left w:val="single" w:sz="6" w:space="0" w:color="000000"/>
              <w:bottom w:val="single" w:sz="6" w:space="0" w:color="000000"/>
            </w:tcBorders>
          </w:tcPr>
          <w:p w14:paraId="28B8EB6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r w:rsidRPr="0030358C">
              <w:rPr>
                <w:rFonts w:ascii="Arial" w:hAnsi="Arial" w:cs="Arial"/>
                <w:b/>
                <w:bCs/>
                <w:sz w:val="22"/>
                <w:szCs w:val="22"/>
                <w:vertAlign w:val="superscript"/>
              </w:rPr>
              <w:t xml:space="preserve">8) </w:t>
            </w:r>
          </w:p>
        </w:tc>
        <w:tc>
          <w:tcPr>
            <w:tcW w:w="1043" w:type="dxa"/>
            <w:tcBorders>
              <w:top w:val="single" w:sz="6" w:space="0" w:color="000000"/>
              <w:left w:val="single" w:sz="6" w:space="0" w:color="000000"/>
              <w:bottom w:val="single" w:sz="6" w:space="0" w:color="000000"/>
            </w:tcBorders>
          </w:tcPr>
          <w:p w14:paraId="592CBEE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1)</w:t>
            </w:r>
          </w:p>
        </w:tc>
        <w:tc>
          <w:tcPr>
            <w:tcW w:w="1042" w:type="dxa"/>
            <w:tcBorders>
              <w:top w:val="single" w:sz="6" w:space="0" w:color="000000"/>
              <w:left w:val="single" w:sz="6" w:space="0" w:color="000000"/>
              <w:bottom w:val="single" w:sz="6" w:space="0" w:color="000000"/>
            </w:tcBorders>
          </w:tcPr>
          <w:p w14:paraId="24A4FCB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r w:rsidRPr="0030358C">
              <w:rPr>
                <w:rFonts w:ascii="Arial" w:hAnsi="Arial" w:cs="Arial"/>
                <w:b/>
                <w:bCs/>
                <w:sz w:val="22"/>
                <w:szCs w:val="22"/>
                <w:vertAlign w:val="superscript"/>
              </w:rPr>
              <w:t>3), 4), 5)</w:t>
            </w:r>
          </w:p>
        </w:tc>
        <w:tc>
          <w:tcPr>
            <w:tcW w:w="767" w:type="dxa"/>
            <w:tcBorders>
              <w:top w:val="single" w:sz="6" w:space="0" w:color="000000"/>
              <w:left w:val="single" w:sz="6" w:space="0" w:color="000000"/>
              <w:bottom w:val="single" w:sz="6" w:space="0" w:color="000000"/>
            </w:tcBorders>
          </w:tcPr>
          <w:p w14:paraId="687EB21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r w:rsidRPr="0030358C">
              <w:rPr>
                <w:rFonts w:ascii="Arial" w:hAnsi="Arial" w:cs="Arial"/>
                <w:b/>
                <w:bCs/>
                <w:sz w:val="22"/>
                <w:szCs w:val="22"/>
                <w:vertAlign w:val="superscript"/>
              </w:rPr>
              <w:t>7)</w:t>
            </w:r>
          </w:p>
        </w:tc>
        <w:tc>
          <w:tcPr>
            <w:tcW w:w="935" w:type="dxa"/>
            <w:tcBorders>
              <w:top w:val="single" w:sz="6" w:space="0" w:color="000000"/>
              <w:left w:val="single" w:sz="6" w:space="0" w:color="000000"/>
              <w:bottom w:val="single" w:sz="6" w:space="0" w:color="000000"/>
              <w:right w:val="single" w:sz="4" w:space="0" w:color="000000"/>
            </w:tcBorders>
          </w:tcPr>
          <w:p w14:paraId="5F8236F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r w:rsidRPr="0030358C">
              <w:rPr>
                <w:rFonts w:ascii="Arial" w:hAnsi="Arial" w:cs="Arial"/>
                <w:b/>
                <w:bCs/>
                <w:sz w:val="22"/>
                <w:szCs w:val="22"/>
                <w:vertAlign w:val="superscript"/>
              </w:rPr>
              <w:t xml:space="preserve">8) </w:t>
            </w:r>
          </w:p>
        </w:tc>
      </w:tr>
      <w:tr w:rsidR="00E40657" w14:paraId="6A16DD43" w14:textId="77777777" w:rsidTr="00A115F0">
        <w:tc>
          <w:tcPr>
            <w:tcW w:w="2536" w:type="dxa"/>
            <w:tcBorders>
              <w:top w:val="single" w:sz="6" w:space="0" w:color="000000"/>
              <w:left w:val="single" w:sz="4" w:space="0" w:color="000000"/>
              <w:bottom w:val="single" w:sz="6" w:space="0" w:color="000000"/>
            </w:tcBorders>
          </w:tcPr>
          <w:p w14:paraId="5EC92B28"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Zkapalněný plyn</w:t>
            </w:r>
          </w:p>
        </w:tc>
        <w:tc>
          <w:tcPr>
            <w:tcW w:w="1042" w:type="dxa"/>
            <w:tcBorders>
              <w:top w:val="single" w:sz="6" w:space="0" w:color="000000"/>
              <w:left w:val="single" w:sz="6" w:space="0" w:color="000000"/>
              <w:bottom w:val="single" w:sz="6" w:space="0" w:color="000000"/>
            </w:tcBorders>
          </w:tcPr>
          <w:p w14:paraId="6689951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6" w:space="0" w:color="000000"/>
            </w:tcBorders>
          </w:tcPr>
          <w:p w14:paraId="472A75D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3" w:type="dxa"/>
            <w:tcBorders>
              <w:top w:val="single" w:sz="6" w:space="0" w:color="000000"/>
              <w:left w:val="single" w:sz="6" w:space="0" w:color="000000"/>
              <w:bottom w:val="single" w:sz="6" w:space="0" w:color="000000"/>
            </w:tcBorders>
          </w:tcPr>
          <w:p w14:paraId="42F7A00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2" w:type="dxa"/>
            <w:tcBorders>
              <w:top w:val="single" w:sz="6" w:space="0" w:color="000000"/>
              <w:left w:val="single" w:sz="6" w:space="0" w:color="000000"/>
              <w:bottom w:val="single" w:sz="6" w:space="0" w:color="000000"/>
            </w:tcBorders>
          </w:tcPr>
          <w:p w14:paraId="30C428F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7063F9B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6" w:space="0" w:color="000000"/>
            </w:tcBorders>
          </w:tcPr>
          <w:p w14:paraId="4670FDD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2" w:type="dxa"/>
            <w:tcBorders>
              <w:top w:val="single" w:sz="6" w:space="0" w:color="000000"/>
              <w:left w:val="single" w:sz="6" w:space="0" w:color="000000"/>
              <w:bottom w:val="single" w:sz="6" w:space="0" w:color="000000"/>
            </w:tcBorders>
          </w:tcPr>
          <w:p w14:paraId="77C5DDE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6" w:space="0" w:color="000000"/>
            </w:tcBorders>
          </w:tcPr>
          <w:p w14:paraId="7CDF538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1E94C6F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2" w:type="dxa"/>
            <w:tcBorders>
              <w:top w:val="single" w:sz="6" w:space="0" w:color="000000"/>
              <w:left w:val="single" w:sz="6" w:space="0" w:color="000000"/>
              <w:bottom w:val="single" w:sz="6" w:space="0" w:color="000000"/>
            </w:tcBorders>
          </w:tcPr>
          <w:p w14:paraId="4CA12ED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767" w:type="dxa"/>
            <w:tcBorders>
              <w:top w:val="single" w:sz="6" w:space="0" w:color="000000"/>
              <w:left w:val="single" w:sz="6" w:space="0" w:color="000000"/>
              <w:bottom w:val="single" w:sz="6" w:space="0" w:color="000000"/>
            </w:tcBorders>
          </w:tcPr>
          <w:p w14:paraId="5E8E004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935" w:type="dxa"/>
            <w:tcBorders>
              <w:top w:val="single" w:sz="6" w:space="0" w:color="000000"/>
              <w:left w:val="single" w:sz="6" w:space="0" w:color="000000"/>
              <w:bottom w:val="single" w:sz="6" w:space="0" w:color="000000"/>
              <w:right w:val="single" w:sz="4" w:space="0" w:color="000000"/>
            </w:tcBorders>
          </w:tcPr>
          <w:p w14:paraId="08ACD93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520E67A9" w14:textId="77777777" w:rsidTr="00A115F0">
        <w:tc>
          <w:tcPr>
            <w:tcW w:w="2536" w:type="dxa"/>
            <w:tcBorders>
              <w:top w:val="single" w:sz="6" w:space="0" w:color="000000"/>
              <w:left w:val="single" w:sz="4" w:space="0" w:color="000000"/>
              <w:bottom w:val="single" w:sz="6" w:space="0" w:color="000000"/>
            </w:tcBorders>
          </w:tcPr>
          <w:p w14:paraId="0A3346F5" w14:textId="77777777" w:rsidR="00A115F0" w:rsidRPr="0030358C" w:rsidRDefault="00000000" w:rsidP="00A115F0">
            <w:pPr>
              <w:keepNext/>
              <w:widowControl w:val="0"/>
              <w:numPr>
                <w:ilvl w:val="0"/>
                <w:numId w:val="15"/>
              </w:numPr>
              <w:rPr>
                <w:rFonts w:ascii="Arial" w:hAnsi="Arial" w:cs="Arial"/>
                <w:b/>
                <w:bCs/>
                <w:sz w:val="22"/>
                <w:szCs w:val="22"/>
              </w:rPr>
            </w:pPr>
            <w:r w:rsidRPr="0030358C">
              <w:rPr>
                <w:rFonts w:ascii="Arial" w:hAnsi="Arial" w:cs="Arial"/>
                <w:b/>
                <w:bCs/>
                <w:sz w:val="22"/>
                <w:szCs w:val="22"/>
              </w:rPr>
              <w:t>Plynné palivo obecně</w:t>
            </w:r>
          </w:p>
        </w:tc>
        <w:tc>
          <w:tcPr>
            <w:tcW w:w="1042" w:type="dxa"/>
            <w:tcBorders>
              <w:top w:val="single" w:sz="6" w:space="0" w:color="000000"/>
              <w:left w:val="single" w:sz="6" w:space="0" w:color="000000"/>
              <w:bottom w:val="single" w:sz="6" w:space="0" w:color="000000"/>
            </w:tcBorders>
          </w:tcPr>
          <w:p w14:paraId="6C35E2E4"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9)</w:t>
            </w:r>
          </w:p>
        </w:tc>
        <w:tc>
          <w:tcPr>
            <w:tcW w:w="1043" w:type="dxa"/>
            <w:tcBorders>
              <w:top w:val="single" w:sz="6" w:space="0" w:color="000000"/>
              <w:left w:val="single" w:sz="6" w:space="0" w:color="000000"/>
              <w:bottom w:val="single" w:sz="6" w:space="0" w:color="000000"/>
            </w:tcBorders>
          </w:tcPr>
          <w:p w14:paraId="6A4E4660"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3" w:type="dxa"/>
            <w:tcBorders>
              <w:top w:val="single" w:sz="6" w:space="0" w:color="000000"/>
              <w:left w:val="single" w:sz="6" w:space="0" w:color="000000"/>
              <w:bottom w:val="single" w:sz="6" w:space="0" w:color="000000"/>
            </w:tcBorders>
          </w:tcPr>
          <w:p w14:paraId="57EED353"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9)</w:t>
            </w:r>
          </w:p>
        </w:tc>
        <w:tc>
          <w:tcPr>
            <w:tcW w:w="1042" w:type="dxa"/>
            <w:tcBorders>
              <w:top w:val="single" w:sz="6" w:space="0" w:color="000000"/>
              <w:left w:val="single" w:sz="6" w:space="0" w:color="000000"/>
              <w:bottom w:val="single" w:sz="6" w:space="0" w:color="000000"/>
            </w:tcBorders>
          </w:tcPr>
          <w:p w14:paraId="002DFA10"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7EDEE24B"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9)</w:t>
            </w:r>
          </w:p>
        </w:tc>
        <w:tc>
          <w:tcPr>
            <w:tcW w:w="1043" w:type="dxa"/>
            <w:tcBorders>
              <w:top w:val="single" w:sz="6" w:space="0" w:color="000000"/>
              <w:left w:val="single" w:sz="6" w:space="0" w:color="000000"/>
              <w:bottom w:val="single" w:sz="6" w:space="0" w:color="000000"/>
            </w:tcBorders>
          </w:tcPr>
          <w:p w14:paraId="479C5713"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2" w:type="dxa"/>
            <w:tcBorders>
              <w:top w:val="single" w:sz="6" w:space="0" w:color="000000"/>
              <w:left w:val="single" w:sz="6" w:space="0" w:color="000000"/>
              <w:bottom w:val="single" w:sz="6" w:space="0" w:color="000000"/>
            </w:tcBorders>
          </w:tcPr>
          <w:p w14:paraId="53C5577B"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9)</w:t>
            </w:r>
          </w:p>
        </w:tc>
        <w:tc>
          <w:tcPr>
            <w:tcW w:w="1043" w:type="dxa"/>
            <w:tcBorders>
              <w:top w:val="single" w:sz="6" w:space="0" w:color="000000"/>
              <w:left w:val="single" w:sz="6" w:space="0" w:color="000000"/>
              <w:bottom w:val="single" w:sz="6" w:space="0" w:color="000000"/>
            </w:tcBorders>
          </w:tcPr>
          <w:p w14:paraId="54B9F2E2"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7CA7A2D6"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9)</w:t>
            </w:r>
          </w:p>
        </w:tc>
        <w:tc>
          <w:tcPr>
            <w:tcW w:w="1042" w:type="dxa"/>
            <w:tcBorders>
              <w:top w:val="single" w:sz="6" w:space="0" w:color="000000"/>
              <w:left w:val="single" w:sz="6" w:space="0" w:color="000000"/>
              <w:bottom w:val="single" w:sz="6" w:space="0" w:color="000000"/>
            </w:tcBorders>
          </w:tcPr>
          <w:p w14:paraId="461EEAAC"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767" w:type="dxa"/>
            <w:tcBorders>
              <w:top w:val="single" w:sz="6" w:space="0" w:color="000000"/>
              <w:left w:val="single" w:sz="6" w:space="0" w:color="000000"/>
              <w:bottom w:val="single" w:sz="6" w:space="0" w:color="000000"/>
            </w:tcBorders>
          </w:tcPr>
          <w:p w14:paraId="2B1D96F0"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9)</w:t>
            </w:r>
          </w:p>
        </w:tc>
        <w:tc>
          <w:tcPr>
            <w:tcW w:w="935" w:type="dxa"/>
            <w:tcBorders>
              <w:top w:val="single" w:sz="6" w:space="0" w:color="000000"/>
              <w:left w:val="single" w:sz="6" w:space="0" w:color="000000"/>
              <w:bottom w:val="single" w:sz="6" w:space="0" w:color="000000"/>
              <w:right w:val="single" w:sz="4" w:space="0" w:color="000000"/>
            </w:tcBorders>
          </w:tcPr>
          <w:p w14:paraId="29342F7C"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1DBA5E35" w14:textId="77777777" w:rsidTr="00A115F0">
        <w:tc>
          <w:tcPr>
            <w:tcW w:w="2536" w:type="dxa"/>
            <w:tcBorders>
              <w:top w:val="single" w:sz="6" w:space="0" w:color="000000"/>
              <w:left w:val="single" w:sz="4" w:space="0" w:color="000000"/>
              <w:bottom w:val="single" w:sz="6" w:space="0" w:color="000000"/>
            </w:tcBorders>
          </w:tcPr>
          <w:p w14:paraId="0DABA067" w14:textId="77777777" w:rsidR="00A115F0" w:rsidRPr="0030358C" w:rsidRDefault="00000000" w:rsidP="00A115F0">
            <w:pPr>
              <w:keepNext/>
              <w:widowControl w:val="0"/>
              <w:numPr>
                <w:ilvl w:val="0"/>
                <w:numId w:val="15"/>
              </w:numPr>
              <w:rPr>
                <w:rFonts w:ascii="Arial" w:hAnsi="Arial" w:cs="Arial"/>
                <w:b/>
                <w:bCs/>
                <w:sz w:val="22"/>
                <w:szCs w:val="22"/>
              </w:rPr>
            </w:pPr>
            <w:r w:rsidRPr="0030358C">
              <w:rPr>
                <w:rFonts w:ascii="Arial" w:hAnsi="Arial" w:cs="Arial"/>
                <w:b/>
                <w:bCs/>
                <w:sz w:val="22"/>
                <w:szCs w:val="22"/>
              </w:rPr>
              <w:t>Zemní plyn</w:t>
            </w:r>
          </w:p>
        </w:tc>
        <w:tc>
          <w:tcPr>
            <w:tcW w:w="1042" w:type="dxa"/>
            <w:tcBorders>
              <w:top w:val="single" w:sz="6" w:space="0" w:color="000000"/>
              <w:left w:val="single" w:sz="6" w:space="0" w:color="000000"/>
              <w:bottom w:val="single" w:sz="6" w:space="0" w:color="000000"/>
            </w:tcBorders>
          </w:tcPr>
          <w:p w14:paraId="0C355960"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9)</w:t>
            </w:r>
          </w:p>
        </w:tc>
        <w:tc>
          <w:tcPr>
            <w:tcW w:w="1043" w:type="dxa"/>
            <w:tcBorders>
              <w:top w:val="single" w:sz="6" w:space="0" w:color="000000"/>
              <w:left w:val="single" w:sz="6" w:space="0" w:color="000000"/>
              <w:bottom w:val="single" w:sz="6" w:space="0" w:color="000000"/>
            </w:tcBorders>
          </w:tcPr>
          <w:p w14:paraId="75B27610"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c>
          <w:tcPr>
            <w:tcW w:w="1043" w:type="dxa"/>
            <w:tcBorders>
              <w:top w:val="single" w:sz="6" w:space="0" w:color="000000"/>
              <w:left w:val="single" w:sz="6" w:space="0" w:color="000000"/>
              <w:bottom w:val="single" w:sz="6" w:space="0" w:color="000000"/>
            </w:tcBorders>
          </w:tcPr>
          <w:p w14:paraId="5A683ADF"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9)</w:t>
            </w:r>
          </w:p>
        </w:tc>
        <w:tc>
          <w:tcPr>
            <w:tcW w:w="1042" w:type="dxa"/>
            <w:tcBorders>
              <w:top w:val="single" w:sz="6" w:space="0" w:color="000000"/>
              <w:left w:val="single" w:sz="6" w:space="0" w:color="000000"/>
              <w:bottom w:val="single" w:sz="6" w:space="0" w:color="000000"/>
            </w:tcBorders>
          </w:tcPr>
          <w:p w14:paraId="6BA76EFA"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1159513A"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9)</w:t>
            </w:r>
          </w:p>
        </w:tc>
        <w:tc>
          <w:tcPr>
            <w:tcW w:w="1043" w:type="dxa"/>
            <w:tcBorders>
              <w:top w:val="single" w:sz="6" w:space="0" w:color="000000"/>
              <w:left w:val="single" w:sz="6" w:space="0" w:color="000000"/>
              <w:bottom w:val="single" w:sz="6" w:space="0" w:color="000000"/>
            </w:tcBorders>
          </w:tcPr>
          <w:p w14:paraId="2A8DE0D5"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c>
          <w:tcPr>
            <w:tcW w:w="1042" w:type="dxa"/>
            <w:tcBorders>
              <w:top w:val="single" w:sz="6" w:space="0" w:color="000000"/>
              <w:left w:val="single" w:sz="6" w:space="0" w:color="000000"/>
              <w:bottom w:val="single" w:sz="6" w:space="0" w:color="000000"/>
            </w:tcBorders>
          </w:tcPr>
          <w:p w14:paraId="1FF71F27"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9)</w:t>
            </w:r>
          </w:p>
        </w:tc>
        <w:tc>
          <w:tcPr>
            <w:tcW w:w="1043" w:type="dxa"/>
            <w:tcBorders>
              <w:top w:val="single" w:sz="6" w:space="0" w:color="000000"/>
              <w:left w:val="single" w:sz="6" w:space="0" w:color="000000"/>
              <w:bottom w:val="single" w:sz="6" w:space="0" w:color="000000"/>
            </w:tcBorders>
          </w:tcPr>
          <w:p w14:paraId="6672D17D"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5DDB9CB3"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9)</w:t>
            </w:r>
          </w:p>
        </w:tc>
        <w:tc>
          <w:tcPr>
            <w:tcW w:w="1042" w:type="dxa"/>
            <w:tcBorders>
              <w:top w:val="single" w:sz="6" w:space="0" w:color="000000"/>
              <w:left w:val="single" w:sz="6" w:space="0" w:color="000000"/>
              <w:bottom w:val="single" w:sz="6" w:space="0" w:color="000000"/>
            </w:tcBorders>
          </w:tcPr>
          <w:p w14:paraId="4D175545"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c>
          <w:tcPr>
            <w:tcW w:w="767" w:type="dxa"/>
            <w:tcBorders>
              <w:top w:val="single" w:sz="6" w:space="0" w:color="000000"/>
              <w:left w:val="single" w:sz="6" w:space="0" w:color="000000"/>
              <w:bottom w:val="single" w:sz="6" w:space="0" w:color="000000"/>
            </w:tcBorders>
          </w:tcPr>
          <w:p w14:paraId="132F1488" w14:textId="77777777" w:rsidR="00A115F0" w:rsidRPr="0030358C" w:rsidRDefault="00000000" w:rsidP="00A115F0">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9)</w:t>
            </w:r>
          </w:p>
        </w:tc>
        <w:tc>
          <w:tcPr>
            <w:tcW w:w="935" w:type="dxa"/>
            <w:tcBorders>
              <w:top w:val="single" w:sz="6" w:space="0" w:color="000000"/>
              <w:left w:val="single" w:sz="6" w:space="0" w:color="000000"/>
              <w:bottom w:val="single" w:sz="6" w:space="0" w:color="000000"/>
              <w:right w:val="single" w:sz="4" w:space="0" w:color="000000"/>
            </w:tcBorders>
          </w:tcPr>
          <w:p w14:paraId="10335E6E" w14:textId="77777777" w:rsidR="00A115F0" w:rsidRPr="0030358C" w:rsidRDefault="00000000" w:rsidP="00A115F0">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7E783BB0" w14:textId="77777777" w:rsidTr="00A115F0">
        <w:tc>
          <w:tcPr>
            <w:tcW w:w="2536" w:type="dxa"/>
            <w:tcBorders>
              <w:top w:val="single" w:sz="6" w:space="0" w:color="000000"/>
              <w:left w:val="single" w:sz="4" w:space="0" w:color="000000"/>
              <w:bottom w:val="single" w:sz="6" w:space="0" w:color="000000"/>
            </w:tcBorders>
          </w:tcPr>
          <w:p w14:paraId="11BCCC3B"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Koksárenský plyn</w:t>
            </w:r>
          </w:p>
        </w:tc>
        <w:tc>
          <w:tcPr>
            <w:tcW w:w="1042" w:type="dxa"/>
            <w:tcBorders>
              <w:top w:val="single" w:sz="6" w:space="0" w:color="000000"/>
              <w:left w:val="single" w:sz="6" w:space="0" w:color="000000"/>
              <w:bottom w:val="single" w:sz="6" w:space="0" w:color="000000"/>
            </w:tcBorders>
          </w:tcPr>
          <w:p w14:paraId="12F3B70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p>
        </w:tc>
        <w:tc>
          <w:tcPr>
            <w:tcW w:w="1043" w:type="dxa"/>
            <w:tcBorders>
              <w:top w:val="single" w:sz="6" w:space="0" w:color="000000"/>
              <w:left w:val="single" w:sz="6" w:space="0" w:color="000000"/>
              <w:bottom w:val="single" w:sz="6" w:space="0" w:color="000000"/>
            </w:tcBorders>
          </w:tcPr>
          <w:p w14:paraId="2AC10E8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3" w:type="dxa"/>
            <w:tcBorders>
              <w:top w:val="single" w:sz="6" w:space="0" w:color="000000"/>
              <w:left w:val="single" w:sz="6" w:space="0" w:color="000000"/>
              <w:bottom w:val="single" w:sz="6" w:space="0" w:color="000000"/>
            </w:tcBorders>
          </w:tcPr>
          <w:p w14:paraId="4B568D4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1042" w:type="dxa"/>
            <w:tcBorders>
              <w:top w:val="single" w:sz="6" w:space="0" w:color="000000"/>
              <w:left w:val="single" w:sz="6" w:space="0" w:color="000000"/>
              <w:bottom w:val="single" w:sz="6" w:space="0" w:color="000000"/>
            </w:tcBorders>
          </w:tcPr>
          <w:p w14:paraId="5277E1B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5C1C324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p>
        </w:tc>
        <w:tc>
          <w:tcPr>
            <w:tcW w:w="1043" w:type="dxa"/>
            <w:tcBorders>
              <w:top w:val="single" w:sz="6" w:space="0" w:color="000000"/>
              <w:left w:val="single" w:sz="6" w:space="0" w:color="000000"/>
              <w:bottom w:val="single" w:sz="6" w:space="0" w:color="000000"/>
            </w:tcBorders>
          </w:tcPr>
          <w:p w14:paraId="40C0C79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2" w:type="dxa"/>
            <w:tcBorders>
              <w:top w:val="single" w:sz="6" w:space="0" w:color="000000"/>
              <w:left w:val="single" w:sz="6" w:space="0" w:color="000000"/>
              <w:bottom w:val="single" w:sz="6" w:space="0" w:color="000000"/>
            </w:tcBorders>
          </w:tcPr>
          <w:p w14:paraId="3EB6063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1043" w:type="dxa"/>
            <w:tcBorders>
              <w:top w:val="single" w:sz="6" w:space="0" w:color="000000"/>
              <w:left w:val="single" w:sz="6" w:space="0" w:color="000000"/>
              <w:bottom w:val="single" w:sz="6" w:space="0" w:color="000000"/>
            </w:tcBorders>
          </w:tcPr>
          <w:p w14:paraId="6818FFF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2221537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p>
        </w:tc>
        <w:tc>
          <w:tcPr>
            <w:tcW w:w="1042" w:type="dxa"/>
            <w:tcBorders>
              <w:top w:val="single" w:sz="6" w:space="0" w:color="000000"/>
              <w:left w:val="single" w:sz="6" w:space="0" w:color="000000"/>
              <w:bottom w:val="single" w:sz="6" w:space="0" w:color="000000"/>
            </w:tcBorders>
          </w:tcPr>
          <w:p w14:paraId="738CE6A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767" w:type="dxa"/>
            <w:tcBorders>
              <w:top w:val="single" w:sz="6" w:space="0" w:color="000000"/>
              <w:left w:val="single" w:sz="6" w:space="0" w:color="000000"/>
              <w:bottom w:val="single" w:sz="6" w:space="0" w:color="000000"/>
            </w:tcBorders>
          </w:tcPr>
          <w:p w14:paraId="7F79ABB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935" w:type="dxa"/>
            <w:tcBorders>
              <w:top w:val="single" w:sz="6" w:space="0" w:color="000000"/>
              <w:left w:val="single" w:sz="6" w:space="0" w:color="000000"/>
              <w:bottom w:val="single" w:sz="6" w:space="0" w:color="000000"/>
              <w:right w:val="single" w:sz="4" w:space="0" w:color="000000"/>
            </w:tcBorders>
          </w:tcPr>
          <w:p w14:paraId="79BDB93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5613FC54" w14:textId="77777777" w:rsidTr="00A115F0">
        <w:tc>
          <w:tcPr>
            <w:tcW w:w="2536" w:type="dxa"/>
            <w:tcBorders>
              <w:top w:val="single" w:sz="6" w:space="0" w:color="000000"/>
              <w:left w:val="single" w:sz="4" w:space="0" w:color="000000"/>
              <w:bottom w:val="single" w:sz="6" w:space="0" w:color="000000"/>
            </w:tcBorders>
          </w:tcPr>
          <w:p w14:paraId="6596C9BE"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Vysokopecní plyn</w:t>
            </w:r>
          </w:p>
        </w:tc>
        <w:tc>
          <w:tcPr>
            <w:tcW w:w="1042" w:type="dxa"/>
            <w:tcBorders>
              <w:top w:val="single" w:sz="6" w:space="0" w:color="000000"/>
              <w:left w:val="single" w:sz="6" w:space="0" w:color="000000"/>
              <w:bottom w:val="single" w:sz="6" w:space="0" w:color="000000"/>
            </w:tcBorders>
          </w:tcPr>
          <w:p w14:paraId="64C6732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2C3BDBE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3" w:type="dxa"/>
            <w:tcBorders>
              <w:top w:val="single" w:sz="6" w:space="0" w:color="000000"/>
              <w:left w:val="single" w:sz="6" w:space="0" w:color="000000"/>
              <w:bottom w:val="single" w:sz="6" w:space="0" w:color="000000"/>
            </w:tcBorders>
          </w:tcPr>
          <w:p w14:paraId="0F6F429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1042" w:type="dxa"/>
            <w:tcBorders>
              <w:top w:val="single" w:sz="6" w:space="0" w:color="000000"/>
              <w:left w:val="single" w:sz="6" w:space="0" w:color="000000"/>
              <w:bottom w:val="single" w:sz="6" w:space="0" w:color="000000"/>
            </w:tcBorders>
          </w:tcPr>
          <w:p w14:paraId="3A5AA4B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426E2F7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181EBA8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2" w:type="dxa"/>
            <w:tcBorders>
              <w:top w:val="single" w:sz="6" w:space="0" w:color="000000"/>
              <w:left w:val="single" w:sz="6" w:space="0" w:color="000000"/>
              <w:bottom w:val="single" w:sz="6" w:space="0" w:color="000000"/>
            </w:tcBorders>
          </w:tcPr>
          <w:p w14:paraId="6DE7650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1043" w:type="dxa"/>
            <w:tcBorders>
              <w:top w:val="single" w:sz="6" w:space="0" w:color="000000"/>
              <w:left w:val="single" w:sz="6" w:space="0" w:color="000000"/>
              <w:bottom w:val="single" w:sz="6" w:space="0" w:color="000000"/>
            </w:tcBorders>
          </w:tcPr>
          <w:p w14:paraId="611C758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1BD63CD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2" w:type="dxa"/>
            <w:tcBorders>
              <w:top w:val="single" w:sz="6" w:space="0" w:color="000000"/>
              <w:left w:val="single" w:sz="6" w:space="0" w:color="000000"/>
              <w:bottom w:val="single" w:sz="6" w:space="0" w:color="000000"/>
            </w:tcBorders>
          </w:tcPr>
          <w:p w14:paraId="04E830A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767" w:type="dxa"/>
            <w:tcBorders>
              <w:top w:val="single" w:sz="6" w:space="0" w:color="000000"/>
              <w:left w:val="single" w:sz="6" w:space="0" w:color="000000"/>
              <w:bottom w:val="single" w:sz="6" w:space="0" w:color="000000"/>
            </w:tcBorders>
          </w:tcPr>
          <w:p w14:paraId="5A9EA9B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935" w:type="dxa"/>
            <w:tcBorders>
              <w:top w:val="single" w:sz="6" w:space="0" w:color="000000"/>
              <w:left w:val="single" w:sz="6" w:space="0" w:color="000000"/>
              <w:bottom w:val="single" w:sz="6" w:space="0" w:color="000000"/>
              <w:right w:val="single" w:sz="4" w:space="0" w:color="000000"/>
            </w:tcBorders>
          </w:tcPr>
          <w:p w14:paraId="13E1BCC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083FDEE2" w14:textId="77777777" w:rsidTr="00A115F0">
        <w:tc>
          <w:tcPr>
            <w:tcW w:w="2536" w:type="dxa"/>
            <w:tcBorders>
              <w:top w:val="single" w:sz="6" w:space="0" w:color="000000"/>
              <w:left w:val="single" w:sz="4" w:space="0" w:color="000000"/>
              <w:bottom w:val="single" w:sz="4" w:space="0" w:color="000000"/>
            </w:tcBorders>
          </w:tcPr>
          <w:p w14:paraId="57C3FAC8"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Plyn ze zplyňování rafinérských zbytků</w:t>
            </w:r>
          </w:p>
        </w:tc>
        <w:tc>
          <w:tcPr>
            <w:tcW w:w="1042" w:type="dxa"/>
            <w:tcBorders>
              <w:top w:val="single" w:sz="6" w:space="0" w:color="000000"/>
              <w:left w:val="single" w:sz="6" w:space="0" w:color="000000"/>
              <w:bottom w:val="single" w:sz="4" w:space="0" w:color="000000"/>
            </w:tcBorders>
          </w:tcPr>
          <w:p w14:paraId="1478A37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2)</w:t>
            </w:r>
          </w:p>
        </w:tc>
        <w:tc>
          <w:tcPr>
            <w:tcW w:w="1043" w:type="dxa"/>
            <w:tcBorders>
              <w:top w:val="single" w:sz="6" w:space="0" w:color="000000"/>
              <w:left w:val="single" w:sz="6" w:space="0" w:color="000000"/>
              <w:bottom w:val="single" w:sz="4" w:space="0" w:color="000000"/>
            </w:tcBorders>
          </w:tcPr>
          <w:p w14:paraId="73232F9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3" w:type="dxa"/>
            <w:tcBorders>
              <w:top w:val="single" w:sz="6" w:space="0" w:color="000000"/>
              <w:left w:val="single" w:sz="6" w:space="0" w:color="000000"/>
              <w:bottom w:val="single" w:sz="4" w:space="0" w:color="000000"/>
            </w:tcBorders>
          </w:tcPr>
          <w:p w14:paraId="27E6AD1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2" w:type="dxa"/>
            <w:tcBorders>
              <w:top w:val="single" w:sz="6" w:space="0" w:color="000000"/>
              <w:left w:val="single" w:sz="6" w:space="0" w:color="000000"/>
              <w:bottom w:val="single" w:sz="4" w:space="0" w:color="000000"/>
            </w:tcBorders>
          </w:tcPr>
          <w:p w14:paraId="578C475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4" w:space="0" w:color="000000"/>
            </w:tcBorders>
          </w:tcPr>
          <w:p w14:paraId="3B98CC1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2)</w:t>
            </w:r>
          </w:p>
        </w:tc>
        <w:tc>
          <w:tcPr>
            <w:tcW w:w="1043" w:type="dxa"/>
            <w:tcBorders>
              <w:top w:val="single" w:sz="6" w:space="0" w:color="000000"/>
              <w:left w:val="single" w:sz="6" w:space="0" w:color="000000"/>
              <w:bottom w:val="single" w:sz="4" w:space="0" w:color="000000"/>
            </w:tcBorders>
          </w:tcPr>
          <w:p w14:paraId="6FDA43C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1042" w:type="dxa"/>
            <w:tcBorders>
              <w:top w:val="single" w:sz="6" w:space="0" w:color="000000"/>
              <w:left w:val="single" w:sz="6" w:space="0" w:color="000000"/>
              <w:bottom w:val="single" w:sz="4" w:space="0" w:color="000000"/>
            </w:tcBorders>
          </w:tcPr>
          <w:p w14:paraId="236716B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4" w:space="0" w:color="000000"/>
            </w:tcBorders>
          </w:tcPr>
          <w:p w14:paraId="44DE3F4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4" w:space="0" w:color="000000"/>
            </w:tcBorders>
          </w:tcPr>
          <w:p w14:paraId="1D2E120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2)</w:t>
            </w:r>
          </w:p>
        </w:tc>
        <w:tc>
          <w:tcPr>
            <w:tcW w:w="1042" w:type="dxa"/>
            <w:tcBorders>
              <w:top w:val="single" w:sz="6" w:space="0" w:color="000000"/>
              <w:left w:val="single" w:sz="6" w:space="0" w:color="000000"/>
              <w:bottom w:val="single" w:sz="4" w:space="0" w:color="000000"/>
            </w:tcBorders>
          </w:tcPr>
          <w:p w14:paraId="0B76A03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5), 6)</w:t>
            </w:r>
          </w:p>
        </w:tc>
        <w:tc>
          <w:tcPr>
            <w:tcW w:w="767" w:type="dxa"/>
            <w:tcBorders>
              <w:top w:val="single" w:sz="6" w:space="0" w:color="000000"/>
              <w:left w:val="single" w:sz="6" w:space="0" w:color="000000"/>
              <w:bottom w:val="single" w:sz="4" w:space="0" w:color="000000"/>
            </w:tcBorders>
          </w:tcPr>
          <w:p w14:paraId="60EC1EC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935" w:type="dxa"/>
            <w:tcBorders>
              <w:top w:val="single" w:sz="6" w:space="0" w:color="000000"/>
              <w:left w:val="single" w:sz="6" w:space="0" w:color="000000"/>
              <w:bottom w:val="single" w:sz="4" w:space="0" w:color="000000"/>
              <w:right w:val="single" w:sz="4" w:space="0" w:color="000000"/>
            </w:tcBorders>
          </w:tcPr>
          <w:p w14:paraId="5D650A1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bl>
    <w:p w14:paraId="15563A21" w14:textId="77777777" w:rsidR="006945AD" w:rsidRPr="0030358C" w:rsidRDefault="006945AD" w:rsidP="006945AD">
      <w:pPr>
        <w:widowControl w:val="0"/>
        <w:spacing w:line="300" w:lineRule="exact"/>
        <w:jc w:val="both"/>
        <w:rPr>
          <w:rFonts w:ascii="Arial" w:hAnsi="Arial" w:cs="Arial"/>
          <w:b/>
          <w:bCs/>
          <w:sz w:val="22"/>
          <w:szCs w:val="22"/>
        </w:rPr>
      </w:pPr>
    </w:p>
    <w:p w14:paraId="2800B60B"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Vysvětlivky:</w:t>
      </w:r>
    </w:p>
    <w:p w14:paraId="3E54845C"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 xml:space="preserve"> </w:t>
      </w:r>
    </w:p>
    <w:p w14:paraId="4B669862"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1) Na spalovací stacionární zdroje, které nejsou v provozu více než 1 500 provozních hodin za rok vyjádřených jako klouzavý průměr za 5 let, kterým bylo vydáno povolení provozu nebo jiné obdobné povolení podle dřívějších právních předpisů před 27. listopadem 2002 nebo jejichž provozovatel podal úplnou žádost o povolení provozu před tímto datem a byly uvedeny do provozu nejpozději 27. listopadem 2003, se vztahují následující specifické emisní limity pro SO</w:t>
      </w:r>
      <w:r w:rsidRPr="0030358C">
        <w:rPr>
          <w:rFonts w:ascii="Arial" w:hAnsi="Arial" w:cs="Arial"/>
          <w:b/>
          <w:bCs/>
          <w:sz w:val="22"/>
          <w:szCs w:val="22"/>
          <w:vertAlign w:val="subscript"/>
        </w:rPr>
        <w:t>2</w:t>
      </w:r>
      <w:r w:rsidRPr="0030358C">
        <w:rPr>
          <w:rFonts w:ascii="Arial" w:hAnsi="Arial" w:cs="Arial"/>
          <w:b/>
          <w:bCs/>
          <w:sz w:val="22"/>
          <w:szCs w:val="22"/>
        </w:rPr>
        <w:t xml:space="preserve">. </w:t>
      </w:r>
    </w:p>
    <w:p w14:paraId="39F0D513"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Při spalování pevných paliv specifický emisní limit 800 mg.m</w:t>
      </w:r>
      <w:r w:rsidRPr="0030358C">
        <w:rPr>
          <w:rFonts w:ascii="Arial" w:hAnsi="Arial" w:cs="Arial"/>
          <w:b/>
          <w:bCs/>
          <w:sz w:val="22"/>
          <w:szCs w:val="22"/>
          <w:vertAlign w:val="superscript"/>
        </w:rPr>
        <w:t>-3</w:t>
      </w:r>
      <w:r w:rsidRPr="0030358C">
        <w:rPr>
          <w:rFonts w:ascii="Arial" w:hAnsi="Arial" w:cs="Arial"/>
          <w:b/>
          <w:bCs/>
          <w:sz w:val="22"/>
          <w:szCs w:val="22"/>
        </w:rPr>
        <w:t>, při spalování kapalných paliv ve spalovacích stacionárních zdrojích o celkovém jmenovitém tepelném příkonu nepřekračujícím 300 MW specifický emisní limit 850 mg.m</w:t>
      </w:r>
      <w:r w:rsidRPr="0030358C">
        <w:rPr>
          <w:rFonts w:ascii="Arial" w:hAnsi="Arial" w:cs="Arial"/>
          <w:b/>
          <w:bCs/>
          <w:sz w:val="22"/>
          <w:szCs w:val="22"/>
          <w:vertAlign w:val="superscript"/>
        </w:rPr>
        <w:t>-3</w:t>
      </w:r>
      <w:r w:rsidRPr="0030358C">
        <w:rPr>
          <w:rFonts w:ascii="Arial" w:hAnsi="Arial" w:cs="Arial"/>
          <w:b/>
          <w:bCs/>
          <w:sz w:val="22"/>
          <w:szCs w:val="22"/>
        </w:rPr>
        <w:t xml:space="preserve"> a v případě spalovacích stacionárních zdrojů o celkovém jmenovitém tepelném příkonu vyšším než 300 MW specifický emisní limit 400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672AFBD6"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 xml:space="preserve">Specifické emisní limity uvedené v této poznámce platí také pro jednotlivé spalovací stacionární zdroje, pokud jsou odpadní plyny odváděny odděleně jedním průduchem komína, a které nejsou v provozu více než 1500 provozních hodin za rok, vyjádřeno jako klouzavý průměr za dobu 5 let, pokud je zjišťování emisí prováděno odděleně pro každý takový komínový průduch. </w:t>
      </w:r>
    </w:p>
    <w:p w14:paraId="770C3AF2"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2B3E5FEF"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 xml:space="preserve">2) Na spalovací stacionární zdroje, kterým bylo vydáno povolení provozu nebo jiné obdobné povolení podle dřívějších právních </w:t>
      </w:r>
      <w:r w:rsidRPr="0030358C">
        <w:rPr>
          <w:rFonts w:ascii="Arial" w:hAnsi="Arial" w:cs="Arial"/>
          <w:b/>
          <w:bCs/>
          <w:sz w:val="22"/>
          <w:szCs w:val="22"/>
        </w:rPr>
        <w:lastRenderedPageBreak/>
        <w:t>předpisů před 27. listopadem 2002 nebo jejichž provozovatel podal úplnou žádost o povolení provozu před tímto datem a byly uvedeny do provozu nejpozději 27. listopadem 2003, se vztahuje specifický emisní limit pro SO</w:t>
      </w:r>
      <w:r w:rsidRPr="0030358C">
        <w:rPr>
          <w:rFonts w:ascii="Arial" w:hAnsi="Arial" w:cs="Arial"/>
          <w:b/>
          <w:bCs/>
          <w:sz w:val="22"/>
          <w:szCs w:val="22"/>
          <w:vertAlign w:val="subscript"/>
        </w:rPr>
        <w:t>2</w:t>
      </w:r>
      <w:r w:rsidRPr="0030358C">
        <w:rPr>
          <w:rFonts w:ascii="Arial" w:hAnsi="Arial" w:cs="Arial"/>
          <w:b/>
          <w:bCs/>
          <w:sz w:val="22"/>
          <w:szCs w:val="22"/>
        </w:rPr>
        <w:t xml:space="preserve"> 800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12F31DC8"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13CA3FDA"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3) Na spalovací stacionární zdroje, které nejsou v provozu více než 1 500 provozních hodin za rok vyjádřených jako klouzavý průměr za 5 let se vztahují následující specifické emisní limity pro NO</w:t>
      </w:r>
      <w:r w:rsidRPr="0030358C">
        <w:rPr>
          <w:rFonts w:ascii="Arial" w:hAnsi="Arial" w:cs="Arial"/>
          <w:b/>
          <w:bCs/>
          <w:sz w:val="22"/>
          <w:szCs w:val="22"/>
          <w:vertAlign w:val="subscript"/>
        </w:rPr>
        <w:t>x</w:t>
      </w:r>
      <w:r w:rsidRPr="0030358C">
        <w:rPr>
          <w:rFonts w:ascii="Arial" w:hAnsi="Arial" w:cs="Arial"/>
          <w:b/>
          <w:bCs/>
          <w:sz w:val="22"/>
          <w:szCs w:val="22"/>
        </w:rPr>
        <w:t>. Při spalování kapalných paliv ve spalovacích stacionárních zdrojích o celkovém jmenovitém tepelném příkonu vyšším než 500 MW,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specifický emisní limit 400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51003887" w14:textId="77777777" w:rsidR="006945AD" w:rsidRPr="0030358C" w:rsidRDefault="00000000" w:rsidP="006945AD">
      <w:pPr>
        <w:widowControl w:val="0"/>
        <w:spacing w:line="300" w:lineRule="exact"/>
        <w:jc w:val="both"/>
        <w:rPr>
          <w:rFonts w:ascii="Arial" w:hAnsi="Arial" w:cs="Arial"/>
          <w:b/>
          <w:bCs/>
          <w:sz w:val="22"/>
          <w:szCs w:val="22"/>
        </w:rPr>
      </w:pPr>
      <w:r w:rsidRPr="0030358C">
        <w:rPr>
          <w:rFonts w:ascii="Arial" w:hAnsi="Arial" w:cs="Arial"/>
          <w:b/>
          <w:bCs/>
          <w:sz w:val="22"/>
          <w:szCs w:val="22"/>
        </w:rPr>
        <w:t>Při spalování pevných paliv ve spalovacích stacionárních zdrojích o celkovém jmenovitém tepelném příkonu vyšším než 500 MW, kterým bylo vydáno první povolení provozu, nebo obdobné povolení podle dřívějších právních předpisů, před 1. červencem 1987, specifický emisní limit 450 mg.m</w:t>
      </w:r>
      <w:r w:rsidRPr="0030358C">
        <w:rPr>
          <w:rFonts w:ascii="Arial" w:hAnsi="Arial" w:cs="Arial"/>
          <w:b/>
          <w:bCs/>
          <w:sz w:val="22"/>
          <w:szCs w:val="22"/>
          <w:vertAlign w:val="superscript"/>
        </w:rPr>
        <w:t>-3</w:t>
      </w:r>
      <w:r w:rsidRPr="0030358C">
        <w:rPr>
          <w:rFonts w:ascii="Arial" w:hAnsi="Arial" w:cs="Arial"/>
          <w:b/>
          <w:bCs/>
          <w:sz w:val="22"/>
          <w:szCs w:val="22"/>
        </w:rPr>
        <w:t>.</w:t>
      </w:r>
    </w:p>
    <w:p w14:paraId="108584F0"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Při spalování pevných nebo kapalných paliv ve spalovacích stacionárních zdrojích o celkovém jmenovitém tepelném příkonu nepřesahujícím 500 MW,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specifický emisní limit 450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6D49A242"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 xml:space="preserve">Specifické emisní limity uvedené v této poznámce platí také pro jednotlivé spalovací stacionární zdroje, pokud jsou odpadní plyny odváděny odděleně jedním průduchem komína, a které nejsou v provozu více než 1500 provozních hodin za rok, vyjádřeno jako klouzavý průměr za dobu 5 let, pokud je zjišťování emisí prováděno odděleně pro každý takový komínový průduch. </w:t>
      </w:r>
    </w:p>
    <w:p w14:paraId="3CE2AB39"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5ECF7D40"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4) Na spalování práškového hnědého uhlí ve spalovacích stacionárních zdrojích o celkovém jmenovitém tepelném příkonu nepřekračujícím 100 MW se vztahuje specifický emisní limit pro NO</w:t>
      </w:r>
      <w:r w:rsidRPr="0030358C">
        <w:rPr>
          <w:rFonts w:ascii="Arial" w:hAnsi="Arial" w:cs="Arial"/>
          <w:b/>
          <w:bCs/>
          <w:sz w:val="22"/>
          <w:szCs w:val="22"/>
          <w:vertAlign w:val="subscript"/>
        </w:rPr>
        <w:t>x</w:t>
      </w:r>
      <w:r w:rsidRPr="0030358C">
        <w:rPr>
          <w:rFonts w:ascii="Arial" w:hAnsi="Arial" w:cs="Arial"/>
          <w:b/>
          <w:bCs/>
          <w:sz w:val="22"/>
          <w:szCs w:val="22"/>
        </w:rPr>
        <w:t xml:space="preserve"> 450 mg.m</w:t>
      </w:r>
      <w:r w:rsidRPr="0030358C">
        <w:rPr>
          <w:rFonts w:ascii="Arial" w:hAnsi="Arial" w:cs="Arial"/>
          <w:b/>
          <w:bCs/>
          <w:sz w:val="22"/>
          <w:szCs w:val="22"/>
          <w:vertAlign w:val="superscript"/>
        </w:rPr>
        <w:t xml:space="preserve"> -3</w:t>
      </w:r>
      <w:r w:rsidRPr="0030358C">
        <w:rPr>
          <w:rFonts w:ascii="Arial" w:hAnsi="Arial" w:cs="Arial"/>
          <w:b/>
          <w:bCs/>
          <w:sz w:val="22"/>
          <w:szCs w:val="22"/>
        </w:rPr>
        <w:t xml:space="preserve">. </w:t>
      </w:r>
    </w:p>
    <w:p w14:paraId="5904EE65"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Na spalování pevných a kapalných zbytků pocházejících z destilace či zpracování surové ropy pro vlastní spotřebu ve spalovacích stacionárních zdrojích o celkovém jmenovitém tepelném příkonu nepřesahujícím 500 MW,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450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2D3A72FB"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Na spalování nekomerčních kapalných zbytků z chemické výroby pro vlastní spotřebu ve spalovacích stacionárních zdrojích o celkovém jmenovitém tepelném příkonu nepřesahujícím 500 MW v chemických zařízeních,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450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3659DC4E"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30655D00"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5) Pro plynové turbíny, včetně plynových turbín s kombinovaným cyklem, spalující jako kapalná paliva lehké a střední destiláty platí specifický emisní limit pro NO</w:t>
      </w:r>
      <w:r w:rsidRPr="0030358C">
        <w:rPr>
          <w:rFonts w:ascii="Arial" w:hAnsi="Arial" w:cs="Arial"/>
          <w:b/>
          <w:bCs/>
          <w:sz w:val="22"/>
          <w:szCs w:val="22"/>
          <w:vertAlign w:val="subscript"/>
        </w:rPr>
        <w:t>x</w:t>
      </w:r>
      <w:r w:rsidRPr="0030358C">
        <w:rPr>
          <w:rFonts w:ascii="Arial" w:hAnsi="Arial" w:cs="Arial"/>
          <w:b/>
          <w:bCs/>
          <w:sz w:val="22"/>
          <w:szCs w:val="22"/>
        </w:rPr>
        <w:t xml:space="preserve"> 90 mg.m</w:t>
      </w:r>
      <w:r w:rsidRPr="0030358C">
        <w:rPr>
          <w:rFonts w:ascii="Arial" w:hAnsi="Arial" w:cs="Arial"/>
          <w:b/>
          <w:bCs/>
          <w:sz w:val="22"/>
          <w:szCs w:val="22"/>
          <w:vertAlign w:val="superscript"/>
        </w:rPr>
        <w:t>-3</w:t>
      </w:r>
      <w:r w:rsidRPr="0030358C">
        <w:rPr>
          <w:rFonts w:ascii="Arial" w:hAnsi="Arial" w:cs="Arial"/>
          <w:b/>
          <w:bCs/>
          <w:sz w:val="22"/>
          <w:szCs w:val="22"/>
        </w:rPr>
        <w:t>, 120 mg.m</w:t>
      </w:r>
      <w:r w:rsidRPr="0030358C">
        <w:rPr>
          <w:rFonts w:ascii="Arial" w:hAnsi="Arial" w:cs="Arial"/>
          <w:b/>
          <w:bCs/>
          <w:sz w:val="22"/>
          <w:szCs w:val="22"/>
          <w:vertAlign w:val="superscript"/>
        </w:rPr>
        <w:t>-3</w:t>
      </w:r>
      <w:r w:rsidRPr="0030358C">
        <w:rPr>
          <w:rFonts w:ascii="Arial" w:hAnsi="Arial" w:cs="Arial"/>
          <w:b/>
          <w:bCs/>
          <w:sz w:val="22"/>
          <w:szCs w:val="22"/>
        </w:rPr>
        <w:t xml:space="preserve"> pokud spalují jiné plyny a 50 mg.m</w:t>
      </w:r>
      <w:r w:rsidRPr="0030358C">
        <w:rPr>
          <w:rFonts w:ascii="Arial" w:hAnsi="Arial" w:cs="Arial"/>
          <w:b/>
          <w:bCs/>
          <w:sz w:val="22"/>
          <w:szCs w:val="22"/>
          <w:vertAlign w:val="superscript"/>
        </w:rPr>
        <w:t>-3</w:t>
      </w:r>
      <w:r w:rsidRPr="0030358C">
        <w:rPr>
          <w:rFonts w:ascii="Arial" w:hAnsi="Arial" w:cs="Arial"/>
          <w:b/>
          <w:bCs/>
          <w:sz w:val="22"/>
          <w:szCs w:val="22"/>
        </w:rPr>
        <w:t xml:space="preserve"> pokud spalují zemní plyn. </w:t>
      </w:r>
    </w:p>
    <w:p w14:paraId="3BAD9979"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 xml:space="preserve">Pro plynové turbíny pracující v základním zatížení při kombinované výrobu tepla a elektřiny s celkovou účinností vyšší než 75 %, s </w:t>
      </w:r>
      <w:r w:rsidRPr="0030358C">
        <w:rPr>
          <w:rFonts w:ascii="Arial" w:hAnsi="Arial" w:cs="Arial"/>
          <w:b/>
          <w:bCs/>
          <w:sz w:val="22"/>
          <w:szCs w:val="22"/>
        </w:rPr>
        <w:lastRenderedPageBreak/>
        <w:t>kombinovaným cyklem s roční průměrnou celkovou elektrickou účinností vyšší než 55 % a pro mechanický pohon (plynové turbíny pohánějící kompresory rozvodné sítě dodávek plynu veřejnosti) platí specifický emisní limit pro NO</w:t>
      </w:r>
      <w:r w:rsidRPr="0030358C">
        <w:rPr>
          <w:rFonts w:ascii="Arial" w:hAnsi="Arial" w:cs="Arial"/>
          <w:b/>
          <w:bCs/>
          <w:sz w:val="22"/>
          <w:szCs w:val="22"/>
          <w:vertAlign w:val="subscript"/>
        </w:rPr>
        <w:t>x</w:t>
      </w:r>
      <w:r w:rsidRPr="0030358C">
        <w:rPr>
          <w:rFonts w:ascii="Arial" w:hAnsi="Arial" w:cs="Arial"/>
          <w:b/>
          <w:bCs/>
          <w:sz w:val="22"/>
          <w:szCs w:val="22"/>
        </w:rPr>
        <w:t xml:space="preserve"> 75 mg.m</w:t>
      </w:r>
      <w:r w:rsidRPr="0030358C">
        <w:rPr>
          <w:rFonts w:ascii="Arial" w:hAnsi="Arial" w:cs="Arial"/>
          <w:b/>
          <w:bCs/>
          <w:sz w:val="22"/>
          <w:szCs w:val="22"/>
          <w:vertAlign w:val="superscript"/>
        </w:rPr>
        <w:t>-3</w:t>
      </w:r>
      <w:r w:rsidRPr="0030358C">
        <w:rPr>
          <w:rFonts w:ascii="Arial" w:hAnsi="Arial" w:cs="Arial"/>
          <w:b/>
          <w:bCs/>
          <w:sz w:val="22"/>
          <w:szCs w:val="22"/>
        </w:rPr>
        <w:t xml:space="preserve">. Pro plynové turbíny s jednoduchým cyklem pracující v základním zatížení, které mají účinnost větší než 35 % (stanovenou na základě podmínek Mezinárodní organizace pro normalizaci ISO) platí emisní limit ve výši 50×ŋ/35, kde éta je účinnost plynové turbíny za podmínek základního zatížení podle ISO vyjádřená v procentech. </w:t>
      </w:r>
    </w:p>
    <w:p w14:paraId="0DE593F2"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Pro plynové turbíny, včetně plynových turbín s kombinovaným cyklem,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a které nejsou v provozu více než 1500 provozních hodin za rok, vyjádřeno jako klouzavý průměr za dobu 5 let, platí při spalování zemního plynu specifický emisní limit 150 mg.m</w:t>
      </w:r>
      <w:r w:rsidRPr="0030358C">
        <w:rPr>
          <w:rFonts w:ascii="Arial" w:hAnsi="Arial" w:cs="Arial"/>
          <w:b/>
          <w:bCs/>
          <w:sz w:val="22"/>
          <w:szCs w:val="22"/>
          <w:vertAlign w:val="superscript"/>
        </w:rPr>
        <w:t>-3</w:t>
      </w:r>
      <w:r w:rsidRPr="0030358C">
        <w:rPr>
          <w:rFonts w:ascii="Arial" w:hAnsi="Arial" w:cs="Arial"/>
          <w:b/>
          <w:bCs/>
          <w:sz w:val="22"/>
          <w:szCs w:val="22"/>
        </w:rPr>
        <w:t xml:space="preserve"> a při spalování ostatních plynných paliv nebo kapalných paliv specifický emisní limit 200 mg.m</w:t>
      </w:r>
      <w:r w:rsidRPr="0030358C">
        <w:rPr>
          <w:rFonts w:ascii="Arial" w:hAnsi="Arial" w:cs="Arial"/>
          <w:b/>
          <w:bCs/>
          <w:sz w:val="22"/>
          <w:szCs w:val="22"/>
          <w:vertAlign w:val="superscript"/>
        </w:rPr>
        <w:t>-3</w:t>
      </w:r>
      <w:r w:rsidRPr="0030358C">
        <w:rPr>
          <w:rFonts w:ascii="Arial" w:hAnsi="Arial" w:cs="Arial"/>
          <w:b/>
          <w:bCs/>
          <w:sz w:val="22"/>
          <w:szCs w:val="22"/>
        </w:rPr>
        <w:t xml:space="preserve">. Specifické emisní limity uvedené v tomto odstavci této poznámce platí také pro jednotlivé plynové turbíny, pokud jsou odpadní plyny odváděny odděleně jedním průduchem komína, a které nejsou v provozu více než 1500 provozních hodin za rok, vyjádřeno jako klouzavý průměr za dobu 5 let, pokud je zjišťování emisí prováděno odděleně pro každý takový komínový průduch. </w:t>
      </w:r>
    </w:p>
    <w:p w14:paraId="3B696E5A"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56BB3874"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6) Na spalovací stacionární zdroje, s výjimkou plynových turbín a pístových spalovacích motorů, o celkovém jmenovitém tepelném příkonu nepřesahujícím 500 MW, využívající jiné palivo než zemní plyn,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300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67719819"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0BE4EEBF"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7) Na spalování pevných a kapalných zbytků pocházejících z destilace či zpracování surové ropy pro vlastní spotřebu ve spalovacích stacionárních zdrojích,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se vztahuje specifický emisní limit pro TZL 50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68A7CBEF" w14:textId="77777777" w:rsidR="006945AD" w:rsidRPr="0030358C" w:rsidRDefault="00000000" w:rsidP="006945AD">
      <w:pPr>
        <w:widowControl w:val="0"/>
        <w:rPr>
          <w:rFonts w:ascii="Arial" w:hAnsi="Arial" w:cs="Arial"/>
          <w:b/>
          <w:bCs/>
          <w:sz w:val="22"/>
          <w:szCs w:val="22"/>
        </w:rPr>
      </w:pPr>
      <w:r w:rsidRPr="0030358C">
        <w:rPr>
          <w:rFonts w:ascii="Arial" w:hAnsi="Arial" w:cs="Arial"/>
          <w:b/>
          <w:bCs/>
          <w:sz w:val="22"/>
          <w:szCs w:val="22"/>
        </w:rPr>
        <w:t xml:space="preserve"> </w:t>
      </w:r>
    </w:p>
    <w:p w14:paraId="084772A9"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8) Pro plynové turbíny, včetně plynových turbín s kombinovaným cyklem, spalující jako kapalná paliva lehké a střední destiláty platí specifický emisní limit 100 mg.m</w:t>
      </w:r>
      <w:r w:rsidRPr="0030358C">
        <w:rPr>
          <w:rFonts w:ascii="Arial" w:hAnsi="Arial" w:cs="Arial"/>
          <w:b/>
          <w:bCs/>
          <w:sz w:val="22"/>
          <w:szCs w:val="22"/>
          <w:vertAlign w:val="superscript"/>
        </w:rPr>
        <w:t>-3</w:t>
      </w:r>
      <w:r w:rsidRPr="0030358C">
        <w:rPr>
          <w:rFonts w:ascii="Arial" w:hAnsi="Arial" w:cs="Arial"/>
          <w:b/>
          <w:bCs/>
          <w:sz w:val="22"/>
          <w:szCs w:val="22"/>
        </w:rPr>
        <w:t xml:space="preserve">. </w:t>
      </w:r>
    </w:p>
    <w:p w14:paraId="380660E9" w14:textId="77777777" w:rsidR="00A115F0" w:rsidRPr="0030358C" w:rsidRDefault="00A115F0" w:rsidP="006945AD">
      <w:pPr>
        <w:widowControl w:val="0"/>
        <w:jc w:val="both"/>
        <w:rPr>
          <w:rFonts w:ascii="Arial" w:hAnsi="Arial" w:cs="Arial"/>
          <w:b/>
          <w:bCs/>
          <w:sz w:val="22"/>
          <w:szCs w:val="22"/>
        </w:rPr>
      </w:pPr>
    </w:p>
    <w:p w14:paraId="67C0A83A" w14:textId="77777777" w:rsidR="00A115F0" w:rsidRPr="0030358C" w:rsidRDefault="00000000" w:rsidP="00A115F0">
      <w:pPr>
        <w:widowControl w:val="0"/>
        <w:jc w:val="both"/>
        <w:rPr>
          <w:rFonts w:ascii="Arial" w:hAnsi="Arial" w:cs="Arial"/>
          <w:b/>
          <w:bCs/>
          <w:sz w:val="22"/>
          <w:szCs w:val="22"/>
        </w:rPr>
      </w:pPr>
      <w:r w:rsidRPr="0030358C">
        <w:rPr>
          <w:rFonts w:ascii="Arial" w:hAnsi="Arial" w:cs="Arial"/>
          <w:b/>
          <w:bCs/>
          <w:sz w:val="22"/>
          <w:szCs w:val="22"/>
        </w:rPr>
        <w:t xml:space="preserve">9) Specifický emisní limit se neuplatní pro plynové turbíny a plynové motory. </w:t>
      </w:r>
    </w:p>
    <w:p w14:paraId="6502B440" w14:textId="77777777" w:rsidR="00A115F0" w:rsidRPr="0030358C" w:rsidRDefault="00A115F0" w:rsidP="006945AD">
      <w:pPr>
        <w:widowControl w:val="0"/>
        <w:jc w:val="both"/>
        <w:rPr>
          <w:rFonts w:ascii="Arial" w:hAnsi="Arial" w:cs="Arial"/>
          <w:b/>
          <w:bCs/>
          <w:sz w:val="22"/>
          <w:szCs w:val="22"/>
        </w:rPr>
      </w:pPr>
    </w:p>
    <w:p w14:paraId="33C9ECC4" w14:textId="77777777" w:rsidR="005906DC" w:rsidRPr="0030358C" w:rsidRDefault="00000000" w:rsidP="006945AD">
      <w:pPr>
        <w:widowControl w:val="0"/>
        <w:rPr>
          <w:rFonts w:ascii="Arial" w:hAnsi="Arial" w:cs="Arial"/>
          <w:b/>
          <w:bCs/>
          <w:sz w:val="22"/>
          <w:szCs w:val="22"/>
        </w:rPr>
        <w:sectPr w:rsidR="005906DC" w:rsidRPr="0030358C" w:rsidSect="00D804A3">
          <w:pgSz w:w="16838" w:h="11906" w:orient="landscape" w:code="9"/>
          <w:pgMar w:top="1418" w:right="1418" w:bottom="1418" w:left="1418" w:header="709" w:footer="709" w:gutter="0"/>
          <w:cols w:space="708"/>
        </w:sectPr>
      </w:pPr>
      <w:r w:rsidRPr="0030358C">
        <w:rPr>
          <w:rFonts w:ascii="Arial" w:hAnsi="Arial" w:cs="Arial"/>
          <w:b/>
          <w:bCs/>
          <w:sz w:val="22"/>
          <w:szCs w:val="22"/>
        </w:rPr>
        <w:t xml:space="preserve"> </w:t>
      </w:r>
    </w:p>
    <w:p w14:paraId="648CFC29" w14:textId="77777777" w:rsidR="006945AD" w:rsidRPr="0030358C" w:rsidRDefault="00000000" w:rsidP="006945AD">
      <w:pPr>
        <w:widowControl w:val="0"/>
        <w:spacing w:line="300" w:lineRule="exact"/>
        <w:jc w:val="both"/>
        <w:rPr>
          <w:rFonts w:ascii="Arial" w:hAnsi="Arial" w:cs="Arial"/>
          <w:b/>
          <w:bCs/>
          <w:sz w:val="22"/>
          <w:szCs w:val="22"/>
        </w:rPr>
      </w:pPr>
      <w:r w:rsidRPr="0030358C">
        <w:rPr>
          <w:rFonts w:ascii="Arial" w:hAnsi="Arial" w:cs="Arial"/>
          <w:b/>
          <w:bCs/>
          <w:sz w:val="22"/>
          <w:szCs w:val="22"/>
        </w:rPr>
        <w:lastRenderedPageBreak/>
        <w:t>Tabulka 2 - Specifické emisní limity pro spalovací stacionární zdroje, pro něž byla podána kompletní žádost o první povolení provozu 7. ledna 2013 nebo později nebo byly uvedeny do provozu po 7. lednu 2014</w:t>
      </w:r>
    </w:p>
    <w:p w14:paraId="0FB28C63" w14:textId="77777777" w:rsidR="006945AD" w:rsidRPr="0030358C" w:rsidRDefault="006945AD" w:rsidP="006945AD">
      <w:pPr>
        <w:widowControl w:val="0"/>
        <w:spacing w:line="300" w:lineRule="exact"/>
        <w:jc w:val="both"/>
        <w:rPr>
          <w:rFonts w:ascii="Arial" w:hAnsi="Arial" w:cs="Arial"/>
          <w:b/>
          <w:bCs/>
          <w:sz w:val="22"/>
          <w:szCs w:val="22"/>
        </w:rPr>
      </w:pPr>
    </w:p>
    <w:tbl>
      <w:tblPr>
        <w:tblW w:w="14711" w:type="dxa"/>
        <w:tblInd w:w="-5" w:type="dxa"/>
        <w:tblLayout w:type="fixed"/>
        <w:tblLook w:val="0000" w:firstRow="0" w:lastRow="0" w:firstColumn="0" w:lastColumn="0" w:noHBand="0" w:noVBand="0"/>
      </w:tblPr>
      <w:tblGrid>
        <w:gridCol w:w="2536"/>
        <w:gridCol w:w="1042"/>
        <w:gridCol w:w="1043"/>
        <w:gridCol w:w="1043"/>
        <w:gridCol w:w="1042"/>
        <w:gridCol w:w="1043"/>
        <w:gridCol w:w="1043"/>
        <w:gridCol w:w="1042"/>
        <w:gridCol w:w="1043"/>
        <w:gridCol w:w="1043"/>
        <w:gridCol w:w="1042"/>
        <w:gridCol w:w="1043"/>
        <w:gridCol w:w="706"/>
      </w:tblGrid>
      <w:tr w:rsidR="00E40657" w14:paraId="128FB5BC" w14:textId="77777777" w:rsidTr="00B15037">
        <w:tc>
          <w:tcPr>
            <w:tcW w:w="2536" w:type="dxa"/>
            <w:vMerge w:val="restart"/>
            <w:tcBorders>
              <w:top w:val="single" w:sz="4" w:space="0" w:color="000000"/>
              <w:left w:val="single" w:sz="4" w:space="0" w:color="000000"/>
              <w:bottom w:val="single" w:sz="6" w:space="0" w:color="000000"/>
            </w:tcBorders>
          </w:tcPr>
          <w:p w14:paraId="4FC05D1F"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Druh paliva</w:t>
            </w:r>
          </w:p>
        </w:tc>
        <w:tc>
          <w:tcPr>
            <w:tcW w:w="12175" w:type="dxa"/>
            <w:gridSpan w:val="12"/>
            <w:tcBorders>
              <w:top w:val="single" w:sz="4" w:space="0" w:color="000000"/>
              <w:left w:val="single" w:sz="6" w:space="0" w:color="000000"/>
              <w:bottom w:val="single" w:sz="6" w:space="0" w:color="000000"/>
              <w:right w:val="single" w:sz="4" w:space="0" w:color="000000"/>
            </w:tcBorders>
            <w:vAlign w:val="center"/>
          </w:tcPr>
          <w:p w14:paraId="21C1601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09BA6437" w14:textId="77777777" w:rsidTr="00B15037">
        <w:tc>
          <w:tcPr>
            <w:tcW w:w="2536" w:type="dxa"/>
            <w:vMerge/>
            <w:tcBorders>
              <w:top w:val="single" w:sz="6" w:space="0" w:color="000000"/>
              <w:left w:val="single" w:sz="4" w:space="0" w:color="000000"/>
              <w:bottom w:val="single" w:sz="6" w:space="0" w:color="000000"/>
            </w:tcBorders>
          </w:tcPr>
          <w:p w14:paraId="2E3BB84D" w14:textId="77777777" w:rsidR="006945AD" w:rsidRPr="0030358C" w:rsidRDefault="006945AD" w:rsidP="006945AD">
            <w:pPr>
              <w:keepNext/>
              <w:widowControl w:val="0"/>
              <w:numPr>
                <w:ilvl w:val="0"/>
                <w:numId w:val="15"/>
              </w:numPr>
              <w:rPr>
                <w:rFonts w:ascii="Arial" w:hAnsi="Arial" w:cs="Arial"/>
                <w:b/>
                <w:bCs/>
                <w:sz w:val="22"/>
                <w:szCs w:val="22"/>
              </w:rPr>
            </w:pPr>
          </w:p>
        </w:tc>
        <w:tc>
          <w:tcPr>
            <w:tcW w:w="4170" w:type="dxa"/>
            <w:gridSpan w:val="4"/>
            <w:tcBorders>
              <w:top w:val="single" w:sz="6" w:space="0" w:color="000000"/>
              <w:left w:val="single" w:sz="6" w:space="0" w:color="000000"/>
              <w:bottom w:val="single" w:sz="6" w:space="0" w:color="000000"/>
            </w:tcBorders>
          </w:tcPr>
          <w:p w14:paraId="441A34F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50-100 MW</w:t>
            </w:r>
          </w:p>
        </w:tc>
        <w:tc>
          <w:tcPr>
            <w:tcW w:w="4171" w:type="dxa"/>
            <w:gridSpan w:val="4"/>
            <w:tcBorders>
              <w:top w:val="single" w:sz="6" w:space="0" w:color="000000"/>
              <w:left w:val="single" w:sz="6" w:space="0" w:color="000000"/>
              <w:bottom w:val="single" w:sz="6" w:space="0" w:color="000000"/>
            </w:tcBorders>
          </w:tcPr>
          <w:p w14:paraId="3C6FD80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&gt; 100-300 MW</w:t>
            </w:r>
          </w:p>
        </w:tc>
        <w:tc>
          <w:tcPr>
            <w:tcW w:w="3834" w:type="dxa"/>
            <w:gridSpan w:val="4"/>
            <w:tcBorders>
              <w:top w:val="single" w:sz="6" w:space="0" w:color="000000"/>
              <w:left w:val="single" w:sz="6" w:space="0" w:color="000000"/>
              <w:bottom w:val="single" w:sz="6" w:space="0" w:color="000000"/>
              <w:right w:val="single" w:sz="4" w:space="0" w:color="000000"/>
            </w:tcBorders>
          </w:tcPr>
          <w:p w14:paraId="29BE6F2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&gt; 300 MW</w:t>
            </w:r>
          </w:p>
        </w:tc>
      </w:tr>
      <w:tr w:rsidR="00E40657" w14:paraId="4458B6FF" w14:textId="77777777" w:rsidTr="00B15037">
        <w:tc>
          <w:tcPr>
            <w:tcW w:w="2536" w:type="dxa"/>
            <w:vMerge/>
            <w:tcBorders>
              <w:top w:val="single" w:sz="6" w:space="0" w:color="000000"/>
              <w:left w:val="single" w:sz="4" w:space="0" w:color="000000"/>
              <w:bottom w:val="single" w:sz="6" w:space="0" w:color="000000"/>
            </w:tcBorders>
          </w:tcPr>
          <w:p w14:paraId="4EA344EE" w14:textId="77777777" w:rsidR="006945AD" w:rsidRPr="0030358C" w:rsidRDefault="006945AD" w:rsidP="006945AD">
            <w:pPr>
              <w:keepNext/>
              <w:widowControl w:val="0"/>
              <w:numPr>
                <w:ilvl w:val="0"/>
                <w:numId w:val="15"/>
              </w:numPr>
              <w:rPr>
                <w:rFonts w:ascii="Arial" w:hAnsi="Arial" w:cs="Arial"/>
                <w:b/>
                <w:bCs/>
                <w:sz w:val="22"/>
                <w:szCs w:val="22"/>
              </w:rPr>
            </w:pPr>
          </w:p>
        </w:tc>
        <w:tc>
          <w:tcPr>
            <w:tcW w:w="1042" w:type="dxa"/>
            <w:tcBorders>
              <w:top w:val="single" w:sz="6" w:space="0" w:color="000000"/>
              <w:left w:val="single" w:sz="6" w:space="0" w:color="000000"/>
              <w:bottom w:val="single" w:sz="6" w:space="0" w:color="000000"/>
            </w:tcBorders>
            <w:vAlign w:val="center"/>
          </w:tcPr>
          <w:p w14:paraId="68984C1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43" w:type="dxa"/>
            <w:tcBorders>
              <w:top w:val="single" w:sz="6" w:space="0" w:color="000000"/>
              <w:left w:val="single" w:sz="6" w:space="0" w:color="000000"/>
              <w:bottom w:val="single" w:sz="6" w:space="0" w:color="000000"/>
            </w:tcBorders>
            <w:vAlign w:val="center"/>
          </w:tcPr>
          <w:p w14:paraId="35AB918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43" w:type="dxa"/>
            <w:tcBorders>
              <w:top w:val="single" w:sz="6" w:space="0" w:color="000000"/>
              <w:left w:val="single" w:sz="6" w:space="0" w:color="000000"/>
              <w:bottom w:val="single" w:sz="6" w:space="0" w:color="000000"/>
            </w:tcBorders>
            <w:vAlign w:val="center"/>
          </w:tcPr>
          <w:p w14:paraId="11F9CD7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TZL</w:t>
            </w:r>
          </w:p>
        </w:tc>
        <w:tc>
          <w:tcPr>
            <w:tcW w:w="1042" w:type="dxa"/>
            <w:tcBorders>
              <w:top w:val="single" w:sz="6" w:space="0" w:color="000000"/>
              <w:left w:val="single" w:sz="6" w:space="0" w:color="000000"/>
              <w:bottom w:val="single" w:sz="6" w:space="0" w:color="000000"/>
            </w:tcBorders>
          </w:tcPr>
          <w:p w14:paraId="374C32A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CO</w:t>
            </w:r>
          </w:p>
        </w:tc>
        <w:tc>
          <w:tcPr>
            <w:tcW w:w="1043" w:type="dxa"/>
            <w:tcBorders>
              <w:top w:val="single" w:sz="6" w:space="0" w:color="000000"/>
              <w:left w:val="single" w:sz="6" w:space="0" w:color="000000"/>
              <w:bottom w:val="single" w:sz="6" w:space="0" w:color="000000"/>
            </w:tcBorders>
            <w:vAlign w:val="center"/>
          </w:tcPr>
          <w:p w14:paraId="013F59F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43" w:type="dxa"/>
            <w:tcBorders>
              <w:top w:val="single" w:sz="6" w:space="0" w:color="000000"/>
              <w:left w:val="single" w:sz="6" w:space="0" w:color="000000"/>
              <w:bottom w:val="single" w:sz="6" w:space="0" w:color="000000"/>
            </w:tcBorders>
            <w:vAlign w:val="center"/>
          </w:tcPr>
          <w:p w14:paraId="766B9F9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42" w:type="dxa"/>
            <w:tcBorders>
              <w:top w:val="single" w:sz="6" w:space="0" w:color="000000"/>
              <w:left w:val="single" w:sz="6" w:space="0" w:color="000000"/>
              <w:bottom w:val="single" w:sz="6" w:space="0" w:color="000000"/>
            </w:tcBorders>
            <w:vAlign w:val="center"/>
          </w:tcPr>
          <w:p w14:paraId="19D6408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TZL</w:t>
            </w:r>
          </w:p>
        </w:tc>
        <w:tc>
          <w:tcPr>
            <w:tcW w:w="1043" w:type="dxa"/>
            <w:tcBorders>
              <w:top w:val="single" w:sz="6" w:space="0" w:color="000000"/>
              <w:left w:val="single" w:sz="6" w:space="0" w:color="000000"/>
              <w:bottom w:val="single" w:sz="6" w:space="0" w:color="000000"/>
            </w:tcBorders>
          </w:tcPr>
          <w:p w14:paraId="4B76EE0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CO</w:t>
            </w:r>
          </w:p>
        </w:tc>
        <w:tc>
          <w:tcPr>
            <w:tcW w:w="1043" w:type="dxa"/>
            <w:tcBorders>
              <w:top w:val="single" w:sz="6" w:space="0" w:color="000000"/>
              <w:left w:val="single" w:sz="6" w:space="0" w:color="000000"/>
              <w:bottom w:val="single" w:sz="6" w:space="0" w:color="000000"/>
            </w:tcBorders>
            <w:vAlign w:val="center"/>
          </w:tcPr>
          <w:p w14:paraId="2C96AB6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42" w:type="dxa"/>
            <w:tcBorders>
              <w:top w:val="single" w:sz="6" w:space="0" w:color="000000"/>
              <w:left w:val="single" w:sz="6" w:space="0" w:color="000000"/>
              <w:bottom w:val="single" w:sz="6" w:space="0" w:color="000000"/>
            </w:tcBorders>
            <w:vAlign w:val="center"/>
          </w:tcPr>
          <w:p w14:paraId="2B3B84D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43" w:type="dxa"/>
            <w:tcBorders>
              <w:top w:val="single" w:sz="6" w:space="0" w:color="000000"/>
              <w:left w:val="single" w:sz="6" w:space="0" w:color="000000"/>
              <w:bottom w:val="single" w:sz="6" w:space="0" w:color="000000"/>
            </w:tcBorders>
            <w:vAlign w:val="center"/>
          </w:tcPr>
          <w:p w14:paraId="2563D27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TZL</w:t>
            </w:r>
          </w:p>
        </w:tc>
        <w:tc>
          <w:tcPr>
            <w:tcW w:w="706" w:type="dxa"/>
            <w:tcBorders>
              <w:top w:val="single" w:sz="6" w:space="0" w:color="000000"/>
              <w:left w:val="single" w:sz="6" w:space="0" w:color="000000"/>
              <w:bottom w:val="single" w:sz="6" w:space="0" w:color="000000"/>
              <w:right w:val="single" w:sz="4" w:space="0" w:color="000000"/>
            </w:tcBorders>
          </w:tcPr>
          <w:p w14:paraId="018E1F7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CO</w:t>
            </w:r>
          </w:p>
        </w:tc>
      </w:tr>
      <w:tr w:rsidR="00E40657" w14:paraId="24C12CF0" w14:textId="77777777" w:rsidTr="00B15037">
        <w:tc>
          <w:tcPr>
            <w:tcW w:w="2536" w:type="dxa"/>
            <w:tcBorders>
              <w:top w:val="single" w:sz="6" w:space="0" w:color="000000"/>
              <w:left w:val="single" w:sz="4" w:space="0" w:color="000000"/>
              <w:bottom w:val="single" w:sz="6" w:space="0" w:color="000000"/>
            </w:tcBorders>
            <w:vAlign w:val="center"/>
          </w:tcPr>
          <w:p w14:paraId="1A712E08"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Pevné palivo obecně</w:t>
            </w:r>
          </w:p>
        </w:tc>
        <w:tc>
          <w:tcPr>
            <w:tcW w:w="1042" w:type="dxa"/>
            <w:tcBorders>
              <w:top w:val="single" w:sz="6" w:space="0" w:color="000000"/>
              <w:left w:val="single" w:sz="6" w:space="0" w:color="000000"/>
              <w:bottom w:val="single" w:sz="6" w:space="0" w:color="000000"/>
            </w:tcBorders>
          </w:tcPr>
          <w:p w14:paraId="02FF9C3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p>
        </w:tc>
        <w:tc>
          <w:tcPr>
            <w:tcW w:w="1043" w:type="dxa"/>
            <w:tcBorders>
              <w:top w:val="single" w:sz="6" w:space="0" w:color="000000"/>
              <w:left w:val="single" w:sz="6" w:space="0" w:color="000000"/>
              <w:bottom w:val="single" w:sz="6" w:space="0" w:color="000000"/>
            </w:tcBorders>
          </w:tcPr>
          <w:p w14:paraId="23196D8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p>
          <w:p w14:paraId="218BDC0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0D85501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2" w:type="dxa"/>
            <w:tcBorders>
              <w:top w:val="single" w:sz="6" w:space="0" w:color="000000"/>
              <w:left w:val="single" w:sz="6" w:space="0" w:color="000000"/>
              <w:bottom w:val="single" w:sz="6" w:space="0" w:color="000000"/>
            </w:tcBorders>
          </w:tcPr>
          <w:p w14:paraId="4E5F324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35182A5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7B1D9BC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2" w:type="dxa"/>
            <w:tcBorders>
              <w:top w:val="single" w:sz="6" w:space="0" w:color="000000"/>
              <w:left w:val="single" w:sz="6" w:space="0" w:color="000000"/>
              <w:bottom w:val="single" w:sz="6" w:space="0" w:color="000000"/>
            </w:tcBorders>
          </w:tcPr>
          <w:p w14:paraId="39ED2BE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3" w:type="dxa"/>
            <w:tcBorders>
              <w:top w:val="single" w:sz="6" w:space="0" w:color="000000"/>
              <w:left w:val="single" w:sz="6" w:space="0" w:color="000000"/>
              <w:bottom w:val="single" w:sz="6" w:space="0" w:color="000000"/>
            </w:tcBorders>
          </w:tcPr>
          <w:p w14:paraId="5AB93ED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0FAB96D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p w14:paraId="44C78C4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2)</w:t>
            </w:r>
          </w:p>
        </w:tc>
        <w:tc>
          <w:tcPr>
            <w:tcW w:w="1042" w:type="dxa"/>
            <w:tcBorders>
              <w:top w:val="single" w:sz="6" w:space="0" w:color="000000"/>
              <w:left w:val="single" w:sz="6" w:space="0" w:color="000000"/>
              <w:bottom w:val="single" w:sz="6" w:space="0" w:color="000000"/>
            </w:tcBorders>
          </w:tcPr>
          <w:p w14:paraId="365E550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p w14:paraId="5BF05BA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1)</w:t>
            </w:r>
          </w:p>
        </w:tc>
        <w:tc>
          <w:tcPr>
            <w:tcW w:w="1043" w:type="dxa"/>
            <w:tcBorders>
              <w:top w:val="single" w:sz="6" w:space="0" w:color="000000"/>
              <w:left w:val="single" w:sz="6" w:space="0" w:color="000000"/>
              <w:bottom w:val="single" w:sz="6" w:space="0" w:color="000000"/>
            </w:tcBorders>
          </w:tcPr>
          <w:p w14:paraId="2EF8463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706" w:type="dxa"/>
            <w:tcBorders>
              <w:top w:val="single" w:sz="6" w:space="0" w:color="000000"/>
              <w:left w:val="single" w:sz="6" w:space="0" w:color="000000"/>
              <w:bottom w:val="single" w:sz="6" w:space="0" w:color="000000"/>
              <w:right w:val="single" w:sz="4" w:space="0" w:color="000000"/>
            </w:tcBorders>
          </w:tcPr>
          <w:p w14:paraId="05ABA40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r>
      <w:tr w:rsidR="00E40657" w14:paraId="70298C8C" w14:textId="77777777" w:rsidTr="00B15037">
        <w:tc>
          <w:tcPr>
            <w:tcW w:w="2536" w:type="dxa"/>
            <w:tcBorders>
              <w:top w:val="single" w:sz="6" w:space="0" w:color="000000"/>
              <w:left w:val="single" w:sz="4" w:space="0" w:color="000000"/>
              <w:bottom w:val="single" w:sz="6" w:space="0" w:color="000000"/>
            </w:tcBorders>
            <w:vAlign w:val="center"/>
          </w:tcPr>
          <w:p w14:paraId="21E5BF18"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Biomasa</w:t>
            </w:r>
          </w:p>
        </w:tc>
        <w:tc>
          <w:tcPr>
            <w:tcW w:w="1042" w:type="dxa"/>
            <w:tcBorders>
              <w:top w:val="single" w:sz="6" w:space="0" w:color="000000"/>
              <w:left w:val="single" w:sz="6" w:space="0" w:color="000000"/>
              <w:bottom w:val="single" w:sz="6" w:space="0" w:color="000000"/>
            </w:tcBorders>
          </w:tcPr>
          <w:p w14:paraId="05E0AF4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17B0C2B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732A6F0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2" w:type="dxa"/>
            <w:tcBorders>
              <w:top w:val="single" w:sz="6" w:space="0" w:color="000000"/>
              <w:left w:val="single" w:sz="6" w:space="0" w:color="000000"/>
              <w:bottom w:val="single" w:sz="6" w:space="0" w:color="000000"/>
            </w:tcBorders>
          </w:tcPr>
          <w:p w14:paraId="3DF207C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09214BF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5D6C011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2" w:type="dxa"/>
            <w:tcBorders>
              <w:top w:val="single" w:sz="6" w:space="0" w:color="000000"/>
              <w:left w:val="single" w:sz="6" w:space="0" w:color="000000"/>
              <w:bottom w:val="single" w:sz="6" w:space="0" w:color="000000"/>
            </w:tcBorders>
          </w:tcPr>
          <w:p w14:paraId="1371EE2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3" w:type="dxa"/>
            <w:tcBorders>
              <w:top w:val="single" w:sz="6" w:space="0" w:color="000000"/>
              <w:left w:val="single" w:sz="6" w:space="0" w:color="000000"/>
              <w:bottom w:val="single" w:sz="6" w:space="0" w:color="000000"/>
            </w:tcBorders>
          </w:tcPr>
          <w:p w14:paraId="14CAF7A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498AE00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tc>
        <w:tc>
          <w:tcPr>
            <w:tcW w:w="1042" w:type="dxa"/>
            <w:tcBorders>
              <w:top w:val="single" w:sz="6" w:space="0" w:color="000000"/>
              <w:left w:val="single" w:sz="6" w:space="0" w:color="000000"/>
              <w:bottom w:val="single" w:sz="6" w:space="0" w:color="000000"/>
            </w:tcBorders>
          </w:tcPr>
          <w:p w14:paraId="6FC19F7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tc>
        <w:tc>
          <w:tcPr>
            <w:tcW w:w="1043" w:type="dxa"/>
            <w:tcBorders>
              <w:top w:val="single" w:sz="6" w:space="0" w:color="000000"/>
              <w:left w:val="single" w:sz="6" w:space="0" w:color="000000"/>
              <w:bottom w:val="single" w:sz="6" w:space="0" w:color="000000"/>
            </w:tcBorders>
          </w:tcPr>
          <w:p w14:paraId="720FB58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706" w:type="dxa"/>
            <w:tcBorders>
              <w:top w:val="single" w:sz="6" w:space="0" w:color="000000"/>
              <w:left w:val="single" w:sz="6" w:space="0" w:color="000000"/>
              <w:bottom w:val="single" w:sz="6" w:space="0" w:color="000000"/>
              <w:right w:val="single" w:sz="4" w:space="0" w:color="000000"/>
            </w:tcBorders>
          </w:tcPr>
          <w:p w14:paraId="5FB2F9E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r>
      <w:tr w:rsidR="00E40657" w14:paraId="7F5F31F7" w14:textId="77777777" w:rsidTr="00B15037">
        <w:tc>
          <w:tcPr>
            <w:tcW w:w="2536" w:type="dxa"/>
            <w:tcBorders>
              <w:top w:val="single" w:sz="6" w:space="0" w:color="000000"/>
              <w:left w:val="single" w:sz="4" w:space="0" w:color="000000"/>
              <w:bottom w:val="single" w:sz="6" w:space="0" w:color="000000"/>
            </w:tcBorders>
            <w:vAlign w:val="center"/>
          </w:tcPr>
          <w:p w14:paraId="0501C635"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Rašelina</w:t>
            </w:r>
          </w:p>
        </w:tc>
        <w:tc>
          <w:tcPr>
            <w:tcW w:w="1042" w:type="dxa"/>
            <w:tcBorders>
              <w:top w:val="single" w:sz="6" w:space="0" w:color="000000"/>
              <w:left w:val="single" w:sz="6" w:space="0" w:color="000000"/>
              <w:bottom w:val="single" w:sz="6" w:space="0" w:color="000000"/>
            </w:tcBorders>
          </w:tcPr>
          <w:p w14:paraId="301D8FB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p>
        </w:tc>
        <w:tc>
          <w:tcPr>
            <w:tcW w:w="1043" w:type="dxa"/>
            <w:tcBorders>
              <w:top w:val="single" w:sz="6" w:space="0" w:color="000000"/>
              <w:left w:val="single" w:sz="6" w:space="0" w:color="000000"/>
              <w:bottom w:val="single" w:sz="6" w:space="0" w:color="000000"/>
            </w:tcBorders>
          </w:tcPr>
          <w:p w14:paraId="791FE6C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57E5451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2" w:type="dxa"/>
            <w:tcBorders>
              <w:top w:val="single" w:sz="6" w:space="0" w:color="000000"/>
              <w:left w:val="single" w:sz="6" w:space="0" w:color="000000"/>
              <w:bottom w:val="single" w:sz="6" w:space="0" w:color="000000"/>
            </w:tcBorders>
          </w:tcPr>
          <w:p w14:paraId="1197A93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02438F7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p>
          <w:p w14:paraId="74E415C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r w:rsidRPr="0030358C">
              <w:rPr>
                <w:rFonts w:ascii="Arial" w:hAnsi="Arial" w:cs="Arial"/>
                <w:b/>
                <w:bCs/>
                <w:sz w:val="22"/>
                <w:szCs w:val="22"/>
                <w:vertAlign w:val="superscript"/>
              </w:rPr>
              <w:t>2)</w:t>
            </w:r>
          </w:p>
        </w:tc>
        <w:tc>
          <w:tcPr>
            <w:tcW w:w="1043" w:type="dxa"/>
            <w:tcBorders>
              <w:top w:val="single" w:sz="6" w:space="0" w:color="000000"/>
              <w:left w:val="single" w:sz="6" w:space="0" w:color="000000"/>
              <w:bottom w:val="single" w:sz="6" w:space="0" w:color="000000"/>
            </w:tcBorders>
          </w:tcPr>
          <w:p w14:paraId="6D23968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2" w:type="dxa"/>
            <w:tcBorders>
              <w:top w:val="single" w:sz="6" w:space="0" w:color="000000"/>
              <w:left w:val="single" w:sz="6" w:space="0" w:color="000000"/>
              <w:bottom w:val="single" w:sz="6" w:space="0" w:color="000000"/>
            </w:tcBorders>
          </w:tcPr>
          <w:p w14:paraId="0952D54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3" w:type="dxa"/>
            <w:tcBorders>
              <w:top w:val="single" w:sz="6" w:space="0" w:color="000000"/>
              <w:left w:val="single" w:sz="6" w:space="0" w:color="000000"/>
              <w:bottom w:val="single" w:sz="6" w:space="0" w:color="000000"/>
            </w:tcBorders>
          </w:tcPr>
          <w:p w14:paraId="49CC874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c>
          <w:tcPr>
            <w:tcW w:w="1043" w:type="dxa"/>
            <w:tcBorders>
              <w:top w:val="single" w:sz="6" w:space="0" w:color="000000"/>
              <w:left w:val="single" w:sz="6" w:space="0" w:color="000000"/>
              <w:bottom w:val="single" w:sz="6" w:space="0" w:color="000000"/>
            </w:tcBorders>
          </w:tcPr>
          <w:p w14:paraId="466E155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p w14:paraId="0834A78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r w:rsidRPr="0030358C">
              <w:rPr>
                <w:rFonts w:ascii="Arial" w:hAnsi="Arial" w:cs="Arial"/>
                <w:b/>
                <w:bCs/>
                <w:sz w:val="22"/>
                <w:szCs w:val="22"/>
                <w:vertAlign w:val="superscript"/>
              </w:rPr>
              <w:t>2)</w:t>
            </w:r>
          </w:p>
        </w:tc>
        <w:tc>
          <w:tcPr>
            <w:tcW w:w="1042" w:type="dxa"/>
            <w:tcBorders>
              <w:top w:val="single" w:sz="6" w:space="0" w:color="000000"/>
              <w:left w:val="single" w:sz="6" w:space="0" w:color="000000"/>
              <w:bottom w:val="single" w:sz="6" w:space="0" w:color="000000"/>
            </w:tcBorders>
          </w:tcPr>
          <w:p w14:paraId="670CD85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tc>
        <w:tc>
          <w:tcPr>
            <w:tcW w:w="1043" w:type="dxa"/>
            <w:tcBorders>
              <w:top w:val="single" w:sz="6" w:space="0" w:color="000000"/>
              <w:left w:val="single" w:sz="6" w:space="0" w:color="000000"/>
              <w:bottom w:val="single" w:sz="6" w:space="0" w:color="000000"/>
            </w:tcBorders>
          </w:tcPr>
          <w:p w14:paraId="72D44EB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706" w:type="dxa"/>
            <w:tcBorders>
              <w:top w:val="single" w:sz="6" w:space="0" w:color="000000"/>
              <w:left w:val="single" w:sz="6" w:space="0" w:color="000000"/>
              <w:bottom w:val="single" w:sz="6" w:space="0" w:color="000000"/>
              <w:right w:val="single" w:sz="4" w:space="0" w:color="000000"/>
            </w:tcBorders>
          </w:tcPr>
          <w:p w14:paraId="55DC4C1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250</w:t>
            </w:r>
          </w:p>
        </w:tc>
      </w:tr>
      <w:tr w:rsidR="00E40657" w14:paraId="5708AFF4" w14:textId="77777777" w:rsidTr="00B15037">
        <w:tc>
          <w:tcPr>
            <w:tcW w:w="2536" w:type="dxa"/>
            <w:tcBorders>
              <w:top w:val="single" w:sz="6" w:space="0" w:color="000000"/>
              <w:left w:val="single" w:sz="4" w:space="0" w:color="000000"/>
              <w:bottom w:val="single" w:sz="6" w:space="0" w:color="000000"/>
            </w:tcBorders>
            <w:vAlign w:val="center"/>
          </w:tcPr>
          <w:p w14:paraId="020CD25C"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Kapalné palivo obecně</w:t>
            </w:r>
          </w:p>
        </w:tc>
        <w:tc>
          <w:tcPr>
            <w:tcW w:w="1042" w:type="dxa"/>
            <w:tcBorders>
              <w:top w:val="single" w:sz="6" w:space="0" w:color="000000"/>
              <w:left w:val="single" w:sz="6" w:space="0" w:color="000000"/>
              <w:bottom w:val="single" w:sz="6" w:space="0" w:color="000000"/>
            </w:tcBorders>
          </w:tcPr>
          <w:p w14:paraId="40EED03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350</w:t>
            </w:r>
          </w:p>
        </w:tc>
        <w:tc>
          <w:tcPr>
            <w:tcW w:w="1043" w:type="dxa"/>
            <w:tcBorders>
              <w:top w:val="single" w:sz="6" w:space="0" w:color="000000"/>
              <w:left w:val="single" w:sz="6" w:space="0" w:color="000000"/>
              <w:bottom w:val="single" w:sz="6" w:space="0" w:color="000000"/>
            </w:tcBorders>
          </w:tcPr>
          <w:p w14:paraId="24B5A73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p>
          <w:p w14:paraId="67DBE6E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5)</w:t>
            </w:r>
          </w:p>
        </w:tc>
        <w:tc>
          <w:tcPr>
            <w:tcW w:w="1043" w:type="dxa"/>
            <w:tcBorders>
              <w:top w:val="single" w:sz="6" w:space="0" w:color="000000"/>
              <w:left w:val="single" w:sz="6" w:space="0" w:color="000000"/>
              <w:bottom w:val="single" w:sz="6" w:space="0" w:color="000000"/>
            </w:tcBorders>
          </w:tcPr>
          <w:p w14:paraId="7A361F8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2" w:type="dxa"/>
            <w:tcBorders>
              <w:top w:val="single" w:sz="6" w:space="0" w:color="000000"/>
              <w:left w:val="single" w:sz="6" w:space="0" w:color="000000"/>
              <w:bottom w:val="single" w:sz="6" w:space="0" w:color="000000"/>
            </w:tcBorders>
          </w:tcPr>
          <w:p w14:paraId="096488A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p>
          <w:p w14:paraId="70DB96B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c>
          <w:tcPr>
            <w:tcW w:w="1043" w:type="dxa"/>
            <w:tcBorders>
              <w:top w:val="single" w:sz="6" w:space="0" w:color="000000"/>
              <w:left w:val="single" w:sz="6" w:space="0" w:color="000000"/>
              <w:bottom w:val="single" w:sz="6" w:space="0" w:color="000000"/>
            </w:tcBorders>
          </w:tcPr>
          <w:p w14:paraId="33326DE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30AE4AF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p w14:paraId="297E099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5)</w:t>
            </w:r>
          </w:p>
        </w:tc>
        <w:tc>
          <w:tcPr>
            <w:tcW w:w="1042" w:type="dxa"/>
            <w:tcBorders>
              <w:top w:val="single" w:sz="6" w:space="0" w:color="000000"/>
              <w:left w:val="single" w:sz="6" w:space="0" w:color="000000"/>
              <w:bottom w:val="single" w:sz="6" w:space="0" w:color="000000"/>
            </w:tcBorders>
          </w:tcPr>
          <w:p w14:paraId="6341EFD7"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w:t>
            </w:r>
          </w:p>
        </w:tc>
        <w:tc>
          <w:tcPr>
            <w:tcW w:w="1043" w:type="dxa"/>
            <w:tcBorders>
              <w:top w:val="single" w:sz="6" w:space="0" w:color="000000"/>
              <w:left w:val="single" w:sz="6" w:space="0" w:color="000000"/>
              <w:bottom w:val="single" w:sz="6" w:space="0" w:color="000000"/>
            </w:tcBorders>
          </w:tcPr>
          <w:p w14:paraId="739B081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p>
          <w:p w14:paraId="1D920CE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c>
          <w:tcPr>
            <w:tcW w:w="1043" w:type="dxa"/>
            <w:tcBorders>
              <w:top w:val="single" w:sz="6" w:space="0" w:color="000000"/>
              <w:left w:val="single" w:sz="6" w:space="0" w:color="000000"/>
              <w:bottom w:val="single" w:sz="6" w:space="0" w:color="000000"/>
            </w:tcBorders>
          </w:tcPr>
          <w:p w14:paraId="0706F7A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tc>
        <w:tc>
          <w:tcPr>
            <w:tcW w:w="1042" w:type="dxa"/>
            <w:tcBorders>
              <w:top w:val="single" w:sz="6" w:space="0" w:color="000000"/>
              <w:left w:val="single" w:sz="6" w:space="0" w:color="000000"/>
              <w:bottom w:val="single" w:sz="6" w:space="0" w:color="000000"/>
            </w:tcBorders>
          </w:tcPr>
          <w:p w14:paraId="3158934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p w14:paraId="2E179038"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5)</w:t>
            </w:r>
          </w:p>
        </w:tc>
        <w:tc>
          <w:tcPr>
            <w:tcW w:w="1043" w:type="dxa"/>
            <w:tcBorders>
              <w:top w:val="single" w:sz="6" w:space="0" w:color="000000"/>
              <w:left w:val="single" w:sz="6" w:space="0" w:color="000000"/>
              <w:bottom w:val="single" w:sz="6" w:space="0" w:color="000000"/>
            </w:tcBorders>
          </w:tcPr>
          <w:p w14:paraId="5904845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706" w:type="dxa"/>
            <w:tcBorders>
              <w:top w:val="single" w:sz="6" w:space="0" w:color="000000"/>
              <w:left w:val="single" w:sz="6" w:space="0" w:color="000000"/>
              <w:bottom w:val="single" w:sz="6" w:space="0" w:color="000000"/>
              <w:right w:val="single" w:sz="4" w:space="0" w:color="000000"/>
            </w:tcBorders>
          </w:tcPr>
          <w:p w14:paraId="1D56E3B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p>
          <w:p w14:paraId="2969B31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r>
      <w:tr w:rsidR="00E40657" w14:paraId="119BCD3C" w14:textId="77777777" w:rsidTr="00B15037">
        <w:tc>
          <w:tcPr>
            <w:tcW w:w="2536" w:type="dxa"/>
            <w:tcBorders>
              <w:top w:val="single" w:sz="6" w:space="0" w:color="000000"/>
              <w:left w:val="single" w:sz="4" w:space="0" w:color="000000"/>
              <w:bottom w:val="single" w:sz="6" w:space="0" w:color="000000"/>
            </w:tcBorders>
            <w:vAlign w:val="center"/>
          </w:tcPr>
          <w:p w14:paraId="035316BC"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Zkapalněný plyn</w:t>
            </w:r>
          </w:p>
        </w:tc>
        <w:tc>
          <w:tcPr>
            <w:tcW w:w="1042" w:type="dxa"/>
            <w:tcBorders>
              <w:top w:val="single" w:sz="6" w:space="0" w:color="000000"/>
              <w:left w:val="single" w:sz="6" w:space="0" w:color="000000"/>
              <w:bottom w:val="single" w:sz="6" w:space="0" w:color="000000"/>
            </w:tcBorders>
          </w:tcPr>
          <w:p w14:paraId="259BDDC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6" w:space="0" w:color="000000"/>
            </w:tcBorders>
          </w:tcPr>
          <w:p w14:paraId="6797C69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300</w:t>
            </w:r>
          </w:p>
        </w:tc>
        <w:tc>
          <w:tcPr>
            <w:tcW w:w="1043" w:type="dxa"/>
            <w:tcBorders>
              <w:top w:val="single" w:sz="6" w:space="0" w:color="000000"/>
              <w:left w:val="single" w:sz="6" w:space="0" w:color="000000"/>
              <w:bottom w:val="single" w:sz="6" w:space="0" w:color="000000"/>
            </w:tcBorders>
          </w:tcPr>
          <w:p w14:paraId="44AAF25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2" w:type="dxa"/>
            <w:tcBorders>
              <w:top w:val="single" w:sz="6" w:space="0" w:color="000000"/>
              <w:left w:val="single" w:sz="6" w:space="0" w:color="000000"/>
              <w:bottom w:val="single" w:sz="6" w:space="0" w:color="000000"/>
            </w:tcBorders>
          </w:tcPr>
          <w:p w14:paraId="6D1FB8C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p>
          <w:p w14:paraId="750003C7" w14:textId="77777777" w:rsidR="006945AD" w:rsidRPr="0030358C" w:rsidRDefault="006945AD" w:rsidP="006945AD">
            <w:pPr>
              <w:keepNext/>
              <w:widowControl w:val="0"/>
              <w:numPr>
                <w:ilvl w:val="0"/>
                <w:numId w:val="15"/>
              </w:numPr>
              <w:jc w:val="center"/>
              <w:rPr>
                <w:rFonts w:ascii="Arial" w:hAnsi="Arial" w:cs="Arial"/>
                <w:b/>
                <w:bCs/>
                <w:sz w:val="22"/>
                <w:szCs w:val="22"/>
              </w:rPr>
            </w:pPr>
          </w:p>
        </w:tc>
        <w:tc>
          <w:tcPr>
            <w:tcW w:w="1043" w:type="dxa"/>
            <w:tcBorders>
              <w:top w:val="single" w:sz="6" w:space="0" w:color="000000"/>
              <w:left w:val="single" w:sz="6" w:space="0" w:color="000000"/>
              <w:bottom w:val="single" w:sz="6" w:space="0" w:color="000000"/>
            </w:tcBorders>
          </w:tcPr>
          <w:p w14:paraId="1C9DDBB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6" w:space="0" w:color="000000"/>
            </w:tcBorders>
          </w:tcPr>
          <w:p w14:paraId="6F0296A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tc>
        <w:tc>
          <w:tcPr>
            <w:tcW w:w="1042" w:type="dxa"/>
            <w:tcBorders>
              <w:top w:val="single" w:sz="6" w:space="0" w:color="000000"/>
              <w:left w:val="single" w:sz="6" w:space="0" w:color="000000"/>
              <w:bottom w:val="single" w:sz="6" w:space="0" w:color="000000"/>
            </w:tcBorders>
          </w:tcPr>
          <w:p w14:paraId="515B689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6" w:space="0" w:color="000000"/>
            </w:tcBorders>
          </w:tcPr>
          <w:p w14:paraId="3AC7C7D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p>
        </w:tc>
        <w:tc>
          <w:tcPr>
            <w:tcW w:w="1043" w:type="dxa"/>
            <w:tcBorders>
              <w:top w:val="single" w:sz="6" w:space="0" w:color="000000"/>
              <w:left w:val="single" w:sz="6" w:space="0" w:color="000000"/>
              <w:bottom w:val="single" w:sz="6" w:space="0" w:color="000000"/>
            </w:tcBorders>
          </w:tcPr>
          <w:p w14:paraId="1D494C6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2" w:type="dxa"/>
            <w:tcBorders>
              <w:top w:val="single" w:sz="6" w:space="0" w:color="000000"/>
              <w:left w:val="single" w:sz="6" w:space="0" w:color="000000"/>
              <w:bottom w:val="single" w:sz="6" w:space="0" w:color="000000"/>
            </w:tcBorders>
          </w:tcPr>
          <w:p w14:paraId="2005F7F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150</w:t>
            </w:r>
          </w:p>
        </w:tc>
        <w:tc>
          <w:tcPr>
            <w:tcW w:w="1043" w:type="dxa"/>
            <w:tcBorders>
              <w:top w:val="single" w:sz="6" w:space="0" w:color="000000"/>
              <w:left w:val="single" w:sz="6" w:space="0" w:color="000000"/>
              <w:bottom w:val="single" w:sz="6" w:space="0" w:color="000000"/>
            </w:tcBorders>
          </w:tcPr>
          <w:p w14:paraId="2005CC8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706" w:type="dxa"/>
            <w:tcBorders>
              <w:top w:val="single" w:sz="6" w:space="0" w:color="000000"/>
              <w:left w:val="single" w:sz="6" w:space="0" w:color="000000"/>
              <w:bottom w:val="single" w:sz="6" w:space="0" w:color="000000"/>
              <w:right w:val="single" w:sz="4" w:space="0" w:color="000000"/>
            </w:tcBorders>
          </w:tcPr>
          <w:p w14:paraId="1984AADE"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175</w:t>
            </w:r>
          </w:p>
        </w:tc>
      </w:tr>
      <w:tr w:rsidR="00E40657" w14:paraId="60B21C92" w14:textId="77777777" w:rsidTr="00B15037">
        <w:tc>
          <w:tcPr>
            <w:tcW w:w="2536" w:type="dxa"/>
            <w:tcBorders>
              <w:top w:val="single" w:sz="6" w:space="0" w:color="000000"/>
              <w:left w:val="single" w:sz="4" w:space="0" w:color="000000"/>
              <w:bottom w:val="single" w:sz="6" w:space="0" w:color="000000"/>
            </w:tcBorders>
            <w:vAlign w:val="center"/>
          </w:tcPr>
          <w:p w14:paraId="211D2E52" w14:textId="77777777" w:rsidR="00B968C1" w:rsidRPr="0030358C" w:rsidRDefault="00000000" w:rsidP="00B968C1">
            <w:pPr>
              <w:keepNext/>
              <w:widowControl w:val="0"/>
              <w:numPr>
                <w:ilvl w:val="0"/>
                <w:numId w:val="15"/>
              </w:numPr>
              <w:rPr>
                <w:rFonts w:ascii="Arial" w:hAnsi="Arial" w:cs="Arial"/>
                <w:b/>
                <w:bCs/>
                <w:sz w:val="22"/>
                <w:szCs w:val="22"/>
              </w:rPr>
            </w:pPr>
            <w:r w:rsidRPr="0030358C">
              <w:rPr>
                <w:rFonts w:ascii="Arial" w:hAnsi="Arial" w:cs="Arial"/>
                <w:b/>
                <w:bCs/>
                <w:sz w:val="22"/>
                <w:szCs w:val="22"/>
              </w:rPr>
              <w:t>Plynné palivo obecně</w:t>
            </w:r>
          </w:p>
        </w:tc>
        <w:tc>
          <w:tcPr>
            <w:tcW w:w="1042" w:type="dxa"/>
            <w:tcBorders>
              <w:top w:val="single" w:sz="6" w:space="0" w:color="000000"/>
              <w:left w:val="single" w:sz="6" w:space="0" w:color="000000"/>
              <w:bottom w:val="single" w:sz="6" w:space="0" w:color="000000"/>
            </w:tcBorders>
          </w:tcPr>
          <w:p w14:paraId="7786CA1D"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6)</w:t>
            </w:r>
          </w:p>
        </w:tc>
        <w:tc>
          <w:tcPr>
            <w:tcW w:w="1043" w:type="dxa"/>
            <w:tcBorders>
              <w:top w:val="single" w:sz="6" w:space="0" w:color="000000"/>
              <w:left w:val="single" w:sz="6" w:space="0" w:color="000000"/>
              <w:bottom w:val="single" w:sz="6" w:space="0" w:color="000000"/>
            </w:tcBorders>
          </w:tcPr>
          <w:p w14:paraId="0904C1EF"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p w14:paraId="1690A9FF"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3)</w:t>
            </w:r>
          </w:p>
          <w:p w14:paraId="46D649A5"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75</w:t>
            </w:r>
            <w:r w:rsidRPr="0030358C">
              <w:rPr>
                <w:rFonts w:ascii="Arial" w:hAnsi="Arial" w:cs="Arial"/>
                <w:b/>
                <w:bCs/>
                <w:sz w:val="22"/>
                <w:szCs w:val="22"/>
                <w:vertAlign w:val="superscript"/>
              </w:rPr>
              <w:t>4)</w:t>
            </w:r>
          </w:p>
        </w:tc>
        <w:tc>
          <w:tcPr>
            <w:tcW w:w="1043" w:type="dxa"/>
            <w:tcBorders>
              <w:top w:val="single" w:sz="6" w:space="0" w:color="000000"/>
              <w:left w:val="single" w:sz="6" w:space="0" w:color="000000"/>
              <w:bottom w:val="single" w:sz="6" w:space="0" w:color="000000"/>
            </w:tcBorders>
          </w:tcPr>
          <w:p w14:paraId="25D406A6"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6)</w:t>
            </w:r>
          </w:p>
        </w:tc>
        <w:tc>
          <w:tcPr>
            <w:tcW w:w="1042" w:type="dxa"/>
            <w:tcBorders>
              <w:top w:val="single" w:sz="6" w:space="0" w:color="000000"/>
              <w:left w:val="single" w:sz="6" w:space="0" w:color="000000"/>
              <w:bottom w:val="single" w:sz="6" w:space="0" w:color="000000"/>
            </w:tcBorders>
          </w:tcPr>
          <w:p w14:paraId="520FE1A0"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464F905D"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6)</w:t>
            </w:r>
          </w:p>
        </w:tc>
        <w:tc>
          <w:tcPr>
            <w:tcW w:w="1043" w:type="dxa"/>
            <w:tcBorders>
              <w:top w:val="single" w:sz="6" w:space="0" w:color="000000"/>
              <w:left w:val="single" w:sz="6" w:space="0" w:color="000000"/>
              <w:bottom w:val="single" w:sz="6" w:space="0" w:color="000000"/>
            </w:tcBorders>
          </w:tcPr>
          <w:p w14:paraId="7562266F"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p w14:paraId="51696AAE"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3)</w:t>
            </w:r>
          </w:p>
          <w:p w14:paraId="542E86E0"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75</w:t>
            </w:r>
            <w:r w:rsidRPr="0030358C">
              <w:rPr>
                <w:rFonts w:ascii="Arial" w:hAnsi="Arial" w:cs="Arial"/>
                <w:b/>
                <w:bCs/>
                <w:sz w:val="22"/>
                <w:szCs w:val="22"/>
                <w:vertAlign w:val="superscript"/>
              </w:rPr>
              <w:t>4)</w:t>
            </w:r>
          </w:p>
        </w:tc>
        <w:tc>
          <w:tcPr>
            <w:tcW w:w="1042" w:type="dxa"/>
            <w:tcBorders>
              <w:top w:val="single" w:sz="6" w:space="0" w:color="000000"/>
              <w:left w:val="single" w:sz="6" w:space="0" w:color="000000"/>
              <w:bottom w:val="single" w:sz="6" w:space="0" w:color="000000"/>
            </w:tcBorders>
          </w:tcPr>
          <w:p w14:paraId="17F92E46"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6)</w:t>
            </w:r>
          </w:p>
        </w:tc>
        <w:tc>
          <w:tcPr>
            <w:tcW w:w="1043" w:type="dxa"/>
            <w:tcBorders>
              <w:top w:val="single" w:sz="6" w:space="0" w:color="000000"/>
              <w:left w:val="single" w:sz="6" w:space="0" w:color="000000"/>
              <w:bottom w:val="single" w:sz="6" w:space="0" w:color="000000"/>
            </w:tcBorders>
          </w:tcPr>
          <w:p w14:paraId="4D70E050"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7E5A2F55"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6)</w:t>
            </w:r>
          </w:p>
        </w:tc>
        <w:tc>
          <w:tcPr>
            <w:tcW w:w="1042" w:type="dxa"/>
            <w:tcBorders>
              <w:top w:val="single" w:sz="6" w:space="0" w:color="000000"/>
              <w:left w:val="single" w:sz="6" w:space="0" w:color="000000"/>
              <w:bottom w:val="single" w:sz="6" w:space="0" w:color="000000"/>
            </w:tcBorders>
          </w:tcPr>
          <w:p w14:paraId="64D6BAA6"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p w14:paraId="1CC36C5E"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3)</w:t>
            </w:r>
          </w:p>
          <w:p w14:paraId="10210182"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75</w:t>
            </w:r>
            <w:r w:rsidRPr="0030358C">
              <w:rPr>
                <w:rFonts w:ascii="Arial" w:hAnsi="Arial" w:cs="Arial"/>
                <w:b/>
                <w:bCs/>
                <w:sz w:val="22"/>
                <w:szCs w:val="22"/>
                <w:vertAlign w:val="superscript"/>
              </w:rPr>
              <w:t>4)</w:t>
            </w:r>
          </w:p>
        </w:tc>
        <w:tc>
          <w:tcPr>
            <w:tcW w:w="1043" w:type="dxa"/>
            <w:tcBorders>
              <w:top w:val="single" w:sz="6" w:space="0" w:color="000000"/>
              <w:left w:val="single" w:sz="6" w:space="0" w:color="000000"/>
              <w:bottom w:val="single" w:sz="6" w:space="0" w:color="000000"/>
            </w:tcBorders>
          </w:tcPr>
          <w:p w14:paraId="5D4383E9"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6)</w:t>
            </w:r>
          </w:p>
        </w:tc>
        <w:tc>
          <w:tcPr>
            <w:tcW w:w="706" w:type="dxa"/>
            <w:tcBorders>
              <w:top w:val="single" w:sz="6" w:space="0" w:color="000000"/>
              <w:left w:val="single" w:sz="6" w:space="0" w:color="000000"/>
              <w:bottom w:val="single" w:sz="6" w:space="0" w:color="000000"/>
              <w:right w:val="single" w:sz="4" w:space="0" w:color="000000"/>
            </w:tcBorders>
          </w:tcPr>
          <w:p w14:paraId="02285784"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2E3CC1F4" w14:textId="77777777" w:rsidTr="00B15037">
        <w:tc>
          <w:tcPr>
            <w:tcW w:w="2536" w:type="dxa"/>
            <w:tcBorders>
              <w:top w:val="single" w:sz="6" w:space="0" w:color="000000"/>
              <w:left w:val="single" w:sz="4" w:space="0" w:color="000000"/>
              <w:bottom w:val="single" w:sz="6" w:space="0" w:color="000000"/>
            </w:tcBorders>
            <w:vAlign w:val="center"/>
          </w:tcPr>
          <w:p w14:paraId="2BFF0108" w14:textId="77777777" w:rsidR="00B968C1" w:rsidRPr="0030358C" w:rsidRDefault="00000000" w:rsidP="00B968C1">
            <w:pPr>
              <w:keepNext/>
              <w:widowControl w:val="0"/>
              <w:numPr>
                <w:ilvl w:val="0"/>
                <w:numId w:val="15"/>
              </w:numPr>
              <w:rPr>
                <w:rFonts w:ascii="Arial" w:hAnsi="Arial" w:cs="Arial"/>
                <w:b/>
                <w:bCs/>
                <w:sz w:val="22"/>
                <w:szCs w:val="22"/>
              </w:rPr>
            </w:pPr>
            <w:r w:rsidRPr="0030358C">
              <w:rPr>
                <w:rFonts w:ascii="Arial" w:hAnsi="Arial" w:cs="Arial"/>
                <w:b/>
                <w:bCs/>
                <w:sz w:val="22"/>
                <w:szCs w:val="22"/>
              </w:rPr>
              <w:t>Zemní plyn</w:t>
            </w:r>
          </w:p>
        </w:tc>
        <w:tc>
          <w:tcPr>
            <w:tcW w:w="1042" w:type="dxa"/>
            <w:tcBorders>
              <w:top w:val="single" w:sz="6" w:space="0" w:color="000000"/>
              <w:left w:val="single" w:sz="6" w:space="0" w:color="000000"/>
              <w:bottom w:val="single" w:sz="6" w:space="0" w:color="000000"/>
            </w:tcBorders>
          </w:tcPr>
          <w:p w14:paraId="70D76147"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6)</w:t>
            </w:r>
          </w:p>
        </w:tc>
        <w:tc>
          <w:tcPr>
            <w:tcW w:w="1043" w:type="dxa"/>
            <w:tcBorders>
              <w:top w:val="single" w:sz="6" w:space="0" w:color="000000"/>
              <w:left w:val="single" w:sz="6" w:space="0" w:color="000000"/>
              <w:bottom w:val="single" w:sz="6" w:space="0" w:color="000000"/>
            </w:tcBorders>
          </w:tcPr>
          <w:p w14:paraId="11BBC4AD"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p w14:paraId="6B74D944"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3)</w:t>
            </w:r>
          </w:p>
          <w:p w14:paraId="7CBFFD49"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75</w:t>
            </w:r>
            <w:r w:rsidRPr="0030358C">
              <w:rPr>
                <w:rFonts w:ascii="Arial" w:hAnsi="Arial" w:cs="Arial"/>
                <w:b/>
                <w:bCs/>
                <w:sz w:val="22"/>
                <w:szCs w:val="22"/>
                <w:vertAlign w:val="superscript"/>
              </w:rPr>
              <w:t>4)</w:t>
            </w:r>
          </w:p>
        </w:tc>
        <w:tc>
          <w:tcPr>
            <w:tcW w:w="1043" w:type="dxa"/>
            <w:tcBorders>
              <w:top w:val="single" w:sz="6" w:space="0" w:color="000000"/>
              <w:left w:val="single" w:sz="6" w:space="0" w:color="000000"/>
              <w:bottom w:val="single" w:sz="6" w:space="0" w:color="000000"/>
            </w:tcBorders>
          </w:tcPr>
          <w:p w14:paraId="6C64D5D3"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6)</w:t>
            </w:r>
          </w:p>
        </w:tc>
        <w:tc>
          <w:tcPr>
            <w:tcW w:w="1042" w:type="dxa"/>
            <w:tcBorders>
              <w:top w:val="single" w:sz="6" w:space="0" w:color="000000"/>
              <w:left w:val="single" w:sz="6" w:space="0" w:color="000000"/>
              <w:bottom w:val="single" w:sz="6" w:space="0" w:color="000000"/>
            </w:tcBorders>
          </w:tcPr>
          <w:p w14:paraId="736BE6AD"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0D7D71C3"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6)</w:t>
            </w:r>
          </w:p>
        </w:tc>
        <w:tc>
          <w:tcPr>
            <w:tcW w:w="1043" w:type="dxa"/>
            <w:tcBorders>
              <w:top w:val="single" w:sz="6" w:space="0" w:color="000000"/>
              <w:left w:val="single" w:sz="6" w:space="0" w:color="000000"/>
              <w:bottom w:val="single" w:sz="6" w:space="0" w:color="000000"/>
            </w:tcBorders>
          </w:tcPr>
          <w:p w14:paraId="20820382"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p w14:paraId="36CD5883"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3)</w:t>
            </w:r>
          </w:p>
          <w:p w14:paraId="7EC95B99"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75</w:t>
            </w:r>
            <w:r w:rsidRPr="0030358C">
              <w:rPr>
                <w:rFonts w:ascii="Arial" w:hAnsi="Arial" w:cs="Arial"/>
                <w:b/>
                <w:bCs/>
                <w:sz w:val="22"/>
                <w:szCs w:val="22"/>
                <w:vertAlign w:val="superscript"/>
              </w:rPr>
              <w:t>4)</w:t>
            </w:r>
          </w:p>
        </w:tc>
        <w:tc>
          <w:tcPr>
            <w:tcW w:w="1042" w:type="dxa"/>
            <w:tcBorders>
              <w:top w:val="single" w:sz="6" w:space="0" w:color="000000"/>
              <w:left w:val="single" w:sz="6" w:space="0" w:color="000000"/>
              <w:bottom w:val="single" w:sz="6" w:space="0" w:color="000000"/>
            </w:tcBorders>
          </w:tcPr>
          <w:p w14:paraId="0DCBFDC3"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6)</w:t>
            </w:r>
          </w:p>
        </w:tc>
        <w:tc>
          <w:tcPr>
            <w:tcW w:w="1043" w:type="dxa"/>
            <w:tcBorders>
              <w:top w:val="single" w:sz="6" w:space="0" w:color="000000"/>
              <w:left w:val="single" w:sz="6" w:space="0" w:color="000000"/>
              <w:bottom w:val="single" w:sz="6" w:space="0" w:color="000000"/>
            </w:tcBorders>
          </w:tcPr>
          <w:p w14:paraId="65D2DB02"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6528CC44"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6)</w:t>
            </w:r>
          </w:p>
        </w:tc>
        <w:tc>
          <w:tcPr>
            <w:tcW w:w="1042" w:type="dxa"/>
            <w:tcBorders>
              <w:top w:val="single" w:sz="6" w:space="0" w:color="000000"/>
              <w:left w:val="single" w:sz="6" w:space="0" w:color="000000"/>
              <w:bottom w:val="single" w:sz="6" w:space="0" w:color="000000"/>
            </w:tcBorders>
          </w:tcPr>
          <w:p w14:paraId="69314629"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p w14:paraId="225D7D98"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3)</w:t>
            </w:r>
          </w:p>
          <w:p w14:paraId="77A7FCDE"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75</w:t>
            </w:r>
            <w:r w:rsidRPr="0030358C">
              <w:rPr>
                <w:rFonts w:ascii="Arial" w:hAnsi="Arial" w:cs="Arial"/>
                <w:b/>
                <w:bCs/>
                <w:sz w:val="22"/>
                <w:szCs w:val="22"/>
                <w:vertAlign w:val="superscript"/>
              </w:rPr>
              <w:t>4)</w:t>
            </w:r>
          </w:p>
        </w:tc>
        <w:tc>
          <w:tcPr>
            <w:tcW w:w="1043" w:type="dxa"/>
            <w:tcBorders>
              <w:top w:val="single" w:sz="6" w:space="0" w:color="000000"/>
              <w:left w:val="single" w:sz="6" w:space="0" w:color="000000"/>
              <w:bottom w:val="single" w:sz="6" w:space="0" w:color="000000"/>
            </w:tcBorders>
          </w:tcPr>
          <w:p w14:paraId="029CC9E3" w14:textId="77777777" w:rsidR="00B968C1" w:rsidRPr="0030358C" w:rsidRDefault="00000000" w:rsidP="00B968C1">
            <w:pPr>
              <w:rPr>
                <w:rFonts w:ascii="Arial" w:hAnsi="Arial" w:cs="Arial"/>
                <w:b/>
                <w:bCs/>
                <w:sz w:val="22"/>
                <w:szCs w:val="22"/>
              </w:rPr>
            </w:pPr>
            <w:r w:rsidRPr="0030358C">
              <w:rPr>
                <w:rFonts w:ascii="Arial" w:hAnsi="Arial" w:cs="Arial"/>
                <w:b/>
                <w:bCs/>
                <w:sz w:val="22"/>
                <w:szCs w:val="22"/>
              </w:rPr>
              <w:t>5</w:t>
            </w:r>
            <w:r w:rsidRPr="0030358C">
              <w:rPr>
                <w:rFonts w:ascii="Arial" w:hAnsi="Arial" w:cs="Arial"/>
                <w:b/>
                <w:bCs/>
                <w:sz w:val="22"/>
                <w:szCs w:val="22"/>
                <w:vertAlign w:val="superscript"/>
              </w:rPr>
              <w:t>6)</w:t>
            </w:r>
          </w:p>
        </w:tc>
        <w:tc>
          <w:tcPr>
            <w:tcW w:w="706" w:type="dxa"/>
            <w:tcBorders>
              <w:top w:val="single" w:sz="6" w:space="0" w:color="000000"/>
              <w:left w:val="single" w:sz="6" w:space="0" w:color="000000"/>
              <w:bottom w:val="single" w:sz="6" w:space="0" w:color="000000"/>
              <w:right w:val="single" w:sz="4" w:space="0" w:color="000000"/>
            </w:tcBorders>
          </w:tcPr>
          <w:p w14:paraId="53F9B90B" w14:textId="77777777" w:rsidR="00B968C1" w:rsidRPr="0030358C" w:rsidRDefault="00000000" w:rsidP="00B968C1">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1A458498" w14:textId="77777777" w:rsidTr="00B15037">
        <w:tc>
          <w:tcPr>
            <w:tcW w:w="2536" w:type="dxa"/>
            <w:tcBorders>
              <w:top w:val="single" w:sz="6" w:space="0" w:color="000000"/>
              <w:left w:val="single" w:sz="4" w:space="0" w:color="000000"/>
              <w:bottom w:val="single" w:sz="6" w:space="0" w:color="000000"/>
            </w:tcBorders>
            <w:vAlign w:val="center"/>
          </w:tcPr>
          <w:p w14:paraId="6BE967C8"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Koksárenský plyn</w:t>
            </w:r>
          </w:p>
        </w:tc>
        <w:tc>
          <w:tcPr>
            <w:tcW w:w="1042" w:type="dxa"/>
            <w:tcBorders>
              <w:top w:val="single" w:sz="6" w:space="0" w:color="000000"/>
              <w:left w:val="single" w:sz="6" w:space="0" w:color="000000"/>
              <w:bottom w:val="single" w:sz="6" w:space="0" w:color="000000"/>
            </w:tcBorders>
          </w:tcPr>
          <w:p w14:paraId="743F620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p>
        </w:tc>
        <w:tc>
          <w:tcPr>
            <w:tcW w:w="1043" w:type="dxa"/>
            <w:tcBorders>
              <w:top w:val="single" w:sz="6" w:space="0" w:color="000000"/>
              <w:left w:val="single" w:sz="6" w:space="0" w:color="000000"/>
              <w:bottom w:val="single" w:sz="6" w:space="0" w:color="000000"/>
            </w:tcBorders>
          </w:tcPr>
          <w:p w14:paraId="3EA1C3C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5EE0532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1042" w:type="dxa"/>
            <w:tcBorders>
              <w:top w:val="single" w:sz="6" w:space="0" w:color="000000"/>
              <w:left w:val="single" w:sz="6" w:space="0" w:color="000000"/>
              <w:bottom w:val="single" w:sz="6" w:space="0" w:color="000000"/>
            </w:tcBorders>
          </w:tcPr>
          <w:p w14:paraId="5EE3D3C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6540E28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p>
        </w:tc>
        <w:tc>
          <w:tcPr>
            <w:tcW w:w="1043" w:type="dxa"/>
            <w:tcBorders>
              <w:top w:val="single" w:sz="6" w:space="0" w:color="000000"/>
              <w:left w:val="single" w:sz="6" w:space="0" w:color="000000"/>
              <w:bottom w:val="single" w:sz="6" w:space="0" w:color="000000"/>
            </w:tcBorders>
          </w:tcPr>
          <w:p w14:paraId="053FD97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2" w:type="dxa"/>
            <w:tcBorders>
              <w:top w:val="single" w:sz="6" w:space="0" w:color="000000"/>
              <w:left w:val="single" w:sz="6" w:space="0" w:color="000000"/>
              <w:bottom w:val="single" w:sz="6" w:space="0" w:color="000000"/>
            </w:tcBorders>
          </w:tcPr>
          <w:p w14:paraId="7D879F4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1043" w:type="dxa"/>
            <w:tcBorders>
              <w:top w:val="single" w:sz="6" w:space="0" w:color="000000"/>
              <w:left w:val="single" w:sz="6" w:space="0" w:color="000000"/>
              <w:bottom w:val="single" w:sz="6" w:space="0" w:color="000000"/>
            </w:tcBorders>
          </w:tcPr>
          <w:p w14:paraId="56F70F5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5F1513DD"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400</w:t>
            </w:r>
          </w:p>
        </w:tc>
        <w:tc>
          <w:tcPr>
            <w:tcW w:w="1042" w:type="dxa"/>
            <w:tcBorders>
              <w:top w:val="single" w:sz="6" w:space="0" w:color="000000"/>
              <w:left w:val="single" w:sz="6" w:space="0" w:color="000000"/>
              <w:bottom w:val="single" w:sz="6" w:space="0" w:color="000000"/>
            </w:tcBorders>
          </w:tcPr>
          <w:p w14:paraId="46A7DE2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310241FB"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30</w:t>
            </w:r>
          </w:p>
        </w:tc>
        <w:tc>
          <w:tcPr>
            <w:tcW w:w="706" w:type="dxa"/>
            <w:tcBorders>
              <w:top w:val="single" w:sz="6" w:space="0" w:color="000000"/>
              <w:left w:val="single" w:sz="6" w:space="0" w:color="000000"/>
              <w:bottom w:val="single" w:sz="6" w:space="0" w:color="000000"/>
              <w:right w:val="single" w:sz="4" w:space="0" w:color="000000"/>
            </w:tcBorders>
          </w:tcPr>
          <w:p w14:paraId="3EA9FC6C"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56E8C6A5" w14:textId="77777777" w:rsidTr="00B15037">
        <w:tc>
          <w:tcPr>
            <w:tcW w:w="2536" w:type="dxa"/>
            <w:tcBorders>
              <w:top w:val="single" w:sz="6" w:space="0" w:color="000000"/>
              <w:left w:val="single" w:sz="4" w:space="0" w:color="000000"/>
              <w:bottom w:val="single" w:sz="6" w:space="0" w:color="000000"/>
            </w:tcBorders>
            <w:vAlign w:val="center"/>
          </w:tcPr>
          <w:p w14:paraId="77FC6806"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Vysokopecní plyn</w:t>
            </w:r>
          </w:p>
        </w:tc>
        <w:tc>
          <w:tcPr>
            <w:tcW w:w="1042" w:type="dxa"/>
            <w:tcBorders>
              <w:top w:val="single" w:sz="6" w:space="0" w:color="000000"/>
              <w:left w:val="single" w:sz="6" w:space="0" w:color="000000"/>
              <w:bottom w:val="single" w:sz="6" w:space="0" w:color="000000"/>
            </w:tcBorders>
          </w:tcPr>
          <w:p w14:paraId="292F9FD9"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2314107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53C772E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1042" w:type="dxa"/>
            <w:tcBorders>
              <w:top w:val="single" w:sz="6" w:space="0" w:color="000000"/>
              <w:left w:val="single" w:sz="6" w:space="0" w:color="000000"/>
              <w:bottom w:val="single" w:sz="6" w:space="0" w:color="000000"/>
            </w:tcBorders>
          </w:tcPr>
          <w:p w14:paraId="258FD61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1A14355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3" w:type="dxa"/>
            <w:tcBorders>
              <w:top w:val="single" w:sz="6" w:space="0" w:color="000000"/>
              <w:left w:val="single" w:sz="6" w:space="0" w:color="000000"/>
              <w:bottom w:val="single" w:sz="6" w:space="0" w:color="000000"/>
            </w:tcBorders>
          </w:tcPr>
          <w:p w14:paraId="144E8141"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2" w:type="dxa"/>
            <w:tcBorders>
              <w:top w:val="single" w:sz="6" w:space="0" w:color="000000"/>
              <w:left w:val="single" w:sz="6" w:space="0" w:color="000000"/>
              <w:bottom w:val="single" w:sz="6" w:space="0" w:color="000000"/>
            </w:tcBorders>
          </w:tcPr>
          <w:p w14:paraId="22C154C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1043" w:type="dxa"/>
            <w:tcBorders>
              <w:top w:val="single" w:sz="6" w:space="0" w:color="000000"/>
              <w:left w:val="single" w:sz="6" w:space="0" w:color="000000"/>
              <w:bottom w:val="single" w:sz="6" w:space="0" w:color="000000"/>
            </w:tcBorders>
          </w:tcPr>
          <w:p w14:paraId="6DDD6E8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62E5A83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200</w:t>
            </w:r>
          </w:p>
        </w:tc>
        <w:tc>
          <w:tcPr>
            <w:tcW w:w="1042" w:type="dxa"/>
            <w:tcBorders>
              <w:top w:val="single" w:sz="6" w:space="0" w:color="000000"/>
              <w:left w:val="single" w:sz="6" w:space="0" w:color="000000"/>
              <w:bottom w:val="single" w:sz="6" w:space="0" w:color="000000"/>
            </w:tcBorders>
          </w:tcPr>
          <w:p w14:paraId="1F729C3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6" w:space="0" w:color="000000"/>
            </w:tcBorders>
          </w:tcPr>
          <w:p w14:paraId="0AE0F01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w:t>
            </w:r>
          </w:p>
        </w:tc>
        <w:tc>
          <w:tcPr>
            <w:tcW w:w="706" w:type="dxa"/>
            <w:tcBorders>
              <w:top w:val="single" w:sz="6" w:space="0" w:color="000000"/>
              <w:left w:val="single" w:sz="6" w:space="0" w:color="000000"/>
              <w:bottom w:val="single" w:sz="6" w:space="0" w:color="000000"/>
              <w:right w:val="single" w:sz="4" w:space="0" w:color="000000"/>
            </w:tcBorders>
          </w:tcPr>
          <w:p w14:paraId="72663AC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r w:rsidR="00E40657" w14:paraId="0C128A07" w14:textId="77777777" w:rsidTr="00B15037">
        <w:tc>
          <w:tcPr>
            <w:tcW w:w="2536" w:type="dxa"/>
            <w:tcBorders>
              <w:top w:val="single" w:sz="6" w:space="0" w:color="000000"/>
              <w:left w:val="single" w:sz="4" w:space="0" w:color="000000"/>
              <w:bottom w:val="single" w:sz="4" w:space="0" w:color="000000"/>
            </w:tcBorders>
            <w:vAlign w:val="center"/>
          </w:tcPr>
          <w:p w14:paraId="3B197B30" w14:textId="77777777" w:rsidR="006945AD" w:rsidRPr="0030358C" w:rsidRDefault="00000000" w:rsidP="006945AD">
            <w:pPr>
              <w:keepNext/>
              <w:widowControl w:val="0"/>
              <w:numPr>
                <w:ilvl w:val="0"/>
                <w:numId w:val="15"/>
              </w:numPr>
              <w:rPr>
                <w:rFonts w:ascii="Arial" w:hAnsi="Arial" w:cs="Arial"/>
                <w:b/>
                <w:bCs/>
                <w:sz w:val="22"/>
                <w:szCs w:val="22"/>
              </w:rPr>
            </w:pPr>
            <w:r w:rsidRPr="0030358C">
              <w:rPr>
                <w:rFonts w:ascii="Arial" w:hAnsi="Arial" w:cs="Arial"/>
                <w:b/>
                <w:bCs/>
                <w:sz w:val="22"/>
                <w:szCs w:val="22"/>
              </w:rPr>
              <w:t>Plyn ze zplyňování rafinérských zbytků</w:t>
            </w:r>
          </w:p>
        </w:tc>
        <w:tc>
          <w:tcPr>
            <w:tcW w:w="1042" w:type="dxa"/>
            <w:tcBorders>
              <w:top w:val="single" w:sz="6" w:space="0" w:color="000000"/>
              <w:left w:val="single" w:sz="6" w:space="0" w:color="000000"/>
              <w:bottom w:val="single" w:sz="4" w:space="0" w:color="000000"/>
            </w:tcBorders>
          </w:tcPr>
          <w:p w14:paraId="5B97B2B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w:t>
            </w:r>
          </w:p>
        </w:tc>
        <w:tc>
          <w:tcPr>
            <w:tcW w:w="1043" w:type="dxa"/>
            <w:tcBorders>
              <w:top w:val="single" w:sz="6" w:space="0" w:color="000000"/>
              <w:left w:val="single" w:sz="6" w:space="0" w:color="000000"/>
              <w:bottom w:val="single" w:sz="4" w:space="0" w:color="000000"/>
            </w:tcBorders>
          </w:tcPr>
          <w:p w14:paraId="65AFB48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4" w:space="0" w:color="000000"/>
            </w:tcBorders>
          </w:tcPr>
          <w:p w14:paraId="20AD72AA"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2" w:type="dxa"/>
            <w:tcBorders>
              <w:top w:val="single" w:sz="6" w:space="0" w:color="000000"/>
              <w:left w:val="single" w:sz="6" w:space="0" w:color="000000"/>
              <w:bottom w:val="single" w:sz="4" w:space="0" w:color="000000"/>
            </w:tcBorders>
          </w:tcPr>
          <w:p w14:paraId="3914B28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4" w:space="0" w:color="000000"/>
            </w:tcBorders>
          </w:tcPr>
          <w:p w14:paraId="6A10FB64"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w:t>
            </w:r>
          </w:p>
        </w:tc>
        <w:tc>
          <w:tcPr>
            <w:tcW w:w="1043" w:type="dxa"/>
            <w:tcBorders>
              <w:top w:val="single" w:sz="6" w:space="0" w:color="000000"/>
              <w:left w:val="single" w:sz="6" w:space="0" w:color="000000"/>
              <w:bottom w:val="single" w:sz="4" w:space="0" w:color="000000"/>
            </w:tcBorders>
          </w:tcPr>
          <w:p w14:paraId="2889273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2" w:type="dxa"/>
            <w:tcBorders>
              <w:top w:val="single" w:sz="6" w:space="0" w:color="000000"/>
              <w:left w:val="single" w:sz="6" w:space="0" w:color="000000"/>
              <w:bottom w:val="single" w:sz="4" w:space="0" w:color="000000"/>
            </w:tcBorders>
          </w:tcPr>
          <w:p w14:paraId="30B11995"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1043" w:type="dxa"/>
            <w:tcBorders>
              <w:top w:val="single" w:sz="6" w:space="0" w:color="000000"/>
              <w:left w:val="single" w:sz="6" w:space="0" w:color="000000"/>
              <w:bottom w:val="single" w:sz="4" w:space="0" w:color="000000"/>
            </w:tcBorders>
          </w:tcPr>
          <w:p w14:paraId="152F2500"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4" w:space="0" w:color="000000"/>
            </w:tcBorders>
          </w:tcPr>
          <w:p w14:paraId="4CAB297F"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35</w:t>
            </w:r>
          </w:p>
        </w:tc>
        <w:tc>
          <w:tcPr>
            <w:tcW w:w="1042" w:type="dxa"/>
            <w:tcBorders>
              <w:top w:val="single" w:sz="6" w:space="0" w:color="000000"/>
              <w:left w:val="single" w:sz="6" w:space="0" w:color="000000"/>
              <w:bottom w:val="single" w:sz="4" w:space="0" w:color="000000"/>
            </w:tcBorders>
          </w:tcPr>
          <w:p w14:paraId="5D63C553"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c>
          <w:tcPr>
            <w:tcW w:w="1043" w:type="dxa"/>
            <w:tcBorders>
              <w:top w:val="single" w:sz="6" w:space="0" w:color="000000"/>
              <w:left w:val="single" w:sz="6" w:space="0" w:color="000000"/>
              <w:bottom w:val="single" w:sz="4" w:space="0" w:color="000000"/>
            </w:tcBorders>
          </w:tcPr>
          <w:p w14:paraId="5795F956"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5</w:t>
            </w:r>
          </w:p>
        </w:tc>
        <w:tc>
          <w:tcPr>
            <w:tcW w:w="706" w:type="dxa"/>
            <w:tcBorders>
              <w:top w:val="single" w:sz="6" w:space="0" w:color="000000"/>
              <w:left w:val="single" w:sz="6" w:space="0" w:color="000000"/>
              <w:bottom w:val="single" w:sz="4" w:space="0" w:color="000000"/>
              <w:right w:val="single" w:sz="4" w:space="0" w:color="000000"/>
            </w:tcBorders>
          </w:tcPr>
          <w:p w14:paraId="2F8B3F92" w14:textId="77777777" w:rsidR="006945AD" w:rsidRPr="0030358C" w:rsidRDefault="00000000" w:rsidP="006945AD">
            <w:pPr>
              <w:keepNext/>
              <w:widowControl w:val="0"/>
              <w:numPr>
                <w:ilvl w:val="0"/>
                <w:numId w:val="15"/>
              </w:numPr>
              <w:jc w:val="center"/>
              <w:rPr>
                <w:rFonts w:ascii="Arial" w:hAnsi="Arial" w:cs="Arial"/>
                <w:b/>
                <w:bCs/>
                <w:sz w:val="22"/>
                <w:szCs w:val="22"/>
              </w:rPr>
            </w:pPr>
            <w:r w:rsidRPr="0030358C">
              <w:rPr>
                <w:rFonts w:ascii="Arial" w:hAnsi="Arial" w:cs="Arial"/>
                <w:b/>
                <w:bCs/>
                <w:sz w:val="22"/>
                <w:szCs w:val="22"/>
              </w:rPr>
              <w:t>100</w:t>
            </w:r>
          </w:p>
        </w:tc>
      </w:tr>
    </w:tbl>
    <w:p w14:paraId="3E45D4AF" w14:textId="77777777" w:rsidR="006945AD" w:rsidRPr="0030358C" w:rsidRDefault="006945AD" w:rsidP="006945AD">
      <w:pPr>
        <w:rPr>
          <w:rFonts w:ascii="Arial" w:hAnsi="Arial" w:cs="Arial"/>
          <w:b/>
          <w:bCs/>
          <w:sz w:val="22"/>
          <w:szCs w:val="22"/>
        </w:rPr>
      </w:pPr>
    </w:p>
    <w:p w14:paraId="17FD0283" w14:textId="77777777" w:rsidR="006945AD" w:rsidRPr="0030358C" w:rsidRDefault="00000000" w:rsidP="006945AD">
      <w:pPr>
        <w:rPr>
          <w:rFonts w:ascii="Arial" w:hAnsi="Arial" w:cs="Arial"/>
          <w:b/>
          <w:bCs/>
          <w:sz w:val="22"/>
          <w:szCs w:val="22"/>
        </w:rPr>
      </w:pPr>
      <w:r w:rsidRPr="0030358C">
        <w:rPr>
          <w:rFonts w:ascii="Arial" w:hAnsi="Arial" w:cs="Arial"/>
          <w:b/>
          <w:bCs/>
          <w:sz w:val="22"/>
          <w:szCs w:val="22"/>
        </w:rPr>
        <w:t xml:space="preserve">Vysvětlivky: </w:t>
      </w:r>
    </w:p>
    <w:p w14:paraId="60561343" w14:textId="77777777" w:rsidR="006945AD" w:rsidRPr="0030358C" w:rsidRDefault="00000000" w:rsidP="00A50DC9">
      <w:pPr>
        <w:jc w:val="both"/>
        <w:rPr>
          <w:rFonts w:ascii="Arial" w:hAnsi="Arial" w:cs="Arial"/>
          <w:b/>
          <w:bCs/>
          <w:sz w:val="22"/>
          <w:szCs w:val="22"/>
        </w:rPr>
      </w:pPr>
      <w:r w:rsidRPr="0030358C">
        <w:rPr>
          <w:rFonts w:ascii="Arial" w:hAnsi="Arial" w:cs="Arial"/>
          <w:b/>
          <w:bCs/>
          <w:sz w:val="22"/>
          <w:szCs w:val="22"/>
        </w:rPr>
        <w:t>1) Vztahuje se pouze na spalování práškového hnědého uhlí.</w:t>
      </w:r>
    </w:p>
    <w:p w14:paraId="612DC99B" w14:textId="77777777" w:rsidR="006945AD" w:rsidRPr="0030358C" w:rsidRDefault="00000000" w:rsidP="00A50DC9">
      <w:pPr>
        <w:jc w:val="both"/>
        <w:rPr>
          <w:rFonts w:ascii="Arial" w:hAnsi="Arial" w:cs="Arial"/>
          <w:b/>
          <w:bCs/>
          <w:sz w:val="22"/>
          <w:szCs w:val="22"/>
        </w:rPr>
      </w:pPr>
      <w:r w:rsidRPr="0030358C">
        <w:rPr>
          <w:rFonts w:ascii="Arial" w:hAnsi="Arial" w:cs="Arial"/>
          <w:b/>
          <w:bCs/>
          <w:sz w:val="22"/>
          <w:szCs w:val="22"/>
        </w:rPr>
        <w:t>2) Vztahuje se pouze na spalování ve fluidním loži.</w:t>
      </w:r>
    </w:p>
    <w:p w14:paraId="349C181A" w14:textId="77777777" w:rsidR="006945AD" w:rsidRPr="0030358C" w:rsidRDefault="00000000" w:rsidP="00A50DC9">
      <w:pPr>
        <w:jc w:val="both"/>
        <w:rPr>
          <w:rFonts w:ascii="Arial" w:hAnsi="Arial" w:cs="Arial"/>
          <w:b/>
          <w:bCs/>
          <w:sz w:val="22"/>
          <w:szCs w:val="22"/>
        </w:rPr>
      </w:pPr>
      <w:r w:rsidRPr="0030358C">
        <w:rPr>
          <w:rFonts w:ascii="Arial" w:hAnsi="Arial" w:cs="Arial"/>
          <w:b/>
          <w:bCs/>
          <w:sz w:val="22"/>
          <w:szCs w:val="22"/>
        </w:rPr>
        <w:t>3) Vztahuje se pouze na plynové turbíny s jednoduchým cyklem, které mají účinnost větší než 35 % (stanovenou na základě podmínek Mezinárodní organizace pro normalizaci ISO) platí emisní limit ve výši 50</w:t>
      </w:r>
      <w:r w:rsidRPr="0030358C">
        <w:rPr>
          <w:rFonts w:ascii="Arial" w:hAnsi="Arial" w:cs="Arial"/>
          <w:b/>
          <w:bCs/>
          <w:sz w:val="22"/>
          <w:szCs w:val="22"/>
          <w:lang w:eastAsia="pl-PL"/>
        </w:rPr>
        <w:t>×</w:t>
      </w:r>
      <w:r w:rsidRPr="0030358C">
        <w:rPr>
          <w:rFonts w:ascii="Arial" w:hAnsi="Arial" w:cs="Arial"/>
          <w:b/>
          <w:bCs/>
          <w:sz w:val="22"/>
          <w:szCs w:val="22"/>
        </w:rPr>
        <w:t xml:space="preserve">ŋ/35, kde ŋ je účinnost plynové turbíny pracující v základním zatížení (podle ISO) vyjádřená v procentech. U plynových turbín, včetně plynových turbín s kombinovaným cyklem, emisní limit platí pouze při zatížení větším než 70 % </w:t>
      </w:r>
    </w:p>
    <w:p w14:paraId="63555A49" w14:textId="77777777" w:rsidR="006945AD" w:rsidRPr="0030358C" w:rsidRDefault="00000000" w:rsidP="00A50DC9">
      <w:pPr>
        <w:jc w:val="both"/>
        <w:rPr>
          <w:rFonts w:ascii="Arial" w:hAnsi="Arial" w:cs="Arial"/>
          <w:b/>
          <w:bCs/>
          <w:sz w:val="22"/>
          <w:szCs w:val="22"/>
        </w:rPr>
      </w:pPr>
      <w:r w:rsidRPr="0030358C">
        <w:rPr>
          <w:rFonts w:ascii="Arial" w:hAnsi="Arial" w:cs="Arial"/>
          <w:b/>
          <w:bCs/>
          <w:sz w:val="22"/>
          <w:szCs w:val="22"/>
        </w:rPr>
        <w:lastRenderedPageBreak/>
        <w:t>4) Vztahuje se pouze na pístové spalovací motory.</w:t>
      </w:r>
    </w:p>
    <w:p w14:paraId="5C758F3D" w14:textId="77777777" w:rsidR="006945AD" w:rsidRPr="0030358C" w:rsidRDefault="00000000" w:rsidP="00A50DC9">
      <w:pPr>
        <w:jc w:val="both"/>
        <w:rPr>
          <w:rFonts w:ascii="Arial" w:hAnsi="Arial" w:cs="Arial"/>
          <w:b/>
          <w:bCs/>
          <w:sz w:val="22"/>
          <w:szCs w:val="22"/>
        </w:rPr>
      </w:pPr>
      <w:r w:rsidRPr="0030358C">
        <w:rPr>
          <w:rFonts w:ascii="Arial" w:hAnsi="Arial" w:cs="Arial"/>
          <w:b/>
          <w:bCs/>
          <w:sz w:val="22"/>
          <w:szCs w:val="22"/>
        </w:rPr>
        <w:t>5) Vztahuje se pouze na plynové turbíny, včetně plynových turbín s kombinovaným cyklem.</w:t>
      </w:r>
    </w:p>
    <w:p w14:paraId="25050681" w14:textId="77777777" w:rsidR="00B968C1" w:rsidRPr="0030358C" w:rsidRDefault="00000000" w:rsidP="00B968C1">
      <w:pPr>
        <w:widowControl w:val="0"/>
        <w:jc w:val="both"/>
        <w:rPr>
          <w:rFonts w:ascii="Arial" w:hAnsi="Arial" w:cs="Arial"/>
          <w:b/>
          <w:bCs/>
          <w:sz w:val="22"/>
          <w:szCs w:val="22"/>
        </w:rPr>
      </w:pPr>
      <w:r w:rsidRPr="0030358C">
        <w:rPr>
          <w:rFonts w:ascii="Arial" w:hAnsi="Arial" w:cs="Arial"/>
          <w:b/>
          <w:bCs/>
          <w:sz w:val="22"/>
          <w:szCs w:val="22"/>
        </w:rPr>
        <w:t xml:space="preserve">6) Specifický emisní limit se neuplatní pro plynové turbíny a plynové motory. </w:t>
      </w:r>
    </w:p>
    <w:p w14:paraId="4CD7598E" w14:textId="77777777" w:rsidR="00B968C1" w:rsidRPr="0030358C" w:rsidRDefault="00B968C1" w:rsidP="00A50DC9">
      <w:pPr>
        <w:jc w:val="both"/>
        <w:rPr>
          <w:rFonts w:ascii="Arial" w:hAnsi="Arial" w:cs="Arial"/>
          <w:b/>
          <w:bCs/>
          <w:sz w:val="22"/>
          <w:szCs w:val="22"/>
        </w:rPr>
      </w:pPr>
    </w:p>
    <w:p w14:paraId="7C937C7E" w14:textId="77777777" w:rsidR="006945AD" w:rsidRPr="0030358C" w:rsidRDefault="006945AD" w:rsidP="006945AD">
      <w:pPr>
        <w:widowControl w:val="0"/>
        <w:rPr>
          <w:rFonts w:ascii="Arial" w:hAnsi="Arial" w:cs="Arial"/>
          <w:b/>
          <w:bCs/>
          <w:sz w:val="22"/>
          <w:szCs w:val="22"/>
        </w:rPr>
      </w:pPr>
    </w:p>
    <w:p w14:paraId="411BDACB" w14:textId="77777777" w:rsidR="006945AD" w:rsidRPr="0030358C" w:rsidRDefault="00000000" w:rsidP="006945AD">
      <w:pPr>
        <w:spacing w:after="160" w:line="259" w:lineRule="auto"/>
        <w:rPr>
          <w:rFonts w:ascii="Arial" w:hAnsi="Arial" w:cs="Arial"/>
          <w:b/>
          <w:bCs/>
          <w:sz w:val="22"/>
          <w:szCs w:val="22"/>
        </w:rPr>
      </w:pPr>
      <w:r w:rsidRPr="0030358C">
        <w:rPr>
          <w:rFonts w:ascii="Arial" w:hAnsi="Arial" w:cs="Arial"/>
          <w:b/>
          <w:bCs/>
          <w:sz w:val="22"/>
          <w:szCs w:val="22"/>
        </w:rPr>
        <w:br w:type="page"/>
      </w:r>
    </w:p>
    <w:p w14:paraId="64A582AC" w14:textId="77777777" w:rsidR="006945AD" w:rsidRPr="0030358C" w:rsidRDefault="00000000" w:rsidP="006945AD">
      <w:pPr>
        <w:spacing w:after="200" w:line="276" w:lineRule="auto"/>
        <w:jc w:val="center"/>
        <w:rPr>
          <w:rFonts w:ascii="Arial" w:hAnsi="Arial" w:cs="Arial"/>
          <w:b/>
          <w:bCs/>
          <w:sz w:val="22"/>
          <w:szCs w:val="22"/>
        </w:rPr>
      </w:pPr>
      <w:r w:rsidRPr="0030358C">
        <w:rPr>
          <w:rFonts w:ascii="Arial" w:hAnsi="Arial" w:cs="Arial"/>
          <w:b/>
          <w:bCs/>
          <w:sz w:val="22"/>
          <w:szCs w:val="22"/>
        </w:rPr>
        <w:lastRenderedPageBreak/>
        <w:t>Část II</w:t>
      </w:r>
    </w:p>
    <w:p w14:paraId="3C92F406" w14:textId="77777777" w:rsidR="006945AD" w:rsidRPr="0030358C" w:rsidRDefault="00000000" w:rsidP="006945AD">
      <w:pPr>
        <w:spacing w:line="300" w:lineRule="exact"/>
        <w:jc w:val="center"/>
        <w:rPr>
          <w:rFonts w:ascii="Arial" w:hAnsi="Arial" w:cs="Arial"/>
          <w:b/>
          <w:bCs/>
          <w:sz w:val="22"/>
          <w:szCs w:val="22"/>
        </w:rPr>
      </w:pPr>
      <w:r w:rsidRPr="0030358C">
        <w:rPr>
          <w:rFonts w:ascii="Arial" w:hAnsi="Arial" w:cs="Arial"/>
          <w:b/>
          <w:bCs/>
          <w:sz w:val="22"/>
          <w:szCs w:val="22"/>
        </w:rPr>
        <w:t>Specifické emisní limity pro spalovací stacionární zdroje o celkovém jmenovitém tepelném příkonu vyšším než 0,3 MW a nižším než 50 MW</w:t>
      </w:r>
    </w:p>
    <w:p w14:paraId="6CA86777" w14:textId="77777777" w:rsidR="006945AD" w:rsidRPr="0030358C" w:rsidRDefault="006945AD" w:rsidP="006945AD">
      <w:pPr>
        <w:spacing w:line="300" w:lineRule="exact"/>
        <w:rPr>
          <w:rFonts w:ascii="Arial" w:hAnsi="Arial" w:cs="Arial"/>
          <w:b/>
          <w:bCs/>
          <w:sz w:val="22"/>
          <w:szCs w:val="22"/>
        </w:rPr>
      </w:pPr>
    </w:p>
    <w:p w14:paraId="13961F8B" w14:textId="77777777" w:rsidR="006945AD" w:rsidRPr="0030358C" w:rsidRDefault="00000000" w:rsidP="006945AD">
      <w:pPr>
        <w:pBdr>
          <w:top w:val="nil"/>
          <w:left w:val="nil"/>
          <w:bottom w:val="nil"/>
          <w:right w:val="nil"/>
        </w:pBdr>
        <w:rPr>
          <w:rFonts w:ascii="Arial" w:eastAsia="Calibri" w:hAnsi="Arial" w:cs="Arial"/>
          <w:b/>
          <w:bCs/>
          <w:sz w:val="22"/>
          <w:szCs w:val="22"/>
        </w:rPr>
      </w:pPr>
      <w:r w:rsidRPr="0030358C">
        <w:rPr>
          <w:rFonts w:ascii="Arial" w:eastAsia="Calibri" w:hAnsi="Arial" w:cs="Arial"/>
          <w:b/>
          <w:bCs/>
          <w:sz w:val="22"/>
          <w:szCs w:val="22"/>
          <w:lang w:eastAsia="cs-CZ"/>
        </w:rPr>
        <w:t>Pro teplovzdušný přímotopný spalovací stacionární zdroj, kterým se rozumí spalovací stacionární zdroj zařazený pod kód 1.4. podle přílohy č. 2 zákona, v němž dochází ke kontaktu ohřívaného vzduchu a spalin, přičemž taková směs slouží k vytápění ohřívaného prostoru, jsou specifické emisní limity vztaženy na normální stavové podmínky a suchý plyn při referenčním obsahu kyslíku 17 %.</w:t>
      </w:r>
    </w:p>
    <w:p w14:paraId="0144CCC6" w14:textId="77777777" w:rsidR="006945AD" w:rsidRPr="0030358C" w:rsidRDefault="006945AD" w:rsidP="006945AD">
      <w:pPr>
        <w:pBdr>
          <w:top w:val="nil"/>
          <w:left w:val="nil"/>
          <w:bottom w:val="nil"/>
          <w:right w:val="nil"/>
        </w:pBdr>
        <w:rPr>
          <w:rFonts w:ascii="Arial" w:hAnsi="Arial" w:cs="Arial"/>
          <w:b/>
          <w:bCs/>
          <w:sz w:val="22"/>
          <w:szCs w:val="22"/>
        </w:rPr>
      </w:pPr>
    </w:p>
    <w:p w14:paraId="47708106" w14:textId="77777777" w:rsidR="00FE2C1B" w:rsidRPr="0030358C" w:rsidRDefault="00000000" w:rsidP="00FE2C1B">
      <w:pPr>
        <w:tabs>
          <w:tab w:val="left" w:pos="3759"/>
          <w:tab w:val="left" w:pos="4537"/>
        </w:tabs>
        <w:spacing w:after="160"/>
        <w:rPr>
          <w:rFonts w:ascii="Arial" w:hAnsi="Arial" w:cs="Arial"/>
          <w:b/>
          <w:bCs/>
          <w:sz w:val="22"/>
          <w:szCs w:val="22"/>
          <w:lang w:eastAsia="cs-CZ"/>
        </w:rPr>
      </w:pPr>
      <w:r w:rsidRPr="0030358C">
        <w:rPr>
          <w:rFonts w:ascii="Arial" w:hAnsi="Arial" w:cs="Arial"/>
          <w:b/>
          <w:bCs/>
          <w:sz w:val="22"/>
          <w:szCs w:val="22"/>
          <w:lang w:eastAsia="cs-CZ"/>
        </w:rPr>
        <w:t>Pro spalovací stacionární zdroj zařazený pod kód 1.4. podle přílohy č. 2 zákona, v němž spaliny přes výměník ohřívají vzduch nebo jiné plynné médium, přičemž ke kontaktu ohřívaného vzduchu nebo jiného plynného média a spalin nedochází a spaliny odchází odděleně komínem do ovzduší, jsou specifické emisní limity shodné se specifickými emisními limity stanovenými pro kotle, tzn. jsou vztaženy na normální stavové podmínky a suchý plyn při referenčním obsahu kyslíku dle spalovaného paliva. Na spalovací stacionární zdroj dle předchozí věty o jmenovitém tepelném příkonu 5 MW a nižším uvedený do provozu před 20. prosincem 2018 se uplatní specifické emisní limity uvedené v tabulce 3.1.2. až od 1. 1. 2030.</w:t>
      </w:r>
    </w:p>
    <w:p w14:paraId="4212ACC1" w14:textId="77777777" w:rsidR="006945AD" w:rsidRPr="0030358C" w:rsidRDefault="006945AD" w:rsidP="006945AD">
      <w:pPr>
        <w:tabs>
          <w:tab w:val="left" w:pos="3759"/>
          <w:tab w:val="left" w:pos="4537"/>
        </w:tabs>
        <w:spacing w:after="160"/>
        <w:rPr>
          <w:rFonts w:ascii="Arial" w:hAnsi="Arial" w:cs="Arial"/>
          <w:b/>
          <w:bCs/>
          <w:strike/>
          <w:color w:val="FF0000"/>
          <w:sz w:val="22"/>
          <w:szCs w:val="22"/>
        </w:rPr>
      </w:pPr>
    </w:p>
    <w:p w14:paraId="617A4ACB" w14:textId="77777777" w:rsidR="00453325" w:rsidRPr="0030358C" w:rsidRDefault="00000000" w:rsidP="00453325">
      <w:pPr>
        <w:rPr>
          <w:rFonts w:ascii="Arial" w:hAnsi="Arial" w:cs="Arial"/>
          <w:b/>
          <w:bCs/>
          <w:sz w:val="22"/>
          <w:szCs w:val="22"/>
          <w:lang w:eastAsia="cs-CZ"/>
        </w:rPr>
      </w:pPr>
      <w:r w:rsidRPr="0030358C">
        <w:rPr>
          <w:rFonts w:ascii="Arial" w:hAnsi="Arial" w:cs="Arial"/>
          <w:b/>
          <w:bCs/>
          <w:sz w:val="22"/>
          <w:szCs w:val="22"/>
          <w:lang w:eastAsia="cs-CZ"/>
        </w:rPr>
        <w:t> </w:t>
      </w:r>
    </w:p>
    <w:p w14:paraId="2B94300E" w14:textId="77777777" w:rsidR="00453325" w:rsidRPr="0030358C" w:rsidRDefault="00000000">
      <w:pPr>
        <w:rPr>
          <w:rFonts w:ascii="Arial" w:hAnsi="Arial" w:cs="Arial"/>
          <w:b/>
          <w:bCs/>
          <w:sz w:val="22"/>
          <w:szCs w:val="22"/>
          <w:lang w:eastAsia="cs-CZ"/>
        </w:rPr>
      </w:pPr>
      <w:r w:rsidRPr="0030358C">
        <w:rPr>
          <w:rFonts w:ascii="Arial" w:hAnsi="Arial" w:cs="Arial"/>
          <w:b/>
          <w:bCs/>
          <w:sz w:val="22"/>
          <w:szCs w:val="22"/>
          <w:lang w:eastAsia="cs-CZ"/>
        </w:rPr>
        <w:br w:type="page"/>
      </w:r>
    </w:p>
    <w:p w14:paraId="6F04488C" w14:textId="77777777" w:rsidR="006945AD" w:rsidRPr="0030358C" w:rsidRDefault="00000000" w:rsidP="00453325">
      <w:pPr>
        <w:rPr>
          <w:rFonts w:ascii="Arial" w:hAnsi="Arial" w:cs="Arial"/>
          <w:b/>
          <w:bCs/>
          <w:sz w:val="22"/>
          <w:szCs w:val="22"/>
          <w:lang w:eastAsia="cs-CZ"/>
        </w:rPr>
      </w:pPr>
      <w:r w:rsidRPr="0030358C">
        <w:rPr>
          <w:rFonts w:ascii="Arial" w:eastAsia="Arial" w:hAnsi="Arial" w:cs="Arial"/>
          <w:b/>
          <w:bCs/>
          <w:sz w:val="22"/>
          <w:szCs w:val="22"/>
        </w:rPr>
        <w:lastRenderedPageBreak/>
        <w:tab/>
      </w:r>
    </w:p>
    <w:p w14:paraId="12601D4C" w14:textId="77777777" w:rsidR="006945AD" w:rsidRPr="0030358C" w:rsidRDefault="006945AD" w:rsidP="006945AD">
      <w:pPr>
        <w:widowControl w:val="0"/>
        <w:jc w:val="both"/>
        <w:rPr>
          <w:rFonts w:ascii="Arial" w:hAnsi="Arial" w:cs="Arial"/>
          <w:b/>
          <w:bCs/>
          <w:sz w:val="22"/>
          <w:szCs w:val="22"/>
        </w:rPr>
      </w:pPr>
    </w:p>
    <w:p w14:paraId="0C509899" w14:textId="77777777" w:rsidR="006945AD" w:rsidRPr="0030358C" w:rsidRDefault="00000000" w:rsidP="006945AD">
      <w:pPr>
        <w:pStyle w:val="Odstavecseseznamem"/>
        <w:widowControl w:val="0"/>
        <w:numPr>
          <w:ilvl w:val="0"/>
          <w:numId w:val="18"/>
        </w:numPr>
        <w:spacing w:after="0" w:line="240" w:lineRule="auto"/>
        <w:contextualSpacing w:val="0"/>
        <w:jc w:val="both"/>
        <w:rPr>
          <w:rFonts w:ascii="Arial" w:hAnsi="Arial" w:cs="Arial"/>
          <w:b/>
          <w:bCs/>
        </w:rPr>
      </w:pPr>
      <w:r w:rsidRPr="0030358C">
        <w:rPr>
          <w:rFonts w:ascii="Arial" w:hAnsi="Arial" w:cs="Arial"/>
          <w:b/>
          <w:bCs/>
        </w:rPr>
        <w:t>Specifické emisní limity platné do 19. prosince 2018</w:t>
      </w:r>
    </w:p>
    <w:p w14:paraId="0AFACA9A" w14:textId="77777777" w:rsidR="006945AD" w:rsidRPr="0030358C" w:rsidRDefault="006945AD" w:rsidP="006945AD">
      <w:pPr>
        <w:widowControl w:val="0"/>
        <w:jc w:val="both"/>
        <w:rPr>
          <w:rFonts w:ascii="Arial" w:hAnsi="Arial" w:cs="Arial"/>
          <w:b/>
          <w:bCs/>
          <w:sz w:val="22"/>
          <w:szCs w:val="22"/>
        </w:rPr>
      </w:pPr>
    </w:p>
    <w:p w14:paraId="523B1F15" w14:textId="77777777" w:rsidR="006945AD" w:rsidRPr="0030358C" w:rsidRDefault="006945AD" w:rsidP="00453325">
      <w:pPr>
        <w:rPr>
          <w:rFonts w:ascii="Arial" w:eastAsia="Calibri" w:hAnsi="Arial" w:cs="Arial"/>
          <w:b/>
          <w:bCs/>
          <w:sz w:val="22"/>
          <w:szCs w:val="22"/>
        </w:rPr>
        <w:sectPr w:rsidR="006945AD" w:rsidRPr="0030358C" w:rsidSect="00D804A3">
          <w:pgSz w:w="16838" w:h="11906" w:orient="landscape" w:code="9"/>
          <w:pgMar w:top="1418" w:right="1418" w:bottom="1418" w:left="1418" w:header="709" w:footer="709" w:gutter="0"/>
          <w:cols w:space="708"/>
        </w:sectPr>
      </w:pPr>
    </w:p>
    <w:p w14:paraId="412437C1" w14:textId="77777777" w:rsidR="005B572C" w:rsidRPr="0030358C" w:rsidRDefault="00000000" w:rsidP="002D3A13">
      <w:pPr>
        <w:pStyle w:val="55"/>
        <w:ind w:left="0"/>
        <w:rPr>
          <w:rFonts w:ascii="Arial" w:hAnsi="Arial" w:cs="Arial"/>
          <w:b/>
          <w:bCs/>
          <w:sz w:val="22"/>
          <w:szCs w:val="22"/>
        </w:rPr>
      </w:pPr>
      <w:r w:rsidRPr="0030358C">
        <w:rPr>
          <w:rFonts w:ascii="Arial" w:hAnsi="Arial" w:cs="Arial"/>
          <w:b/>
          <w:bCs/>
          <w:sz w:val="22"/>
          <w:szCs w:val="22"/>
        </w:rPr>
        <w:t>Pro pístové spalovací motory jsou specifické emisní limity vztaženy k celkovému jmenovitému tepelnému příkonu a na normální stavové podmínky a suchý plyn (pro TZL vztaženo na vlhký plyn), při referenčním obsahu kyslíku 5 % a nevztahují se na záložní zdroje energie a požární čerpadla provozované méně než 300 provozních hodin ročně. Plynovým motorem se rozumí motor s vnitřním spalováním pracující na principu Ottova cyklu a využívající zážehové zapalování paliva nebo v případě dvoupalivového motoru využívající vznětové zapalování paliva.</w:t>
      </w:r>
    </w:p>
    <w:p w14:paraId="257BB9C3" w14:textId="77777777" w:rsidR="005B572C" w:rsidRPr="0030358C" w:rsidRDefault="00000000" w:rsidP="002D3A13">
      <w:pPr>
        <w:pStyle w:val="Odstavecseseznamem1"/>
        <w:widowControl w:val="0"/>
        <w:ind w:left="0"/>
        <w:jc w:val="both"/>
        <w:outlineLvl w:val="0"/>
        <w:rPr>
          <w:rFonts w:ascii="Arial" w:hAnsi="Arial" w:cs="Arial"/>
          <w:b/>
          <w:bCs/>
          <w:sz w:val="22"/>
          <w:szCs w:val="22"/>
        </w:rPr>
      </w:pPr>
      <w:r w:rsidRPr="0030358C">
        <w:rPr>
          <w:rFonts w:ascii="Arial" w:hAnsi="Arial" w:cs="Arial"/>
          <w:b/>
          <w:bCs/>
          <w:sz w:val="22"/>
          <w:szCs w:val="22"/>
        </w:rPr>
        <w:t>Pro plynové turbíny jsou specifické emisní limity vztaženy na normální stavové podmínky a suchý plyn při referenčním obsahu kyslíku 15 % a nevztahují se na záložní zdroje energie provozované méně než 300 provozních hodin ročně.</w:t>
      </w:r>
    </w:p>
    <w:p w14:paraId="16922EBB" w14:textId="77777777" w:rsidR="005B572C" w:rsidRPr="0030358C" w:rsidRDefault="005B572C" w:rsidP="006945AD">
      <w:pPr>
        <w:pStyle w:val="Odstavecseseznamem1"/>
        <w:widowControl w:val="0"/>
        <w:ind w:left="0"/>
        <w:outlineLvl w:val="0"/>
        <w:rPr>
          <w:rFonts w:ascii="Arial" w:hAnsi="Arial" w:cs="Arial"/>
          <w:b/>
          <w:bCs/>
          <w:sz w:val="22"/>
          <w:szCs w:val="22"/>
        </w:rPr>
      </w:pPr>
    </w:p>
    <w:p w14:paraId="01177AF4" w14:textId="77777777" w:rsidR="006945AD" w:rsidRPr="0030358C" w:rsidRDefault="00000000" w:rsidP="006945AD">
      <w:pPr>
        <w:pStyle w:val="Odstavecseseznamem1"/>
        <w:widowControl w:val="0"/>
        <w:ind w:left="0"/>
        <w:outlineLvl w:val="0"/>
        <w:rPr>
          <w:rFonts w:ascii="Arial" w:hAnsi="Arial" w:cs="Arial"/>
          <w:b/>
          <w:bCs/>
          <w:sz w:val="22"/>
          <w:szCs w:val="22"/>
        </w:rPr>
      </w:pPr>
      <w:r w:rsidRPr="0030358C">
        <w:rPr>
          <w:rFonts w:ascii="Arial" w:hAnsi="Arial" w:cs="Arial"/>
          <w:b/>
          <w:bCs/>
          <w:sz w:val="22"/>
          <w:szCs w:val="22"/>
        </w:rPr>
        <w:t>1.1. Specifické emisní limity pro kotle a teplovzdušné přímotopné stacionární zdroje - zrušeno</w:t>
      </w:r>
    </w:p>
    <w:p w14:paraId="7CD48CE6" w14:textId="77777777" w:rsidR="006945AD" w:rsidRPr="0030358C" w:rsidRDefault="006945AD" w:rsidP="006945AD">
      <w:pPr>
        <w:widowControl w:val="0"/>
        <w:rPr>
          <w:rFonts w:ascii="Arial" w:hAnsi="Arial" w:cs="Arial"/>
          <w:b/>
          <w:bCs/>
          <w:sz w:val="22"/>
          <w:szCs w:val="22"/>
        </w:rPr>
      </w:pPr>
    </w:p>
    <w:p w14:paraId="012E3E7C" w14:textId="77777777" w:rsidR="006945AD" w:rsidRPr="0030358C" w:rsidRDefault="006945AD" w:rsidP="006945AD">
      <w:pPr>
        <w:spacing w:line="300" w:lineRule="exact"/>
        <w:rPr>
          <w:rFonts w:ascii="Arial" w:hAnsi="Arial" w:cs="Arial"/>
          <w:b/>
          <w:bCs/>
          <w:sz w:val="22"/>
          <w:szCs w:val="22"/>
        </w:rPr>
      </w:pPr>
    </w:p>
    <w:p w14:paraId="661FBB7D" w14:textId="77777777" w:rsidR="006945AD" w:rsidRPr="0030358C" w:rsidRDefault="00000000" w:rsidP="006945AD">
      <w:pPr>
        <w:pStyle w:val="Odstavecseseznamem1"/>
        <w:widowControl w:val="0"/>
        <w:tabs>
          <w:tab w:val="left" w:pos="540"/>
        </w:tabs>
        <w:ind w:left="360" w:hanging="360"/>
        <w:rPr>
          <w:rFonts w:ascii="Arial" w:hAnsi="Arial" w:cs="Arial"/>
          <w:b/>
          <w:bCs/>
          <w:sz w:val="22"/>
          <w:szCs w:val="22"/>
        </w:rPr>
      </w:pPr>
      <w:r w:rsidRPr="0030358C">
        <w:rPr>
          <w:rFonts w:ascii="Arial" w:hAnsi="Arial" w:cs="Arial"/>
          <w:b/>
          <w:bCs/>
          <w:sz w:val="22"/>
          <w:szCs w:val="22"/>
        </w:rPr>
        <w:t xml:space="preserve">1.2.  Specifické emisní limity pro pístové spalovací motory </w:t>
      </w:r>
    </w:p>
    <w:p w14:paraId="6A689D33" w14:textId="77777777" w:rsidR="006945AD" w:rsidRPr="0030358C" w:rsidRDefault="006945AD" w:rsidP="006945AD">
      <w:pPr>
        <w:rPr>
          <w:rFonts w:ascii="Arial" w:hAnsi="Arial" w:cs="Arial"/>
          <w:b/>
          <w:bCs/>
          <w:sz w:val="22"/>
          <w:szCs w:val="22"/>
        </w:rPr>
      </w:pPr>
    </w:p>
    <w:p w14:paraId="4A639D52" w14:textId="77777777" w:rsidR="006945AD" w:rsidRPr="0030358C" w:rsidRDefault="00000000" w:rsidP="006945AD">
      <w:pPr>
        <w:rPr>
          <w:rFonts w:ascii="Arial" w:hAnsi="Arial" w:cs="Arial"/>
          <w:b/>
          <w:bCs/>
          <w:sz w:val="22"/>
          <w:szCs w:val="22"/>
        </w:rPr>
      </w:pPr>
      <w:bookmarkStart w:id="45" w:name="_Hlk179391423"/>
      <w:r w:rsidRPr="0030358C">
        <w:rPr>
          <w:rFonts w:ascii="Arial" w:hAnsi="Arial" w:cs="Arial"/>
          <w:b/>
          <w:bCs/>
          <w:sz w:val="22"/>
          <w:szCs w:val="22"/>
        </w:rPr>
        <w:t>Tabulka 1.2.1 - zrušena</w:t>
      </w:r>
    </w:p>
    <w:bookmarkEnd w:id="45"/>
    <w:p w14:paraId="6A972CED" w14:textId="77777777" w:rsidR="006945AD" w:rsidRPr="0030358C" w:rsidRDefault="00000000" w:rsidP="006945AD">
      <w:pPr>
        <w:pStyle w:val="Odstavecseseznamem1"/>
        <w:ind w:left="0"/>
        <w:jc w:val="both"/>
        <w:outlineLvl w:val="0"/>
        <w:rPr>
          <w:rFonts w:ascii="Arial" w:hAnsi="Arial" w:cs="Arial"/>
          <w:b/>
          <w:bCs/>
          <w:sz w:val="22"/>
          <w:szCs w:val="22"/>
        </w:rPr>
      </w:pPr>
      <w:r w:rsidRPr="0030358C">
        <w:rPr>
          <w:rFonts w:ascii="Arial" w:hAnsi="Arial" w:cs="Arial"/>
          <w:b/>
          <w:bCs/>
          <w:sz w:val="22"/>
          <w:szCs w:val="22"/>
        </w:rPr>
        <w:t>Tabulka 1.2.2 - Specifické emisní limity pro stacionární zdroje, pro něž byla podána kompletní žádost o povolení provozu nebo obdobné povolení podle dřívějších právních předpisů před 1. zářím 2013, a které byly uvedeny do provozu nejpozději 1. září 2014</w:t>
      </w:r>
    </w:p>
    <w:tbl>
      <w:tblPr>
        <w:tblW w:w="14228" w:type="dxa"/>
        <w:tblInd w:w="-5" w:type="dxa"/>
        <w:tblLayout w:type="fixed"/>
        <w:tblLook w:val="0000" w:firstRow="0" w:lastRow="0" w:firstColumn="0" w:lastColumn="0" w:noHBand="0" w:noVBand="0"/>
      </w:tblPr>
      <w:tblGrid>
        <w:gridCol w:w="2488"/>
        <w:gridCol w:w="4342"/>
        <w:gridCol w:w="836"/>
        <w:gridCol w:w="839"/>
        <w:gridCol w:w="836"/>
        <w:gridCol w:w="836"/>
        <w:gridCol w:w="839"/>
        <w:gridCol w:w="836"/>
        <w:gridCol w:w="836"/>
        <w:gridCol w:w="839"/>
        <w:gridCol w:w="701"/>
      </w:tblGrid>
      <w:tr w:rsidR="00E40657" w14:paraId="0FD7E29E" w14:textId="77777777" w:rsidTr="00B15037">
        <w:tc>
          <w:tcPr>
            <w:tcW w:w="2488" w:type="dxa"/>
            <w:vMerge w:val="restart"/>
            <w:tcBorders>
              <w:top w:val="single" w:sz="4" w:space="0" w:color="000000"/>
              <w:left w:val="single" w:sz="4" w:space="0" w:color="000000"/>
              <w:bottom w:val="single" w:sz="4" w:space="0" w:color="000000"/>
            </w:tcBorders>
          </w:tcPr>
          <w:p w14:paraId="44A36DA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Druh pístového spalovacího motoru</w:t>
            </w:r>
          </w:p>
        </w:tc>
        <w:tc>
          <w:tcPr>
            <w:tcW w:w="4342" w:type="dxa"/>
            <w:vMerge w:val="restart"/>
            <w:tcBorders>
              <w:top w:val="single" w:sz="4" w:space="0" w:color="000000"/>
              <w:left w:val="single" w:sz="4" w:space="0" w:color="000000"/>
              <w:bottom w:val="single" w:sz="4" w:space="0" w:color="000000"/>
            </w:tcBorders>
          </w:tcPr>
          <w:p w14:paraId="4CB21BD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Druh paliva</w:t>
            </w:r>
          </w:p>
        </w:tc>
        <w:tc>
          <w:tcPr>
            <w:tcW w:w="7398" w:type="dxa"/>
            <w:gridSpan w:val="9"/>
            <w:tcBorders>
              <w:top w:val="single" w:sz="4" w:space="0" w:color="000000"/>
              <w:left w:val="single" w:sz="4" w:space="0" w:color="000000"/>
              <w:bottom w:val="single" w:sz="4" w:space="0" w:color="000000"/>
              <w:right w:val="single" w:sz="4" w:space="0" w:color="000000"/>
            </w:tcBorders>
          </w:tcPr>
          <w:p w14:paraId="67E3238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4766CFE5" w14:textId="77777777" w:rsidTr="00B15037">
        <w:tc>
          <w:tcPr>
            <w:tcW w:w="2488" w:type="dxa"/>
            <w:vMerge/>
            <w:tcBorders>
              <w:top w:val="single" w:sz="4" w:space="0" w:color="000000"/>
              <w:left w:val="single" w:sz="4" w:space="0" w:color="000000"/>
              <w:bottom w:val="single" w:sz="4" w:space="0" w:color="000000"/>
            </w:tcBorders>
          </w:tcPr>
          <w:p w14:paraId="681D8DAE" w14:textId="77777777" w:rsidR="006945AD" w:rsidRPr="0030358C" w:rsidRDefault="006945AD" w:rsidP="00B15037">
            <w:pPr>
              <w:rPr>
                <w:rFonts w:ascii="Arial" w:hAnsi="Arial" w:cs="Arial"/>
                <w:b/>
                <w:bCs/>
                <w:sz w:val="22"/>
                <w:szCs w:val="22"/>
              </w:rPr>
            </w:pPr>
          </w:p>
        </w:tc>
        <w:tc>
          <w:tcPr>
            <w:tcW w:w="4342" w:type="dxa"/>
            <w:vMerge/>
            <w:tcBorders>
              <w:top w:val="single" w:sz="4" w:space="0" w:color="000000"/>
              <w:left w:val="single" w:sz="4" w:space="0" w:color="000000"/>
              <w:bottom w:val="single" w:sz="4" w:space="0" w:color="000000"/>
            </w:tcBorders>
          </w:tcPr>
          <w:p w14:paraId="50D13496" w14:textId="77777777" w:rsidR="006945AD" w:rsidRPr="0030358C" w:rsidRDefault="006945AD" w:rsidP="00B15037">
            <w:pPr>
              <w:rPr>
                <w:rFonts w:ascii="Arial" w:hAnsi="Arial" w:cs="Arial"/>
                <w:b/>
                <w:bCs/>
                <w:sz w:val="22"/>
                <w:szCs w:val="22"/>
              </w:rPr>
            </w:pPr>
          </w:p>
        </w:tc>
        <w:tc>
          <w:tcPr>
            <w:tcW w:w="2511" w:type="dxa"/>
            <w:gridSpan w:val="3"/>
            <w:tcBorders>
              <w:top w:val="single" w:sz="4" w:space="0" w:color="000000"/>
              <w:left w:val="single" w:sz="4" w:space="0" w:color="000000"/>
              <w:bottom w:val="single" w:sz="4" w:space="0" w:color="000000"/>
            </w:tcBorders>
          </w:tcPr>
          <w:p w14:paraId="04DB394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 1 MW</w:t>
            </w:r>
          </w:p>
        </w:tc>
        <w:tc>
          <w:tcPr>
            <w:tcW w:w="2511" w:type="dxa"/>
            <w:gridSpan w:val="3"/>
            <w:tcBorders>
              <w:top w:val="single" w:sz="4" w:space="0" w:color="000000"/>
              <w:left w:val="single" w:sz="4" w:space="0" w:color="000000"/>
              <w:bottom w:val="single" w:sz="4" w:space="0" w:color="000000"/>
            </w:tcBorders>
          </w:tcPr>
          <w:p w14:paraId="693244D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1 – 5 MW</w:t>
            </w:r>
          </w:p>
        </w:tc>
        <w:tc>
          <w:tcPr>
            <w:tcW w:w="2376" w:type="dxa"/>
            <w:gridSpan w:val="3"/>
            <w:tcBorders>
              <w:top w:val="single" w:sz="4" w:space="0" w:color="000000"/>
              <w:left w:val="single" w:sz="4" w:space="0" w:color="000000"/>
              <w:bottom w:val="single" w:sz="4" w:space="0" w:color="000000"/>
              <w:right w:val="single" w:sz="4" w:space="0" w:color="000000"/>
            </w:tcBorders>
          </w:tcPr>
          <w:p w14:paraId="4888E93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zrušeno</w:t>
            </w:r>
          </w:p>
        </w:tc>
      </w:tr>
      <w:tr w:rsidR="00E40657" w14:paraId="5B706A77" w14:textId="77777777" w:rsidTr="00B15037">
        <w:tc>
          <w:tcPr>
            <w:tcW w:w="2488" w:type="dxa"/>
            <w:vMerge/>
            <w:tcBorders>
              <w:top w:val="single" w:sz="4" w:space="0" w:color="000000"/>
              <w:left w:val="single" w:sz="4" w:space="0" w:color="000000"/>
              <w:bottom w:val="single" w:sz="4" w:space="0" w:color="000000"/>
            </w:tcBorders>
          </w:tcPr>
          <w:p w14:paraId="4E426EE4" w14:textId="77777777" w:rsidR="006945AD" w:rsidRPr="0030358C" w:rsidRDefault="006945AD" w:rsidP="00B15037">
            <w:pPr>
              <w:rPr>
                <w:rFonts w:ascii="Arial" w:hAnsi="Arial" w:cs="Arial"/>
                <w:b/>
                <w:bCs/>
                <w:sz w:val="22"/>
                <w:szCs w:val="22"/>
              </w:rPr>
            </w:pPr>
          </w:p>
        </w:tc>
        <w:tc>
          <w:tcPr>
            <w:tcW w:w="4342" w:type="dxa"/>
            <w:vMerge/>
            <w:tcBorders>
              <w:top w:val="single" w:sz="4" w:space="0" w:color="000000"/>
              <w:left w:val="single" w:sz="4" w:space="0" w:color="000000"/>
              <w:bottom w:val="single" w:sz="4" w:space="0" w:color="000000"/>
            </w:tcBorders>
          </w:tcPr>
          <w:p w14:paraId="65A4ED7A" w14:textId="77777777" w:rsidR="006945AD" w:rsidRPr="0030358C" w:rsidRDefault="006945AD" w:rsidP="00B15037">
            <w:pP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03375A8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839" w:type="dxa"/>
            <w:tcBorders>
              <w:top w:val="single" w:sz="4" w:space="0" w:color="000000"/>
              <w:left w:val="single" w:sz="4" w:space="0" w:color="000000"/>
              <w:bottom w:val="single" w:sz="4" w:space="0" w:color="000000"/>
            </w:tcBorders>
          </w:tcPr>
          <w:p w14:paraId="7D99CF6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836" w:type="dxa"/>
            <w:tcBorders>
              <w:top w:val="single" w:sz="4" w:space="0" w:color="000000"/>
              <w:left w:val="single" w:sz="4" w:space="0" w:color="000000"/>
              <w:bottom w:val="single" w:sz="4" w:space="0" w:color="000000"/>
            </w:tcBorders>
          </w:tcPr>
          <w:p w14:paraId="10B5954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836" w:type="dxa"/>
            <w:tcBorders>
              <w:top w:val="single" w:sz="4" w:space="0" w:color="000000"/>
              <w:left w:val="single" w:sz="4" w:space="0" w:color="000000"/>
              <w:bottom w:val="single" w:sz="4" w:space="0" w:color="000000"/>
            </w:tcBorders>
          </w:tcPr>
          <w:p w14:paraId="212BC77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839" w:type="dxa"/>
            <w:tcBorders>
              <w:top w:val="single" w:sz="4" w:space="0" w:color="000000"/>
              <w:left w:val="single" w:sz="4" w:space="0" w:color="000000"/>
              <w:bottom w:val="single" w:sz="4" w:space="0" w:color="000000"/>
            </w:tcBorders>
          </w:tcPr>
          <w:p w14:paraId="278EF1F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836" w:type="dxa"/>
            <w:tcBorders>
              <w:top w:val="single" w:sz="4" w:space="0" w:color="000000"/>
              <w:left w:val="single" w:sz="4" w:space="0" w:color="000000"/>
              <w:bottom w:val="single" w:sz="4" w:space="0" w:color="000000"/>
            </w:tcBorders>
          </w:tcPr>
          <w:p w14:paraId="31E4BE1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836" w:type="dxa"/>
            <w:tcBorders>
              <w:top w:val="single" w:sz="4" w:space="0" w:color="000000"/>
              <w:left w:val="single" w:sz="4" w:space="0" w:color="000000"/>
              <w:bottom w:val="single" w:sz="4" w:space="0" w:color="000000"/>
            </w:tcBorders>
          </w:tcPr>
          <w:p w14:paraId="2F5D1E6C"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2264D334" w14:textId="77777777" w:rsidR="006945AD" w:rsidRPr="0030358C" w:rsidRDefault="006945AD" w:rsidP="00B15037">
            <w:pPr>
              <w:jc w:val="center"/>
              <w:rPr>
                <w:rFonts w:ascii="Arial" w:hAnsi="Arial" w:cs="Arial"/>
                <w:b/>
                <w:bCs/>
                <w:sz w:val="22"/>
                <w:szCs w:val="22"/>
              </w:rPr>
            </w:pPr>
          </w:p>
        </w:tc>
        <w:tc>
          <w:tcPr>
            <w:tcW w:w="701" w:type="dxa"/>
            <w:tcBorders>
              <w:top w:val="single" w:sz="4" w:space="0" w:color="000000"/>
              <w:left w:val="single" w:sz="4" w:space="0" w:color="000000"/>
              <w:bottom w:val="single" w:sz="4" w:space="0" w:color="000000"/>
              <w:right w:val="single" w:sz="4" w:space="0" w:color="000000"/>
            </w:tcBorders>
          </w:tcPr>
          <w:p w14:paraId="11072DB0" w14:textId="77777777" w:rsidR="006945AD" w:rsidRPr="0030358C" w:rsidRDefault="006945AD" w:rsidP="00B15037">
            <w:pPr>
              <w:jc w:val="center"/>
              <w:rPr>
                <w:rFonts w:ascii="Arial" w:hAnsi="Arial" w:cs="Arial"/>
                <w:b/>
                <w:bCs/>
                <w:sz w:val="22"/>
                <w:szCs w:val="22"/>
              </w:rPr>
            </w:pPr>
          </w:p>
        </w:tc>
      </w:tr>
      <w:tr w:rsidR="00E40657" w14:paraId="77C647B9" w14:textId="77777777" w:rsidTr="00B15037">
        <w:trPr>
          <w:trHeight w:val="399"/>
        </w:trPr>
        <w:tc>
          <w:tcPr>
            <w:tcW w:w="2488" w:type="dxa"/>
            <w:vMerge w:val="restart"/>
            <w:tcBorders>
              <w:top w:val="single" w:sz="4" w:space="0" w:color="000000"/>
              <w:left w:val="single" w:sz="4" w:space="0" w:color="000000"/>
              <w:bottom w:val="single" w:sz="4" w:space="0" w:color="000000"/>
            </w:tcBorders>
          </w:tcPr>
          <w:p w14:paraId="02B1338C"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Plynový motor</w:t>
            </w:r>
          </w:p>
        </w:tc>
        <w:tc>
          <w:tcPr>
            <w:tcW w:w="4342" w:type="dxa"/>
            <w:tcBorders>
              <w:top w:val="single" w:sz="4" w:space="0" w:color="000000"/>
              <w:left w:val="single" w:sz="4" w:space="0" w:color="000000"/>
              <w:bottom w:val="single" w:sz="4" w:space="0" w:color="000000"/>
            </w:tcBorders>
          </w:tcPr>
          <w:p w14:paraId="63132CF1"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zrušeno</w:t>
            </w:r>
          </w:p>
        </w:tc>
        <w:tc>
          <w:tcPr>
            <w:tcW w:w="836" w:type="dxa"/>
            <w:tcBorders>
              <w:top w:val="single" w:sz="4" w:space="0" w:color="000000"/>
              <w:left w:val="single" w:sz="4" w:space="0" w:color="000000"/>
              <w:bottom w:val="single" w:sz="4" w:space="0" w:color="000000"/>
            </w:tcBorders>
          </w:tcPr>
          <w:p w14:paraId="71B00466"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08A5AEA6"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5729D7DE"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7B4B3703"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0F8A665A"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4B8552B3"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54C28C38"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468A2F76" w14:textId="77777777" w:rsidR="006945AD" w:rsidRPr="0030358C" w:rsidRDefault="006945AD" w:rsidP="00B15037">
            <w:pPr>
              <w:jc w:val="center"/>
              <w:rPr>
                <w:rFonts w:ascii="Arial" w:hAnsi="Arial" w:cs="Arial"/>
                <w:b/>
                <w:bCs/>
                <w:sz w:val="22"/>
                <w:szCs w:val="22"/>
              </w:rPr>
            </w:pPr>
          </w:p>
        </w:tc>
        <w:tc>
          <w:tcPr>
            <w:tcW w:w="701" w:type="dxa"/>
            <w:tcBorders>
              <w:top w:val="single" w:sz="4" w:space="0" w:color="000000"/>
              <w:left w:val="single" w:sz="4" w:space="0" w:color="000000"/>
              <w:bottom w:val="single" w:sz="4" w:space="0" w:color="000000"/>
              <w:right w:val="single" w:sz="4" w:space="0" w:color="000000"/>
            </w:tcBorders>
          </w:tcPr>
          <w:p w14:paraId="3E4BAA05" w14:textId="77777777" w:rsidR="006945AD" w:rsidRPr="0030358C" w:rsidRDefault="006945AD" w:rsidP="00B15037">
            <w:pPr>
              <w:jc w:val="center"/>
              <w:rPr>
                <w:rFonts w:ascii="Arial" w:hAnsi="Arial" w:cs="Arial"/>
                <w:b/>
                <w:bCs/>
                <w:sz w:val="22"/>
                <w:szCs w:val="22"/>
              </w:rPr>
            </w:pPr>
          </w:p>
        </w:tc>
      </w:tr>
      <w:tr w:rsidR="00E40657" w14:paraId="1E725C8D" w14:textId="77777777" w:rsidTr="00B15037">
        <w:tc>
          <w:tcPr>
            <w:tcW w:w="2488" w:type="dxa"/>
            <w:vMerge/>
            <w:tcBorders>
              <w:top w:val="single" w:sz="4" w:space="0" w:color="000000"/>
              <w:left w:val="single" w:sz="4" w:space="0" w:color="000000"/>
              <w:bottom w:val="single" w:sz="4" w:space="0" w:color="000000"/>
            </w:tcBorders>
          </w:tcPr>
          <w:p w14:paraId="0CBA701B" w14:textId="77777777" w:rsidR="006945AD" w:rsidRPr="0030358C" w:rsidRDefault="006945AD" w:rsidP="00B15037">
            <w:pPr>
              <w:rPr>
                <w:rFonts w:ascii="Arial" w:hAnsi="Arial" w:cs="Arial"/>
                <w:b/>
                <w:bCs/>
                <w:sz w:val="22"/>
                <w:szCs w:val="22"/>
              </w:rPr>
            </w:pPr>
          </w:p>
        </w:tc>
        <w:tc>
          <w:tcPr>
            <w:tcW w:w="4342" w:type="dxa"/>
            <w:tcBorders>
              <w:top w:val="single" w:sz="4" w:space="0" w:color="000000"/>
              <w:left w:val="single" w:sz="4" w:space="0" w:color="000000"/>
              <w:bottom w:val="single" w:sz="4" w:space="0" w:color="000000"/>
            </w:tcBorders>
          </w:tcPr>
          <w:p w14:paraId="676B84DD"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zrušeno</w:t>
            </w:r>
          </w:p>
        </w:tc>
        <w:tc>
          <w:tcPr>
            <w:tcW w:w="836" w:type="dxa"/>
            <w:tcBorders>
              <w:top w:val="single" w:sz="4" w:space="0" w:color="000000"/>
              <w:left w:val="single" w:sz="4" w:space="0" w:color="000000"/>
              <w:bottom w:val="single" w:sz="4" w:space="0" w:color="000000"/>
            </w:tcBorders>
          </w:tcPr>
          <w:p w14:paraId="22D4EFF3"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5E05F2B3"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253CAA6D"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2362D291"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2134DCA5"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040162DD"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443A5F3F"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0E64DF1D" w14:textId="77777777" w:rsidR="006945AD" w:rsidRPr="0030358C" w:rsidRDefault="006945AD" w:rsidP="00B15037">
            <w:pPr>
              <w:jc w:val="center"/>
              <w:rPr>
                <w:rFonts w:ascii="Arial" w:hAnsi="Arial" w:cs="Arial"/>
                <w:b/>
                <w:bCs/>
                <w:sz w:val="22"/>
                <w:szCs w:val="22"/>
              </w:rPr>
            </w:pPr>
          </w:p>
        </w:tc>
        <w:tc>
          <w:tcPr>
            <w:tcW w:w="701" w:type="dxa"/>
            <w:tcBorders>
              <w:top w:val="single" w:sz="4" w:space="0" w:color="000000"/>
              <w:left w:val="single" w:sz="4" w:space="0" w:color="000000"/>
              <w:bottom w:val="single" w:sz="4" w:space="0" w:color="000000"/>
              <w:right w:val="single" w:sz="4" w:space="0" w:color="000000"/>
            </w:tcBorders>
          </w:tcPr>
          <w:p w14:paraId="4ED00C3D" w14:textId="77777777" w:rsidR="006945AD" w:rsidRPr="0030358C" w:rsidRDefault="006945AD" w:rsidP="00B15037">
            <w:pPr>
              <w:jc w:val="center"/>
              <w:rPr>
                <w:rFonts w:ascii="Arial" w:hAnsi="Arial" w:cs="Arial"/>
                <w:b/>
                <w:bCs/>
                <w:sz w:val="22"/>
                <w:szCs w:val="22"/>
              </w:rPr>
            </w:pPr>
          </w:p>
        </w:tc>
      </w:tr>
      <w:tr w:rsidR="00E40657" w14:paraId="61EE49D8" w14:textId="77777777" w:rsidTr="00B15037">
        <w:tc>
          <w:tcPr>
            <w:tcW w:w="2488" w:type="dxa"/>
            <w:vMerge/>
            <w:tcBorders>
              <w:top w:val="single" w:sz="4" w:space="0" w:color="000000"/>
              <w:left w:val="single" w:sz="4" w:space="0" w:color="000000"/>
              <w:bottom w:val="single" w:sz="4" w:space="0" w:color="000000"/>
            </w:tcBorders>
          </w:tcPr>
          <w:p w14:paraId="24553F47" w14:textId="77777777" w:rsidR="006945AD" w:rsidRPr="0030358C" w:rsidRDefault="006945AD" w:rsidP="00B15037">
            <w:pPr>
              <w:rPr>
                <w:rFonts w:ascii="Arial" w:hAnsi="Arial" w:cs="Arial"/>
                <w:b/>
                <w:bCs/>
                <w:sz w:val="22"/>
                <w:szCs w:val="22"/>
              </w:rPr>
            </w:pPr>
          </w:p>
        </w:tc>
        <w:tc>
          <w:tcPr>
            <w:tcW w:w="4342" w:type="dxa"/>
            <w:tcBorders>
              <w:top w:val="single" w:sz="4" w:space="0" w:color="000000"/>
              <w:left w:val="single" w:sz="4" w:space="0" w:color="000000"/>
              <w:bottom w:val="single" w:sz="4" w:space="0" w:color="000000"/>
            </w:tcBorders>
          </w:tcPr>
          <w:p w14:paraId="75694727"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Plynné palivo obecně</w:t>
            </w:r>
          </w:p>
        </w:tc>
        <w:tc>
          <w:tcPr>
            <w:tcW w:w="836" w:type="dxa"/>
            <w:tcBorders>
              <w:top w:val="single" w:sz="4" w:space="0" w:color="000000"/>
              <w:left w:val="single" w:sz="4" w:space="0" w:color="000000"/>
              <w:bottom w:val="single" w:sz="4" w:space="0" w:color="000000"/>
            </w:tcBorders>
          </w:tcPr>
          <w:p w14:paraId="62DBA47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1000</w:t>
            </w:r>
          </w:p>
        </w:tc>
        <w:tc>
          <w:tcPr>
            <w:tcW w:w="839" w:type="dxa"/>
            <w:tcBorders>
              <w:top w:val="single" w:sz="4" w:space="0" w:color="000000"/>
              <w:left w:val="single" w:sz="4" w:space="0" w:color="000000"/>
              <w:bottom w:val="single" w:sz="4" w:space="0" w:color="000000"/>
            </w:tcBorders>
          </w:tcPr>
          <w:p w14:paraId="1F42636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836" w:type="dxa"/>
            <w:tcBorders>
              <w:top w:val="single" w:sz="4" w:space="0" w:color="000000"/>
              <w:left w:val="single" w:sz="4" w:space="0" w:color="000000"/>
              <w:bottom w:val="single" w:sz="4" w:space="0" w:color="000000"/>
            </w:tcBorders>
          </w:tcPr>
          <w:p w14:paraId="50EBE99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1300</w:t>
            </w:r>
          </w:p>
        </w:tc>
        <w:tc>
          <w:tcPr>
            <w:tcW w:w="836" w:type="dxa"/>
            <w:tcBorders>
              <w:top w:val="single" w:sz="4" w:space="0" w:color="000000"/>
              <w:left w:val="single" w:sz="4" w:space="0" w:color="000000"/>
              <w:bottom w:val="single" w:sz="4" w:space="0" w:color="000000"/>
            </w:tcBorders>
          </w:tcPr>
          <w:p w14:paraId="056C2B4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p w14:paraId="21C5273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1000</w:t>
            </w:r>
            <w:r w:rsidRPr="0030358C">
              <w:rPr>
                <w:rFonts w:ascii="Arial" w:hAnsi="Arial" w:cs="Arial"/>
                <w:b/>
                <w:bCs/>
                <w:sz w:val="22"/>
                <w:szCs w:val="22"/>
                <w:vertAlign w:val="superscript"/>
              </w:rPr>
              <w:t>3)</w:t>
            </w:r>
          </w:p>
        </w:tc>
        <w:tc>
          <w:tcPr>
            <w:tcW w:w="839" w:type="dxa"/>
            <w:tcBorders>
              <w:top w:val="single" w:sz="4" w:space="0" w:color="000000"/>
              <w:left w:val="single" w:sz="4" w:space="0" w:color="000000"/>
              <w:bottom w:val="single" w:sz="4" w:space="0" w:color="000000"/>
            </w:tcBorders>
          </w:tcPr>
          <w:p w14:paraId="237D924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130</w:t>
            </w:r>
          </w:p>
        </w:tc>
        <w:tc>
          <w:tcPr>
            <w:tcW w:w="836" w:type="dxa"/>
            <w:tcBorders>
              <w:top w:val="single" w:sz="4" w:space="0" w:color="000000"/>
              <w:left w:val="single" w:sz="4" w:space="0" w:color="000000"/>
              <w:bottom w:val="single" w:sz="4" w:space="0" w:color="000000"/>
            </w:tcBorders>
          </w:tcPr>
          <w:p w14:paraId="2361F4A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1300</w:t>
            </w:r>
          </w:p>
        </w:tc>
        <w:tc>
          <w:tcPr>
            <w:tcW w:w="836" w:type="dxa"/>
            <w:tcBorders>
              <w:top w:val="single" w:sz="4" w:space="0" w:color="000000"/>
              <w:left w:val="single" w:sz="4" w:space="0" w:color="000000"/>
              <w:bottom w:val="single" w:sz="4" w:space="0" w:color="000000"/>
            </w:tcBorders>
          </w:tcPr>
          <w:p w14:paraId="7FF3875A"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3C9C7BFC" w14:textId="77777777" w:rsidR="006945AD" w:rsidRPr="0030358C" w:rsidRDefault="006945AD" w:rsidP="00B15037">
            <w:pPr>
              <w:jc w:val="center"/>
              <w:rPr>
                <w:rFonts w:ascii="Arial" w:hAnsi="Arial" w:cs="Arial"/>
                <w:b/>
                <w:bCs/>
                <w:sz w:val="22"/>
                <w:szCs w:val="22"/>
              </w:rPr>
            </w:pPr>
          </w:p>
        </w:tc>
        <w:tc>
          <w:tcPr>
            <w:tcW w:w="701" w:type="dxa"/>
            <w:tcBorders>
              <w:top w:val="single" w:sz="4" w:space="0" w:color="000000"/>
              <w:left w:val="single" w:sz="4" w:space="0" w:color="000000"/>
              <w:bottom w:val="single" w:sz="4" w:space="0" w:color="000000"/>
              <w:right w:val="single" w:sz="4" w:space="0" w:color="000000"/>
            </w:tcBorders>
          </w:tcPr>
          <w:p w14:paraId="5A4D48CA" w14:textId="77777777" w:rsidR="006945AD" w:rsidRPr="0030358C" w:rsidRDefault="006945AD" w:rsidP="00B15037">
            <w:pPr>
              <w:jc w:val="center"/>
              <w:rPr>
                <w:rFonts w:ascii="Arial" w:hAnsi="Arial" w:cs="Arial"/>
                <w:b/>
                <w:bCs/>
                <w:sz w:val="22"/>
                <w:szCs w:val="22"/>
              </w:rPr>
            </w:pPr>
          </w:p>
        </w:tc>
      </w:tr>
      <w:tr w:rsidR="00E40657" w14:paraId="3FB0543F" w14:textId="77777777" w:rsidTr="00B15037">
        <w:tc>
          <w:tcPr>
            <w:tcW w:w="2488" w:type="dxa"/>
            <w:vMerge w:val="restart"/>
            <w:tcBorders>
              <w:top w:val="single" w:sz="4" w:space="0" w:color="000000"/>
              <w:left w:val="single" w:sz="4" w:space="0" w:color="000000"/>
              <w:bottom w:val="single" w:sz="4" w:space="0" w:color="000000"/>
            </w:tcBorders>
          </w:tcPr>
          <w:p w14:paraId="0D93C2DB"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Dieselový motor</w:t>
            </w:r>
          </w:p>
        </w:tc>
        <w:tc>
          <w:tcPr>
            <w:tcW w:w="4342" w:type="dxa"/>
            <w:tcBorders>
              <w:top w:val="single" w:sz="4" w:space="0" w:color="000000"/>
              <w:left w:val="single" w:sz="4" w:space="0" w:color="000000"/>
              <w:bottom w:val="single" w:sz="4" w:space="0" w:color="000000"/>
            </w:tcBorders>
          </w:tcPr>
          <w:p w14:paraId="78A707CC"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zrušeno</w:t>
            </w:r>
          </w:p>
        </w:tc>
        <w:tc>
          <w:tcPr>
            <w:tcW w:w="836" w:type="dxa"/>
            <w:tcBorders>
              <w:top w:val="single" w:sz="4" w:space="0" w:color="000000"/>
              <w:left w:val="single" w:sz="4" w:space="0" w:color="000000"/>
              <w:bottom w:val="single" w:sz="4" w:space="0" w:color="000000"/>
            </w:tcBorders>
          </w:tcPr>
          <w:p w14:paraId="3AE31ED0"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3621D539"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4AFDC65F"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04AFFC1D"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6E679097"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1622E991"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54672B21"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14EE6775" w14:textId="77777777" w:rsidR="006945AD" w:rsidRPr="0030358C" w:rsidRDefault="006945AD" w:rsidP="00B15037">
            <w:pPr>
              <w:jc w:val="center"/>
              <w:rPr>
                <w:rFonts w:ascii="Arial" w:hAnsi="Arial" w:cs="Arial"/>
                <w:b/>
                <w:bCs/>
                <w:sz w:val="22"/>
                <w:szCs w:val="22"/>
              </w:rPr>
            </w:pPr>
          </w:p>
        </w:tc>
        <w:tc>
          <w:tcPr>
            <w:tcW w:w="701" w:type="dxa"/>
            <w:tcBorders>
              <w:top w:val="single" w:sz="4" w:space="0" w:color="000000"/>
              <w:left w:val="single" w:sz="4" w:space="0" w:color="000000"/>
              <w:bottom w:val="single" w:sz="4" w:space="0" w:color="000000"/>
              <w:right w:val="single" w:sz="4" w:space="0" w:color="000000"/>
            </w:tcBorders>
          </w:tcPr>
          <w:p w14:paraId="1903BE83" w14:textId="77777777" w:rsidR="006945AD" w:rsidRPr="0030358C" w:rsidRDefault="006945AD" w:rsidP="00B15037">
            <w:pPr>
              <w:jc w:val="center"/>
              <w:rPr>
                <w:rFonts w:ascii="Arial" w:hAnsi="Arial" w:cs="Arial"/>
                <w:b/>
                <w:bCs/>
                <w:sz w:val="22"/>
                <w:szCs w:val="22"/>
              </w:rPr>
            </w:pPr>
          </w:p>
        </w:tc>
      </w:tr>
      <w:tr w:rsidR="00E40657" w14:paraId="7A23D01C" w14:textId="77777777" w:rsidTr="00B15037">
        <w:tc>
          <w:tcPr>
            <w:tcW w:w="2488" w:type="dxa"/>
            <w:vMerge/>
            <w:tcBorders>
              <w:top w:val="single" w:sz="4" w:space="0" w:color="000000"/>
              <w:left w:val="single" w:sz="4" w:space="0" w:color="000000"/>
              <w:bottom w:val="single" w:sz="4" w:space="0" w:color="000000"/>
            </w:tcBorders>
          </w:tcPr>
          <w:p w14:paraId="6A9CD89D" w14:textId="77777777" w:rsidR="006945AD" w:rsidRPr="0030358C" w:rsidRDefault="006945AD" w:rsidP="00B15037">
            <w:pPr>
              <w:rPr>
                <w:rFonts w:ascii="Arial" w:hAnsi="Arial" w:cs="Arial"/>
                <w:b/>
                <w:bCs/>
                <w:sz w:val="22"/>
                <w:szCs w:val="22"/>
              </w:rPr>
            </w:pPr>
          </w:p>
        </w:tc>
        <w:tc>
          <w:tcPr>
            <w:tcW w:w="4342" w:type="dxa"/>
            <w:tcBorders>
              <w:top w:val="single" w:sz="4" w:space="0" w:color="000000"/>
              <w:left w:val="single" w:sz="4" w:space="0" w:color="000000"/>
              <w:bottom w:val="single" w:sz="4" w:space="0" w:color="000000"/>
            </w:tcBorders>
          </w:tcPr>
          <w:p w14:paraId="1E2EF62C"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zrušeno</w:t>
            </w:r>
          </w:p>
        </w:tc>
        <w:tc>
          <w:tcPr>
            <w:tcW w:w="836" w:type="dxa"/>
            <w:tcBorders>
              <w:top w:val="single" w:sz="4" w:space="0" w:color="000000"/>
              <w:left w:val="single" w:sz="4" w:space="0" w:color="000000"/>
              <w:bottom w:val="single" w:sz="4" w:space="0" w:color="000000"/>
            </w:tcBorders>
          </w:tcPr>
          <w:p w14:paraId="0AA6C87C"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3B65F000"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50B4F742"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497E6EDA"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126F6CCD"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57ADB283" w14:textId="77777777" w:rsidR="006945AD" w:rsidRPr="0030358C" w:rsidRDefault="006945AD" w:rsidP="00B15037">
            <w:pPr>
              <w:jc w:val="center"/>
              <w:rPr>
                <w:rFonts w:ascii="Arial" w:hAnsi="Arial" w:cs="Arial"/>
                <w:b/>
                <w:bCs/>
                <w:sz w:val="22"/>
                <w:szCs w:val="22"/>
              </w:rPr>
            </w:pPr>
          </w:p>
        </w:tc>
        <w:tc>
          <w:tcPr>
            <w:tcW w:w="836" w:type="dxa"/>
            <w:tcBorders>
              <w:top w:val="single" w:sz="4" w:space="0" w:color="000000"/>
              <w:left w:val="single" w:sz="4" w:space="0" w:color="000000"/>
              <w:bottom w:val="single" w:sz="4" w:space="0" w:color="000000"/>
            </w:tcBorders>
          </w:tcPr>
          <w:p w14:paraId="3DA634B7"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2C412440" w14:textId="77777777" w:rsidR="006945AD" w:rsidRPr="0030358C" w:rsidRDefault="006945AD" w:rsidP="00B15037">
            <w:pPr>
              <w:jc w:val="center"/>
              <w:rPr>
                <w:rFonts w:ascii="Arial" w:hAnsi="Arial" w:cs="Arial"/>
                <w:b/>
                <w:bCs/>
                <w:sz w:val="22"/>
                <w:szCs w:val="22"/>
              </w:rPr>
            </w:pPr>
          </w:p>
        </w:tc>
        <w:tc>
          <w:tcPr>
            <w:tcW w:w="701" w:type="dxa"/>
            <w:tcBorders>
              <w:top w:val="single" w:sz="4" w:space="0" w:color="000000"/>
              <w:left w:val="single" w:sz="4" w:space="0" w:color="000000"/>
              <w:bottom w:val="single" w:sz="4" w:space="0" w:color="000000"/>
              <w:right w:val="single" w:sz="4" w:space="0" w:color="000000"/>
            </w:tcBorders>
          </w:tcPr>
          <w:p w14:paraId="5A1887EF" w14:textId="77777777" w:rsidR="006945AD" w:rsidRPr="0030358C" w:rsidRDefault="006945AD" w:rsidP="00B15037">
            <w:pPr>
              <w:jc w:val="center"/>
              <w:rPr>
                <w:rFonts w:ascii="Arial" w:hAnsi="Arial" w:cs="Arial"/>
                <w:b/>
                <w:bCs/>
                <w:sz w:val="22"/>
                <w:szCs w:val="22"/>
              </w:rPr>
            </w:pPr>
          </w:p>
        </w:tc>
      </w:tr>
      <w:tr w:rsidR="00E40657" w14:paraId="474967B0" w14:textId="77777777" w:rsidTr="00B15037">
        <w:tc>
          <w:tcPr>
            <w:tcW w:w="2488" w:type="dxa"/>
            <w:vMerge/>
            <w:tcBorders>
              <w:top w:val="single" w:sz="4" w:space="0" w:color="000000"/>
              <w:left w:val="single" w:sz="4" w:space="0" w:color="000000"/>
              <w:bottom w:val="single" w:sz="4" w:space="0" w:color="000000"/>
            </w:tcBorders>
          </w:tcPr>
          <w:p w14:paraId="4AF3BEC7" w14:textId="77777777" w:rsidR="006945AD" w:rsidRPr="0030358C" w:rsidRDefault="006945AD" w:rsidP="00B15037">
            <w:pPr>
              <w:rPr>
                <w:rFonts w:ascii="Arial" w:hAnsi="Arial" w:cs="Arial"/>
                <w:b/>
                <w:bCs/>
                <w:sz w:val="22"/>
                <w:szCs w:val="22"/>
              </w:rPr>
            </w:pPr>
          </w:p>
        </w:tc>
        <w:tc>
          <w:tcPr>
            <w:tcW w:w="4342" w:type="dxa"/>
            <w:tcBorders>
              <w:top w:val="single" w:sz="4" w:space="0" w:color="000000"/>
              <w:left w:val="single" w:sz="4" w:space="0" w:color="000000"/>
              <w:bottom w:val="single" w:sz="4" w:space="0" w:color="000000"/>
            </w:tcBorders>
          </w:tcPr>
          <w:p w14:paraId="03EAB4D5"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Plynné palivo obecně</w:t>
            </w:r>
          </w:p>
        </w:tc>
        <w:tc>
          <w:tcPr>
            <w:tcW w:w="836" w:type="dxa"/>
            <w:tcBorders>
              <w:top w:val="single" w:sz="4" w:space="0" w:color="000000"/>
              <w:left w:val="single" w:sz="4" w:space="0" w:color="000000"/>
              <w:bottom w:val="single" w:sz="4" w:space="0" w:color="000000"/>
            </w:tcBorders>
          </w:tcPr>
          <w:p w14:paraId="5E280F5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4000</w:t>
            </w:r>
          </w:p>
        </w:tc>
        <w:tc>
          <w:tcPr>
            <w:tcW w:w="839" w:type="dxa"/>
            <w:tcBorders>
              <w:top w:val="single" w:sz="4" w:space="0" w:color="000000"/>
              <w:left w:val="single" w:sz="4" w:space="0" w:color="000000"/>
              <w:bottom w:val="single" w:sz="4" w:space="0" w:color="000000"/>
            </w:tcBorders>
          </w:tcPr>
          <w:p w14:paraId="41E267A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836" w:type="dxa"/>
            <w:tcBorders>
              <w:top w:val="single" w:sz="4" w:space="0" w:color="000000"/>
              <w:left w:val="single" w:sz="4" w:space="0" w:color="000000"/>
              <w:bottom w:val="single" w:sz="4" w:space="0" w:color="000000"/>
            </w:tcBorders>
          </w:tcPr>
          <w:p w14:paraId="25AE8D9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1300</w:t>
            </w:r>
          </w:p>
        </w:tc>
        <w:tc>
          <w:tcPr>
            <w:tcW w:w="836" w:type="dxa"/>
            <w:tcBorders>
              <w:top w:val="single" w:sz="4" w:space="0" w:color="000000"/>
              <w:left w:val="single" w:sz="4" w:space="0" w:color="000000"/>
              <w:bottom w:val="single" w:sz="4" w:space="0" w:color="000000"/>
            </w:tcBorders>
          </w:tcPr>
          <w:p w14:paraId="3479B3B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p w14:paraId="3BF13F1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4000</w:t>
            </w:r>
            <w:r w:rsidRPr="0030358C">
              <w:rPr>
                <w:rFonts w:ascii="Arial" w:hAnsi="Arial" w:cs="Arial"/>
                <w:b/>
                <w:bCs/>
                <w:sz w:val="22"/>
                <w:szCs w:val="22"/>
                <w:vertAlign w:val="superscript"/>
              </w:rPr>
              <w:t>3)</w:t>
            </w:r>
          </w:p>
        </w:tc>
        <w:tc>
          <w:tcPr>
            <w:tcW w:w="839" w:type="dxa"/>
            <w:tcBorders>
              <w:top w:val="single" w:sz="4" w:space="0" w:color="000000"/>
              <w:left w:val="single" w:sz="4" w:space="0" w:color="000000"/>
              <w:bottom w:val="single" w:sz="4" w:space="0" w:color="000000"/>
            </w:tcBorders>
          </w:tcPr>
          <w:p w14:paraId="310F132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130</w:t>
            </w:r>
          </w:p>
        </w:tc>
        <w:tc>
          <w:tcPr>
            <w:tcW w:w="836" w:type="dxa"/>
            <w:tcBorders>
              <w:top w:val="single" w:sz="4" w:space="0" w:color="000000"/>
              <w:left w:val="single" w:sz="4" w:space="0" w:color="000000"/>
              <w:bottom w:val="single" w:sz="4" w:space="0" w:color="000000"/>
            </w:tcBorders>
          </w:tcPr>
          <w:p w14:paraId="2A5D996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1300</w:t>
            </w:r>
          </w:p>
        </w:tc>
        <w:tc>
          <w:tcPr>
            <w:tcW w:w="836" w:type="dxa"/>
            <w:tcBorders>
              <w:top w:val="single" w:sz="4" w:space="0" w:color="000000"/>
              <w:left w:val="single" w:sz="4" w:space="0" w:color="000000"/>
              <w:bottom w:val="single" w:sz="4" w:space="0" w:color="000000"/>
            </w:tcBorders>
          </w:tcPr>
          <w:p w14:paraId="63D3CC87" w14:textId="77777777" w:rsidR="006945AD" w:rsidRPr="0030358C" w:rsidRDefault="006945AD" w:rsidP="00B15037">
            <w:pPr>
              <w:jc w:val="center"/>
              <w:rPr>
                <w:rFonts w:ascii="Arial" w:hAnsi="Arial" w:cs="Arial"/>
                <w:b/>
                <w:bCs/>
                <w:sz w:val="22"/>
                <w:szCs w:val="22"/>
              </w:rPr>
            </w:pPr>
          </w:p>
        </w:tc>
        <w:tc>
          <w:tcPr>
            <w:tcW w:w="839" w:type="dxa"/>
            <w:tcBorders>
              <w:top w:val="single" w:sz="4" w:space="0" w:color="000000"/>
              <w:left w:val="single" w:sz="4" w:space="0" w:color="000000"/>
              <w:bottom w:val="single" w:sz="4" w:space="0" w:color="000000"/>
            </w:tcBorders>
          </w:tcPr>
          <w:p w14:paraId="4F5A4064" w14:textId="77777777" w:rsidR="006945AD" w:rsidRPr="0030358C" w:rsidRDefault="006945AD" w:rsidP="00B15037">
            <w:pPr>
              <w:jc w:val="center"/>
              <w:rPr>
                <w:rFonts w:ascii="Arial" w:hAnsi="Arial" w:cs="Arial"/>
                <w:b/>
                <w:bCs/>
                <w:sz w:val="22"/>
                <w:szCs w:val="22"/>
              </w:rPr>
            </w:pPr>
          </w:p>
        </w:tc>
        <w:tc>
          <w:tcPr>
            <w:tcW w:w="701" w:type="dxa"/>
            <w:tcBorders>
              <w:top w:val="single" w:sz="4" w:space="0" w:color="000000"/>
              <w:left w:val="single" w:sz="4" w:space="0" w:color="000000"/>
              <w:bottom w:val="single" w:sz="4" w:space="0" w:color="000000"/>
              <w:right w:val="single" w:sz="4" w:space="0" w:color="000000"/>
            </w:tcBorders>
          </w:tcPr>
          <w:p w14:paraId="54652501" w14:textId="77777777" w:rsidR="006945AD" w:rsidRPr="0030358C" w:rsidRDefault="006945AD" w:rsidP="00B15037">
            <w:pPr>
              <w:jc w:val="center"/>
              <w:rPr>
                <w:rFonts w:ascii="Arial" w:hAnsi="Arial" w:cs="Arial"/>
                <w:b/>
                <w:bCs/>
                <w:sz w:val="22"/>
                <w:szCs w:val="22"/>
              </w:rPr>
            </w:pPr>
          </w:p>
        </w:tc>
      </w:tr>
    </w:tbl>
    <w:p w14:paraId="661B99FC" w14:textId="77777777" w:rsidR="008834DE" w:rsidRPr="0030358C" w:rsidRDefault="008834DE" w:rsidP="006945AD">
      <w:pPr>
        <w:rPr>
          <w:rFonts w:ascii="Arial" w:hAnsi="Arial" w:cs="Arial"/>
          <w:b/>
          <w:bCs/>
          <w:sz w:val="22"/>
          <w:szCs w:val="22"/>
        </w:rPr>
      </w:pPr>
    </w:p>
    <w:p w14:paraId="4BEF4A96" w14:textId="77777777" w:rsidR="006945AD" w:rsidRPr="0030358C" w:rsidRDefault="00000000" w:rsidP="006945AD">
      <w:pPr>
        <w:rPr>
          <w:rFonts w:ascii="Arial" w:hAnsi="Arial" w:cs="Arial"/>
          <w:b/>
          <w:bCs/>
          <w:sz w:val="22"/>
          <w:szCs w:val="22"/>
        </w:rPr>
      </w:pPr>
      <w:r w:rsidRPr="0030358C">
        <w:rPr>
          <w:rFonts w:ascii="Arial" w:hAnsi="Arial" w:cs="Arial"/>
          <w:b/>
          <w:bCs/>
          <w:sz w:val="22"/>
          <w:szCs w:val="22"/>
        </w:rPr>
        <w:t xml:space="preserve">Vysvětlivky: </w:t>
      </w:r>
    </w:p>
    <w:p w14:paraId="360D47DE"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lastRenderedPageBreak/>
        <w:t>1) zrušeno</w:t>
      </w:r>
    </w:p>
    <w:p w14:paraId="368ACE4A"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2) zrušeno</w:t>
      </w:r>
    </w:p>
    <w:p w14:paraId="0618C108"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3) Platí pouze pro pístové spalovací motory, jejichž stavba či přestavba byla zahájena před 17. květnem 2006.</w:t>
      </w:r>
    </w:p>
    <w:p w14:paraId="7EB202B4" w14:textId="77777777" w:rsidR="006945AD" w:rsidRPr="0030358C" w:rsidRDefault="006945AD" w:rsidP="006945AD">
      <w:pPr>
        <w:pStyle w:val="Odstavecseseznamem1"/>
        <w:widowControl w:val="0"/>
        <w:tabs>
          <w:tab w:val="left" w:pos="720"/>
        </w:tabs>
        <w:spacing w:line="200" w:lineRule="atLeast"/>
        <w:ind w:left="360" w:hanging="360"/>
        <w:jc w:val="both"/>
        <w:rPr>
          <w:rFonts w:ascii="Arial" w:hAnsi="Arial" w:cs="Arial"/>
          <w:b/>
          <w:bCs/>
          <w:sz w:val="22"/>
          <w:szCs w:val="22"/>
        </w:rPr>
      </w:pPr>
    </w:p>
    <w:p w14:paraId="0E1EB971" w14:textId="77777777" w:rsidR="006945AD" w:rsidRPr="0030358C" w:rsidRDefault="00000000" w:rsidP="006945AD">
      <w:pPr>
        <w:pStyle w:val="Odstavecseseznamem1"/>
        <w:widowControl w:val="0"/>
        <w:tabs>
          <w:tab w:val="left" w:pos="720"/>
        </w:tabs>
        <w:spacing w:line="200" w:lineRule="atLeast"/>
        <w:ind w:left="360" w:hanging="360"/>
        <w:jc w:val="both"/>
        <w:rPr>
          <w:rFonts w:ascii="Arial" w:hAnsi="Arial" w:cs="Arial"/>
          <w:b/>
          <w:bCs/>
          <w:sz w:val="22"/>
          <w:szCs w:val="22"/>
        </w:rPr>
      </w:pPr>
      <w:r w:rsidRPr="0030358C">
        <w:rPr>
          <w:rFonts w:ascii="Arial" w:hAnsi="Arial" w:cs="Arial"/>
          <w:b/>
          <w:bCs/>
          <w:sz w:val="22"/>
          <w:szCs w:val="22"/>
        </w:rPr>
        <w:t>1.3.  Specifické emisní limity pro plynové turbíny</w:t>
      </w:r>
    </w:p>
    <w:p w14:paraId="4BBCD5E1" w14:textId="77777777" w:rsidR="006945AD" w:rsidRPr="0030358C" w:rsidRDefault="006945AD" w:rsidP="006945AD">
      <w:pPr>
        <w:spacing w:line="200" w:lineRule="atLeast"/>
        <w:jc w:val="both"/>
        <w:rPr>
          <w:rFonts w:ascii="Arial" w:hAnsi="Arial" w:cs="Arial"/>
          <w:b/>
          <w:bCs/>
          <w:sz w:val="22"/>
          <w:szCs w:val="22"/>
        </w:rPr>
      </w:pPr>
    </w:p>
    <w:p w14:paraId="2665EA90" w14:textId="77777777" w:rsidR="006945AD" w:rsidRPr="0030358C" w:rsidRDefault="00000000" w:rsidP="006945AD">
      <w:pPr>
        <w:pStyle w:val="Odstavecseseznamem1"/>
        <w:widowControl w:val="0"/>
        <w:spacing w:line="200" w:lineRule="atLeast"/>
        <w:ind w:left="0"/>
        <w:jc w:val="both"/>
        <w:rPr>
          <w:rFonts w:ascii="Arial" w:hAnsi="Arial" w:cs="Arial"/>
          <w:b/>
          <w:bCs/>
          <w:sz w:val="22"/>
          <w:szCs w:val="22"/>
        </w:rPr>
      </w:pPr>
      <w:r w:rsidRPr="0030358C">
        <w:rPr>
          <w:rFonts w:ascii="Arial" w:hAnsi="Arial" w:cs="Arial"/>
          <w:b/>
          <w:bCs/>
          <w:sz w:val="22"/>
          <w:szCs w:val="22"/>
        </w:rPr>
        <w:t>Tabulka 1.3.1 - zrušena</w:t>
      </w:r>
    </w:p>
    <w:p w14:paraId="2EE45747" w14:textId="77777777" w:rsidR="006945AD" w:rsidRPr="0030358C" w:rsidRDefault="006945AD" w:rsidP="006945AD">
      <w:pPr>
        <w:pStyle w:val="Odstavecseseznamem1"/>
        <w:widowControl w:val="0"/>
        <w:spacing w:line="200" w:lineRule="atLeast"/>
        <w:ind w:left="0"/>
        <w:jc w:val="both"/>
        <w:rPr>
          <w:rFonts w:ascii="Arial" w:hAnsi="Arial" w:cs="Arial"/>
          <w:b/>
          <w:bCs/>
          <w:sz w:val="22"/>
          <w:szCs w:val="22"/>
        </w:rPr>
      </w:pPr>
    </w:p>
    <w:p w14:paraId="08F504C8" w14:textId="77777777" w:rsidR="006945AD" w:rsidRPr="0030358C" w:rsidRDefault="00000000" w:rsidP="006945AD">
      <w:pPr>
        <w:pStyle w:val="Odstavecseseznamem1"/>
        <w:widowControl w:val="0"/>
        <w:spacing w:line="200" w:lineRule="atLeast"/>
        <w:ind w:hanging="720"/>
        <w:jc w:val="both"/>
        <w:outlineLvl w:val="0"/>
        <w:rPr>
          <w:rFonts w:ascii="Arial" w:hAnsi="Arial" w:cs="Arial"/>
          <w:b/>
          <w:bCs/>
          <w:sz w:val="22"/>
          <w:szCs w:val="22"/>
        </w:rPr>
      </w:pPr>
      <w:r w:rsidRPr="0030358C">
        <w:rPr>
          <w:rFonts w:ascii="Arial" w:hAnsi="Arial" w:cs="Arial"/>
          <w:b/>
          <w:bCs/>
          <w:sz w:val="22"/>
          <w:szCs w:val="22"/>
        </w:rPr>
        <w:t>Tabulka 1.3.2  - Specifické emisní limity platné pro stacionární zdroje, pro něž byla podána kompletní žádost o povolení provozu nebo obdobné povolení podle dřívějších právních předpisů před 1. zářím 2013, a které byly uvedeny do provozu nejpozději 1. září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3"/>
        <w:gridCol w:w="3767"/>
        <w:gridCol w:w="3982"/>
      </w:tblGrid>
      <w:tr w:rsidR="00E40657" w14:paraId="79BC4107" w14:textId="77777777" w:rsidTr="00B15037">
        <w:trPr>
          <w:trHeight w:val="284"/>
        </w:trPr>
        <w:tc>
          <w:tcPr>
            <w:tcW w:w="2231" w:type="pct"/>
            <w:vMerge w:val="restart"/>
            <w:vAlign w:val="center"/>
          </w:tcPr>
          <w:p w14:paraId="3AC512CC"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Celkový jmenovitý tepelný příkon</w:t>
            </w:r>
          </w:p>
        </w:tc>
        <w:tc>
          <w:tcPr>
            <w:tcW w:w="2769" w:type="pct"/>
            <w:gridSpan w:val="2"/>
            <w:vAlign w:val="center"/>
          </w:tcPr>
          <w:p w14:paraId="356EE10B"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24F803DB" w14:textId="77777777" w:rsidTr="00B15037">
        <w:trPr>
          <w:trHeight w:val="284"/>
        </w:trPr>
        <w:tc>
          <w:tcPr>
            <w:tcW w:w="2231" w:type="pct"/>
            <w:vMerge/>
            <w:vAlign w:val="center"/>
          </w:tcPr>
          <w:p w14:paraId="4617A82C" w14:textId="77777777" w:rsidR="006945AD" w:rsidRPr="0030358C" w:rsidRDefault="006945AD" w:rsidP="00B15037">
            <w:pPr>
              <w:pStyle w:val="Odstavecseseznamem1"/>
              <w:widowControl w:val="0"/>
              <w:spacing w:line="200" w:lineRule="atLeast"/>
              <w:ind w:left="0"/>
              <w:jc w:val="center"/>
              <w:outlineLvl w:val="0"/>
              <w:rPr>
                <w:rFonts w:ascii="Arial" w:hAnsi="Arial" w:cs="Arial"/>
                <w:b/>
                <w:bCs/>
                <w:sz w:val="22"/>
                <w:szCs w:val="22"/>
              </w:rPr>
            </w:pPr>
          </w:p>
        </w:tc>
        <w:tc>
          <w:tcPr>
            <w:tcW w:w="1346" w:type="pct"/>
            <w:vAlign w:val="center"/>
          </w:tcPr>
          <w:p w14:paraId="149B78ED"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422" w:type="pct"/>
            <w:vAlign w:val="center"/>
          </w:tcPr>
          <w:p w14:paraId="2B7AE6E1"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CO</w:t>
            </w:r>
          </w:p>
        </w:tc>
      </w:tr>
      <w:tr w:rsidR="00E40657" w14:paraId="2BA35C00" w14:textId="77777777" w:rsidTr="00B15037">
        <w:tc>
          <w:tcPr>
            <w:tcW w:w="2231" w:type="pct"/>
          </w:tcPr>
          <w:p w14:paraId="59B8B249" w14:textId="77777777" w:rsidR="006945AD" w:rsidRPr="0030358C" w:rsidRDefault="00000000" w:rsidP="00B15037">
            <w:pPr>
              <w:pStyle w:val="Odstavecseseznamem1"/>
              <w:widowControl w:val="0"/>
              <w:spacing w:line="200" w:lineRule="atLeast"/>
              <w:ind w:left="0"/>
              <w:jc w:val="both"/>
              <w:outlineLvl w:val="0"/>
              <w:rPr>
                <w:rFonts w:ascii="Arial" w:hAnsi="Arial" w:cs="Arial"/>
                <w:b/>
                <w:bCs/>
                <w:sz w:val="22"/>
                <w:szCs w:val="22"/>
              </w:rPr>
            </w:pPr>
            <w:r w:rsidRPr="0030358C">
              <w:rPr>
                <w:rFonts w:ascii="Arial" w:hAnsi="Arial" w:cs="Arial"/>
                <w:b/>
                <w:bCs/>
                <w:sz w:val="22"/>
                <w:szCs w:val="22"/>
              </w:rPr>
              <w:t>&gt; 0,3-5 MW</w:t>
            </w:r>
          </w:p>
        </w:tc>
        <w:tc>
          <w:tcPr>
            <w:tcW w:w="1346" w:type="pct"/>
          </w:tcPr>
          <w:p w14:paraId="1D9C9089"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350</w:t>
            </w:r>
          </w:p>
        </w:tc>
        <w:tc>
          <w:tcPr>
            <w:tcW w:w="1422" w:type="pct"/>
          </w:tcPr>
          <w:p w14:paraId="1A618E78"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100</w:t>
            </w:r>
          </w:p>
        </w:tc>
      </w:tr>
      <w:tr w:rsidR="00E40657" w14:paraId="38EB5F4E" w14:textId="77777777" w:rsidTr="00B15037">
        <w:tc>
          <w:tcPr>
            <w:tcW w:w="2231" w:type="pct"/>
          </w:tcPr>
          <w:p w14:paraId="350D2DA3" w14:textId="77777777" w:rsidR="006945AD" w:rsidRPr="0030358C" w:rsidRDefault="00000000" w:rsidP="00B15037">
            <w:pPr>
              <w:pStyle w:val="Odstavecseseznamem1"/>
              <w:widowControl w:val="0"/>
              <w:spacing w:line="200" w:lineRule="atLeast"/>
              <w:ind w:left="0"/>
              <w:jc w:val="both"/>
              <w:outlineLvl w:val="0"/>
              <w:rPr>
                <w:rFonts w:ascii="Arial" w:hAnsi="Arial" w:cs="Arial"/>
                <w:b/>
                <w:bCs/>
                <w:sz w:val="22"/>
                <w:szCs w:val="22"/>
              </w:rPr>
            </w:pPr>
            <w:r w:rsidRPr="0030358C">
              <w:rPr>
                <w:rFonts w:ascii="Arial" w:hAnsi="Arial" w:cs="Arial"/>
                <w:b/>
                <w:bCs/>
                <w:sz w:val="22"/>
                <w:szCs w:val="22"/>
              </w:rPr>
              <w:t>&gt; 5 MW-50 MW</w:t>
            </w:r>
          </w:p>
        </w:tc>
        <w:tc>
          <w:tcPr>
            <w:tcW w:w="1346" w:type="pct"/>
          </w:tcPr>
          <w:p w14:paraId="559CA48C"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300</w:t>
            </w:r>
          </w:p>
        </w:tc>
        <w:tc>
          <w:tcPr>
            <w:tcW w:w="1422" w:type="pct"/>
          </w:tcPr>
          <w:p w14:paraId="756182FF" w14:textId="77777777" w:rsidR="006945AD" w:rsidRPr="0030358C" w:rsidRDefault="00000000" w:rsidP="00B15037">
            <w:pPr>
              <w:pStyle w:val="Odstavecseseznamem1"/>
              <w:widowControl w:val="0"/>
              <w:spacing w:line="200" w:lineRule="atLeast"/>
              <w:ind w:left="0"/>
              <w:jc w:val="center"/>
              <w:outlineLvl w:val="0"/>
              <w:rPr>
                <w:rFonts w:ascii="Arial" w:hAnsi="Arial" w:cs="Arial"/>
                <w:b/>
                <w:bCs/>
                <w:sz w:val="22"/>
                <w:szCs w:val="22"/>
              </w:rPr>
            </w:pPr>
            <w:r w:rsidRPr="0030358C">
              <w:rPr>
                <w:rFonts w:ascii="Arial" w:hAnsi="Arial" w:cs="Arial"/>
                <w:b/>
                <w:bCs/>
                <w:sz w:val="22"/>
                <w:szCs w:val="22"/>
              </w:rPr>
              <w:t>100</w:t>
            </w:r>
          </w:p>
        </w:tc>
      </w:tr>
    </w:tbl>
    <w:p w14:paraId="38B4181E" w14:textId="77777777" w:rsidR="006945AD" w:rsidRPr="0030358C" w:rsidRDefault="006945AD" w:rsidP="006945AD">
      <w:pPr>
        <w:rPr>
          <w:rFonts w:ascii="Arial" w:hAnsi="Arial" w:cs="Arial"/>
          <w:b/>
          <w:bCs/>
          <w:strike/>
          <w:sz w:val="22"/>
          <w:szCs w:val="22"/>
        </w:rPr>
      </w:pPr>
    </w:p>
    <w:p w14:paraId="700DF623" w14:textId="77777777" w:rsidR="006945AD" w:rsidRPr="0030358C" w:rsidRDefault="006945AD" w:rsidP="006945AD">
      <w:pPr>
        <w:pStyle w:val="Odstavecseseznamem"/>
        <w:spacing w:after="0" w:line="240" w:lineRule="auto"/>
        <w:contextualSpacing w:val="0"/>
        <w:rPr>
          <w:rFonts w:ascii="Arial" w:hAnsi="Arial" w:cs="Arial"/>
          <w:b/>
          <w:bCs/>
        </w:rPr>
      </w:pPr>
    </w:p>
    <w:p w14:paraId="62A8823E" w14:textId="77777777" w:rsidR="006945AD" w:rsidRPr="0030358C" w:rsidRDefault="00000000" w:rsidP="006945AD">
      <w:pPr>
        <w:pStyle w:val="Odstavecseseznamem"/>
        <w:numPr>
          <w:ilvl w:val="0"/>
          <w:numId w:val="18"/>
        </w:numPr>
        <w:spacing w:after="0" w:line="240" w:lineRule="auto"/>
        <w:contextualSpacing w:val="0"/>
        <w:rPr>
          <w:rFonts w:ascii="Arial" w:hAnsi="Arial" w:cs="Arial"/>
          <w:b/>
          <w:bCs/>
        </w:rPr>
      </w:pPr>
      <w:r w:rsidRPr="0030358C">
        <w:rPr>
          <w:rFonts w:ascii="Arial" w:hAnsi="Arial" w:cs="Arial"/>
          <w:b/>
          <w:bCs/>
        </w:rPr>
        <w:t>Specifické emisní limity platné od 20. prosince 2018 do 31. prosince 2024</w:t>
      </w:r>
    </w:p>
    <w:p w14:paraId="75996328" w14:textId="77777777" w:rsidR="006945AD" w:rsidRPr="0030358C" w:rsidRDefault="006945AD" w:rsidP="006945AD">
      <w:pPr>
        <w:rPr>
          <w:rFonts w:ascii="Arial" w:hAnsi="Arial" w:cs="Arial"/>
          <w:b/>
          <w:bCs/>
          <w:sz w:val="22"/>
          <w:szCs w:val="22"/>
        </w:rPr>
      </w:pPr>
    </w:p>
    <w:p w14:paraId="187DDF2F"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Specifické emisní limity jsou vztaženy k celkovému jmenovitému tepelnému příkonu a na normální stavové podmínky a suchý plyn při referenčním obsahu kyslíku v odpadním plynu 6 % v případě pevných paliv s výjimkou biomasy, 11 % v případě biomasy a 3 % v případě kapalných a plynných paliv.</w:t>
      </w:r>
    </w:p>
    <w:p w14:paraId="2FE7C60C" w14:textId="77777777" w:rsidR="006945AD" w:rsidRPr="0030358C" w:rsidRDefault="00000000" w:rsidP="006945AD">
      <w:pPr>
        <w:jc w:val="both"/>
        <w:rPr>
          <w:rFonts w:ascii="Arial" w:hAnsi="Arial" w:cs="Arial"/>
          <w:b/>
          <w:bCs/>
          <w:sz w:val="22"/>
          <w:szCs w:val="22"/>
        </w:rPr>
      </w:pPr>
      <w:r w:rsidRPr="0030358C">
        <w:rPr>
          <w:rFonts w:ascii="Arial" w:hAnsi="Arial" w:cs="Arial"/>
          <w:b/>
          <w:bCs/>
          <w:sz w:val="22"/>
          <w:szCs w:val="22"/>
        </w:rPr>
        <w:t>Pro pístové spalovací motory jsou specifické emisní limity vztaženy k celkovému jmenovitému tepelnému příkonu a na normální stavové podmínky a suchý plyn (není-li dále uvedeno jinak), při referenčním obsahu kyslíku 5 % a nevztahují se na záložní zdroje energie a spalovací stacionární zdroj sloužící výhradně k pohonu požárního čerpadla provozované méně než 300 provozních hodin ročně. Plynovým motorem se rozumí motor s vnitřním spalováním pracující na principu Ottova cyklu a využívající zážehové zapalování paliva nebo v případě dvoupalivového motoru využívající vznětové zapalování paliva.</w:t>
      </w:r>
    </w:p>
    <w:p w14:paraId="69A58822" w14:textId="77777777" w:rsidR="006945AD" w:rsidRPr="0030358C" w:rsidRDefault="006945AD" w:rsidP="006945AD">
      <w:pPr>
        <w:jc w:val="both"/>
        <w:rPr>
          <w:rFonts w:ascii="Arial" w:hAnsi="Arial" w:cs="Arial"/>
          <w:b/>
          <w:bCs/>
          <w:sz w:val="22"/>
          <w:szCs w:val="22"/>
        </w:rPr>
      </w:pPr>
    </w:p>
    <w:p w14:paraId="0E646F06" w14:textId="77777777" w:rsidR="006945AD" w:rsidRPr="0030358C" w:rsidRDefault="00000000" w:rsidP="006945AD">
      <w:pPr>
        <w:widowControl w:val="0"/>
        <w:spacing w:line="200" w:lineRule="atLeast"/>
        <w:jc w:val="both"/>
        <w:rPr>
          <w:rFonts w:ascii="Arial" w:hAnsi="Arial" w:cs="Arial"/>
          <w:b/>
          <w:bCs/>
          <w:sz w:val="22"/>
          <w:szCs w:val="22"/>
        </w:rPr>
      </w:pPr>
      <w:r w:rsidRPr="0030358C">
        <w:rPr>
          <w:rFonts w:ascii="Arial" w:hAnsi="Arial" w:cs="Arial"/>
          <w:b/>
          <w:bCs/>
          <w:sz w:val="22"/>
          <w:szCs w:val="22"/>
        </w:rPr>
        <w:t>Pro plynové turbíny jsou specifické emisní limity vztaženy na normální stavové podmínky a suchý plyn při referenčním obsahu kyslíku 15 % a nevztahují se na záložní zdroje energie provozované méně než 300 provozních hodin ročně a v případě oxidů dusíku při zatížení nižším než 70 %.</w:t>
      </w:r>
    </w:p>
    <w:p w14:paraId="3E03F785" w14:textId="77777777" w:rsidR="006945AD" w:rsidRPr="0030358C" w:rsidRDefault="00000000" w:rsidP="006945AD">
      <w:pPr>
        <w:widowControl w:val="0"/>
        <w:spacing w:line="200" w:lineRule="atLeast"/>
        <w:jc w:val="both"/>
        <w:rPr>
          <w:rFonts w:ascii="Arial" w:hAnsi="Arial" w:cs="Arial"/>
          <w:b/>
          <w:bCs/>
          <w:sz w:val="22"/>
          <w:szCs w:val="22"/>
        </w:rPr>
      </w:pPr>
      <w:r w:rsidRPr="0030358C">
        <w:rPr>
          <w:rFonts w:ascii="Arial" w:hAnsi="Arial" w:cs="Arial"/>
          <w:b/>
          <w:bCs/>
          <w:sz w:val="22"/>
          <w:szCs w:val="22"/>
        </w:rPr>
        <w:t>Emisní limity uvedené v tabulce 2.1.2 se neuplatní pro spalovací stacionární zdroje zařazené do kódu 1.4</w:t>
      </w:r>
      <w:r w:rsidR="00DA2450" w:rsidRPr="0030358C">
        <w:rPr>
          <w:rFonts w:ascii="Arial" w:hAnsi="Arial" w:cs="Arial"/>
          <w:b/>
          <w:bCs/>
          <w:sz w:val="22"/>
          <w:szCs w:val="22"/>
        </w:rPr>
        <w:t>.</w:t>
      </w:r>
      <w:r w:rsidRPr="0030358C">
        <w:rPr>
          <w:rFonts w:ascii="Arial" w:hAnsi="Arial" w:cs="Arial"/>
          <w:b/>
          <w:bCs/>
          <w:sz w:val="22"/>
          <w:szCs w:val="22"/>
        </w:rPr>
        <w:t xml:space="preserve"> přílohy č. 2 zákona jiné než teplovzdušné spalovací zdroje.</w:t>
      </w:r>
    </w:p>
    <w:p w14:paraId="393B87F4" w14:textId="77777777" w:rsidR="006945AD" w:rsidRPr="0030358C" w:rsidRDefault="00000000" w:rsidP="006945AD">
      <w:pPr>
        <w:pStyle w:val="Odstavecseseznamem1"/>
        <w:widowControl w:val="0"/>
        <w:ind w:left="0"/>
        <w:outlineLvl w:val="0"/>
        <w:rPr>
          <w:rFonts w:ascii="Arial" w:hAnsi="Arial" w:cs="Arial"/>
          <w:b/>
          <w:bCs/>
          <w:sz w:val="22"/>
          <w:szCs w:val="22"/>
        </w:rPr>
      </w:pPr>
      <w:r w:rsidRPr="0030358C">
        <w:rPr>
          <w:rFonts w:ascii="Arial" w:hAnsi="Arial" w:cs="Arial"/>
          <w:b/>
          <w:bCs/>
          <w:sz w:val="22"/>
          <w:szCs w:val="22"/>
        </w:rPr>
        <w:t>2.1. Specifické emisní limity pro spalovací stacionární zdroje s výjimkou pístových spalovacích motorů a plynových turbín</w:t>
      </w:r>
    </w:p>
    <w:p w14:paraId="3BDB5EED" w14:textId="77777777" w:rsidR="006945AD" w:rsidRPr="0030358C" w:rsidRDefault="006945AD" w:rsidP="006945AD">
      <w:pPr>
        <w:widowControl w:val="0"/>
        <w:rPr>
          <w:rFonts w:ascii="Arial" w:hAnsi="Arial" w:cs="Arial"/>
          <w:b/>
          <w:bCs/>
          <w:sz w:val="22"/>
          <w:szCs w:val="22"/>
        </w:rPr>
      </w:pPr>
    </w:p>
    <w:p w14:paraId="69D58848" w14:textId="77777777" w:rsidR="006945AD" w:rsidRPr="0030358C" w:rsidRDefault="00000000" w:rsidP="00A50DC9">
      <w:pPr>
        <w:spacing w:after="60" w:line="300" w:lineRule="exact"/>
        <w:rPr>
          <w:rFonts w:ascii="Arial" w:hAnsi="Arial" w:cs="Arial"/>
          <w:b/>
          <w:bCs/>
          <w:sz w:val="22"/>
          <w:szCs w:val="22"/>
        </w:rPr>
      </w:pPr>
      <w:r w:rsidRPr="0030358C">
        <w:rPr>
          <w:rFonts w:ascii="Arial" w:hAnsi="Arial" w:cs="Arial"/>
          <w:b/>
          <w:bCs/>
          <w:sz w:val="22"/>
          <w:szCs w:val="22"/>
        </w:rPr>
        <w:lastRenderedPageBreak/>
        <w:t>Tabulka 2.1.1 - zrušena</w:t>
      </w:r>
    </w:p>
    <w:p w14:paraId="3FDA185C" w14:textId="77777777" w:rsidR="006945AD" w:rsidRPr="0030358C" w:rsidRDefault="00000000" w:rsidP="006945AD">
      <w:pPr>
        <w:pStyle w:val="Odstavecseseznamem1"/>
        <w:widowControl w:val="0"/>
        <w:tabs>
          <w:tab w:val="left" w:pos="900"/>
        </w:tabs>
        <w:spacing w:line="300" w:lineRule="exact"/>
        <w:ind w:left="0"/>
        <w:jc w:val="both"/>
        <w:rPr>
          <w:rFonts w:ascii="Arial" w:hAnsi="Arial" w:cs="Arial"/>
          <w:b/>
          <w:bCs/>
          <w:sz w:val="22"/>
          <w:szCs w:val="22"/>
        </w:rPr>
      </w:pPr>
      <w:r w:rsidRPr="0030358C">
        <w:rPr>
          <w:rFonts w:ascii="Arial" w:hAnsi="Arial" w:cs="Arial"/>
          <w:b/>
          <w:bCs/>
          <w:sz w:val="22"/>
          <w:szCs w:val="22"/>
        </w:rPr>
        <w:t xml:space="preserve">Tabulka 2.1.2 - Specifické emisní limity pro stacionární zdroje uvedené do provozu před 20. prosincem 2018 </w:t>
      </w:r>
    </w:p>
    <w:p w14:paraId="2CE551F9" w14:textId="77777777" w:rsidR="006945AD" w:rsidRPr="0030358C" w:rsidRDefault="00000000" w:rsidP="006945AD">
      <w:pPr>
        <w:pStyle w:val="Odstavecseseznamem1"/>
        <w:widowControl w:val="0"/>
        <w:tabs>
          <w:tab w:val="left" w:pos="900"/>
        </w:tabs>
        <w:spacing w:line="300" w:lineRule="exact"/>
        <w:ind w:left="0"/>
        <w:jc w:val="both"/>
        <w:rPr>
          <w:rFonts w:ascii="Arial" w:hAnsi="Arial" w:cs="Arial"/>
          <w:b/>
          <w:bCs/>
          <w:sz w:val="22"/>
          <w:szCs w:val="22"/>
        </w:rPr>
      </w:pPr>
      <w:r w:rsidRPr="0030358C">
        <w:rPr>
          <w:rFonts w:ascii="Arial" w:hAnsi="Arial" w:cs="Arial"/>
          <w:b/>
          <w:bCs/>
          <w:sz w:val="22"/>
          <w:szCs w:val="22"/>
        </w:rPr>
        <w:t xml:space="preserve"> </w:t>
      </w:r>
    </w:p>
    <w:tbl>
      <w:tblPr>
        <w:tblW w:w="14364" w:type="dxa"/>
        <w:tblInd w:w="-5" w:type="dxa"/>
        <w:tblLayout w:type="fixed"/>
        <w:tblLook w:val="0000" w:firstRow="0" w:lastRow="0" w:firstColumn="0" w:lastColumn="0" w:noHBand="0" w:noVBand="0"/>
      </w:tblPr>
      <w:tblGrid>
        <w:gridCol w:w="2342"/>
        <w:gridCol w:w="1002"/>
        <w:gridCol w:w="1002"/>
        <w:gridCol w:w="1002"/>
        <w:gridCol w:w="1002"/>
        <w:gridCol w:w="1002"/>
        <w:gridCol w:w="1002"/>
        <w:gridCol w:w="1002"/>
        <w:gridCol w:w="1002"/>
        <w:gridCol w:w="1002"/>
        <w:gridCol w:w="1002"/>
        <w:gridCol w:w="1002"/>
        <w:gridCol w:w="1000"/>
      </w:tblGrid>
      <w:tr w:rsidR="00E40657" w14:paraId="293682D8" w14:textId="77777777" w:rsidTr="00B15037">
        <w:trPr>
          <w:trHeight w:val="340"/>
        </w:trPr>
        <w:tc>
          <w:tcPr>
            <w:tcW w:w="2342" w:type="dxa"/>
            <w:vMerge w:val="restart"/>
            <w:tcBorders>
              <w:top w:val="single" w:sz="4" w:space="0" w:color="000000"/>
              <w:left w:val="single" w:sz="4" w:space="0" w:color="000000"/>
              <w:bottom w:val="single" w:sz="4" w:space="0" w:color="000000"/>
            </w:tcBorders>
            <w:vAlign w:val="center"/>
          </w:tcPr>
          <w:p w14:paraId="74867B0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Druh paliva</w:t>
            </w:r>
          </w:p>
        </w:tc>
        <w:tc>
          <w:tcPr>
            <w:tcW w:w="12022" w:type="dxa"/>
            <w:gridSpan w:val="12"/>
            <w:tcBorders>
              <w:top w:val="single" w:sz="4" w:space="0" w:color="000000"/>
              <w:left w:val="single" w:sz="4" w:space="0" w:color="000000"/>
              <w:bottom w:val="single" w:sz="4" w:space="0" w:color="000000"/>
              <w:right w:val="single" w:sz="4" w:space="0" w:color="000000"/>
            </w:tcBorders>
            <w:vAlign w:val="center"/>
          </w:tcPr>
          <w:p w14:paraId="662B610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01FBA58A" w14:textId="77777777" w:rsidTr="00B15037">
        <w:trPr>
          <w:trHeight w:val="340"/>
        </w:trPr>
        <w:tc>
          <w:tcPr>
            <w:tcW w:w="2342" w:type="dxa"/>
            <w:vMerge/>
            <w:tcBorders>
              <w:top w:val="single" w:sz="4" w:space="0" w:color="000000"/>
              <w:left w:val="single" w:sz="4" w:space="0" w:color="000000"/>
              <w:bottom w:val="single" w:sz="4" w:space="0" w:color="000000"/>
            </w:tcBorders>
          </w:tcPr>
          <w:p w14:paraId="2B465384" w14:textId="77777777" w:rsidR="006945AD" w:rsidRPr="0030358C" w:rsidRDefault="006945AD" w:rsidP="00B15037">
            <w:pPr>
              <w:rPr>
                <w:rFonts w:ascii="Arial" w:hAnsi="Arial" w:cs="Arial"/>
                <w:b/>
                <w:bCs/>
                <w:sz w:val="22"/>
                <w:szCs w:val="22"/>
              </w:rPr>
            </w:pPr>
          </w:p>
        </w:tc>
        <w:tc>
          <w:tcPr>
            <w:tcW w:w="4008" w:type="dxa"/>
            <w:gridSpan w:val="4"/>
            <w:tcBorders>
              <w:top w:val="single" w:sz="4" w:space="0" w:color="000000"/>
              <w:left w:val="single" w:sz="4" w:space="0" w:color="000000"/>
              <w:bottom w:val="single" w:sz="4" w:space="0" w:color="000000"/>
            </w:tcBorders>
            <w:vAlign w:val="center"/>
          </w:tcPr>
          <w:p w14:paraId="43FEA78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4008" w:type="dxa"/>
            <w:gridSpan w:val="4"/>
            <w:tcBorders>
              <w:top w:val="single" w:sz="4" w:space="0" w:color="000000"/>
              <w:left w:val="single" w:sz="4" w:space="0" w:color="000000"/>
              <w:bottom w:val="single" w:sz="4" w:space="0" w:color="000000"/>
            </w:tcBorders>
            <w:vAlign w:val="center"/>
          </w:tcPr>
          <w:p w14:paraId="1B6D9ED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 MW</w:t>
            </w:r>
          </w:p>
        </w:tc>
        <w:tc>
          <w:tcPr>
            <w:tcW w:w="4006" w:type="dxa"/>
            <w:gridSpan w:val="4"/>
            <w:tcBorders>
              <w:top w:val="single" w:sz="4" w:space="0" w:color="000000"/>
              <w:left w:val="single" w:sz="4" w:space="0" w:color="000000"/>
              <w:bottom w:val="single" w:sz="4" w:space="0" w:color="000000"/>
              <w:right w:val="single" w:sz="4" w:space="0" w:color="000000"/>
            </w:tcBorders>
            <w:vAlign w:val="center"/>
          </w:tcPr>
          <w:p w14:paraId="57736BC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5-50 MW</w:t>
            </w:r>
          </w:p>
        </w:tc>
      </w:tr>
      <w:tr w:rsidR="00E40657" w14:paraId="78968501" w14:textId="77777777" w:rsidTr="00B15037">
        <w:trPr>
          <w:trHeight w:val="340"/>
        </w:trPr>
        <w:tc>
          <w:tcPr>
            <w:tcW w:w="2342" w:type="dxa"/>
            <w:vMerge/>
            <w:tcBorders>
              <w:top w:val="single" w:sz="4" w:space="0" w:color="000000"/>
              <w:left w:val="single" w:sz="4" w:space="0" w:color="000000"/>
              <w:bottom w:val="single" w:sz="4" w:space="0" w:color="000000"/>
            </w:tcBorders>
          </w:tcPr>
          <w:p w14:paraId="2E0A6198" w14:textId="77777777" w:rsidR="006945AD" w:rsidRPr="0030358C" w:rsidRDefault="006945AD" w:rsidP="00B15037">
            <w:pP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5F4EE27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7053667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4A8FD97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2" w:type="dxa"/>
            <w:tcBorders>
              <w:top w:val="single" w:sz="4" w:space="0" w:color="000000"/>
              <w:left w:val="single" w:sz="4" w:space="0" w:color="000000"/>
              <w:bottom w:val="single" w:sz="4" w:space="0" w:color="000000"/>
            </w:tcBorders>
            <w:vAlign w:val="center"/>
          </w:tcPr>
          <w:p w14:paraId="0B97C25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02" w:type="dxa"/>
            <w:tcBorders>
              <w:top w:val="single" w:sz="4" w:space="0" w:color="000000"/>
              <w:left w:val="single" w:sz="4" w:space="0" w:color="000000"/>
              <w:bottom w:val="single" w:sz="4" w:space="0" w:color="000000"/>
            </w:tcBorders>
            <w:vAlign w:val="center"/>
          </w:tcPr>
          <w:p w14:paraId="580852D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525EA88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1474BD4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2" w:type="dxa"/>
            <w:tcBorders>
              <w:top w:val="single" w:sz="4" w:space="0" w:color="000000"/>
              <w:left w:val="single" w:sz="4" w:space="0" w:color="000000"/>
              <w:bottom w:val="single" w:sz="4" w:space="0" w:color="000000"/>
            </w:tcBorders>
            <w:vAlign w:val="center"/>
          </w:tcPr>
          <w:p w14:paraId="5D8F26E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02" w:type="dxa"/>
            <w:tcBorders>
              <w:top w:val="single" w:sz="4" w:space="0" w:color="000000"/>
              <w:left w:val="single" w:sz="4" w:space="0" w:color="000000"/>
              <w:bottom w:val="single" w:sz="4" w:space="0" w:color="000000"/>
            </w:tcBorders>
            <w:vAlign w:val="center"/>
          </w:tcPr>
          <w:p w14:paraId="57D3AC3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6E831E2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3728023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0" w:type="dxa"/>
            <w:tcBorders>
              <w:top w:val="single" w:sz="4" w:space="0" w:color="000000"/>
              <w:left w:val="single" w:sz="4" w:space="0" w:color="000000"/>
              <w:bottom w:val="single" w:sz="4" w:space="0" w:color="000000"/>
              <w:right w:val="single" w:sz="4" w:space="0" w:color="000000"/>
            </w:tcBorders>
            <w:vAlign w:val="center"/>
          </w:tcPr>
          <w:p w14:paraId="14EA38E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2AA1F62A" w14:textId="77777777" w:rsidTr="00B15037">
        <w:trPr>
          <w:trHeight w:val="597"/>
        </w:trPr>
        <w:tc>
          <w:tcPr>
            <w:tcW w:w="2342" w:type="dxa"/>
            <w:tcBorders>
              <w:top w:val="single" w:sz="4" w:space="0" w:color="000000"/>
              <w:left w:val="single" w:sz="4" w:space="0" w:color="000000"/>
              <w:bottom w:val="single" w:sz="4" w:space="0" w:color="000000"/>
            </w:tcBorders>
            <w:vAlign w:val="center"/>
          </w:tcPr>
          <w:p w14:paraId="41797E4F"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Pevné palivo</w:t>
            </w:r>
          </w:p>
        </w:tc>
        <w:tc>
          <w:tcPr>
            <w:tcW w:w="1002" w:type="dxa"/>
            <w:tcBorders>
              <w:top w:val="single" w:sz="4" w:space="0" w:color="000000"/>
              <w:left w:val="single" w:sz="4" w:space="0" w:color="000000"/>
              <w:bottom w:val="single" w:sz="4" w:space="0" w:color="000000"/>
            </w:tcBorders>
            <w:vAlign w:val="center"/>
          </w:tcPr>
          <w:p w14:paraId="6CEF7BC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3A6C94C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600</w:t>
            </w:r>
          </w:p>
        </w:tc>
        <w:tc>
          <w:tcPr>
            <w:tcW w:w="1002" w:type="dxa"/>
            <w:tcBorders>
              <w:top w:val="single" w:sz="4" w:space="0" w:color="000000"/>
              <w:left w:val="single" w:sz="4" w:space="0" w:color="000000"/>
              <w:bottom w:val="single" w:sz="4" w:space="0" w:color="000000"/>
            </w:tcBorders>
            <w:vAlign w:val="center"/>
          </w:tcPr>
          <w:p w14:paraId="7293759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002" w:type="dxa"/>
            <w:tcBorders>
              <w:top w:val="single" w:sz="4" w:space="0" w:color="000000"/>
              <w:left w:val="single" w:sz="4" w:space="0" w:color="000000"/>
              <w:bottom w:val="single" w:sz="4" w:space="0" w:color="000000"/>
            </w:tcBorders>
            <w:vAlign w:val="center"/>
          </w:tcPr>
          <w:p w14:paraId="1E124A7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02" w:type="dxa"/>
            <w:tcBorders>
              <w:top w:val="single" w:sz="4" w:space="0" w:color="000000"/>
              <w:left w:val="single" w:sz="4" w:space="0" w:color="000000"/>
              <w:bottom w:val="single" w:sz="4" w:space="0" w:color="000000"/>
            </w:tcBorders>
            <w:vAlign w:val="center"/>
          </w:tcPr>
          <w:p w14:paraId="3EC07F5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9E215F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71711A5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1B0B65D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1F4E25B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1500</w:t>
            </w:r>
            <w:r w:rsidR="001258C3" w:rsidRPr="0030358C">
              <w:rPr>
                <w:rFonts w:ascii="Arial" w:hAnsi="Arial" w:cs="Arial"/>
                <w:b/>
                <w:bCs/>
                <w:sz w:val="22"/>
                <w:szCs w:val="22"/>
                <w:vertAlign w:val="superscript"/>
              </w:rPr>
              <w:t>1)</w:t>
            </w:r>
          </w:p>
          <w:p w14:paraId="140ADEEA"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0016784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7910D0E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w:t>
            </w:r>
          </w:p>
        </w:tc>
        <w:tc>
          <w:tcPr>
            <w:tcW w:w="1000" w:type="dxa"/>
            <w:tcBorders>
              <w:top w:val="single" w:sz="4" w:space="0" w:color="000000"/>
              <w:left w:val="single" w:sz="4" w:space="0" w:color="000000"/>
              <w:bottom w:val="single" w:sz="4" w:space="0" w:color="000000"/>
              <w:right w:val="single" w:sz="4" w:space="0" w:color="000000"/>
            </w:tcBorders>
            <w:vAlign w:val="center"/>
          </w:tcPr>
          <w:p w14:paraId="152BD01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p w14:paraId="4CDBE30B"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 xml:space="preserve"> 500</w:t>
            </w:r>
            <w:r w:rsidRPr="0030358C">
              <w:rPr>
                <w:rFonts w:ascii="Arial" w:hAnsi="Arial" w:cs="Arial"/>
                <w:b/>
                <w:bCs/>
                <w:sz w:val="22"/>
                <w:szCs w:val="22"/>
                <w:vertAlign w:val="superscript"/>
              </w:rPr>
              <w:t>3)</w:t>
            </w:r>
          </w:p>
        </w:tc>
      </w:tr>
      <w:tr w:rsidR="00E40657" w14:paraId="19DD9DAE" w14:textId="77777777" w:rsidTr="00B15037">
        <w:trPr>
          <w:trHeight w:val="413"/>
        </w:trPr>
        <w:tc>
          <w:tcPr>
            <w:tcW w:w="2342" w:type="dxa"/>
            <w:tcBorders>
              <w:top w:val="single" w:sz="4" w:space="0" w:color="000000"/>
              <w:left w:val="single" w:sz="4" w:space="0" w:color="000000"/>
              <w:bottom w:val="single" w:sz="4" w:space="0" w:color="000000"/>
            </w:tcBorders>
            <w:vAlign w:val="center"/>
          </w:tcPr>
          <w:p w14:paraId="226D6295"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Kapalné palivo</w:t>
            </w:r>
          </w:p>
        </w:tc>
        <w:tc>
          <w:tcPr>
            <w:tcW w:w="1002" w:type="dxa"/>
            <w:tcBorders>
              <w:top w:val="single" w:sz="4" w:space="0" w:color="000000"/>
              <w:left w:val="single" w:sz="4" w:space="0" w:color="000000"/>
              <w:bottom w:val="single" w:sz="4" w:space="0" w:color="000000"/>
            </w:tcBorders>
            <w:vAlign w:val="center"/>
          </w:tcPr>
          <w:p w14:paraId="596B9FE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10E16BF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32F75B1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566E46F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5FA541C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61D862A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p w14:paraId="454D7CD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r w:rsidRPr="0030358C">
              <w:rPr>
                <w:rFonts w:ascii="Arial" w:hAnsi="Arial" w:cs="Arial"/>
                <w:b/>
                <w:bCs/>
                <w:sz w:val="22"/>
                <w:szCs w:val="22"/>
                <w:vertAlign w:val="superscript"/>
              </w:rPr>
              <w:t>4)</w:t>
            </w:r>
          </w:p>
        </w:tc>
        <w:tc>
          <w:tcPr>
            <w:tcW w:w="1002" w:type="dxa"/>
            <w:tcBorders>
              <w:top w:val="single" w:sz="4" w:space="0" w:color="000000"/>
              <w:left w:val="single" w:sz="4" w:space="0" w:color="000000"/>
              <w:bottom w:val="single" w:sz="4" w:space="0" w:color="000000"/>
            </w:tcBorders>
            <w:vAlign w:val="center"/>
          </w:tcPr>
          <w:p w14:paraId="48BABAE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3EA0898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2FC9E66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1500</w:t>
            </w:r>
            <w:r w:rsidRPr="0030358C">
              <w:rPr>
                <w:rFonts w:ascii="Arial" w:hAnsi="Arial" w:cs="Arial"/>
                <w:b/>
                <w:bCs/>
                <w:sz w:val="22"/>
                <w:szCs w:val="22"/>
                <w:vertAlign w:val="superscript"/>
              </w:rPr>
              <w:t>4)</w:t>
            </w:r>
          </w:p>
        </w:tc>
        <w:tc>
          <w:tcPr>
            <w:tcW w:w="1002" w:type="dxa"/>
            <w:tcBorders>
              <w:top w:val="single" w:sz="4" w:space="0" w:color="000000"/>
              <w:left w:val="single" w:sz="4" w:space="0" w:color="000000"/>
              <w:bottom w:val="single" w:sz="4" w:space="0" w:color="000000"/>
            </w:tcBorders>
            <w:vAlign w:val="center"/>
          </w:tcPr>
          <w:p w14:paraId="6F99B54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p w14:paraId="76CBF17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 xml:space="preserve">  450</w:t>
            </w:r>
            <w:r w:rsidRPr="0030358C">
              <w:rPr>
                <w:rFonts w:ascii="Arial" w:hAnsi="Arial" w:cs="Arial"/>
                <w:b/>
                <w:bCs/>
                <w:sz w:val="22"/>
                <w:szCs w:val="22"/>
                <w:vertAlign w:val="superscript"/>
              </w:rPr>
              <w:t>4)</w:t>
            </w:r>
          </w:p>
        </w:tc>
        <w:tc>
          <w:tcPr>
            <w:tcW w:w="1002" w:type="dxa"/>
            <w:tcBorders>
              <w:top w:val="single" w:sz="4" w:space="0" w:color="000000"/>
              <w:left w:val="single" w:sz="4" w:space="0" w:color="000000"/>
              <w:bottom w:val="single" w:sz="4" w:space="0" w:color="000000"/>
            </w:tcBorders>
            <w:vAlign w:val="center"/>
          </w:tcPr>
          <w:p w14:paraId="08FAE3C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w:t>
            </w:r>
          </w:p>
        </w:tc>
        <w:tc>
          <w:tcPr>
            <w:tcW w:w="1000" w:type="dxa"/>
            <w:tcBorders>
              <w:top w:val="single" w:sz="4" w:space="0" w:color="000000"/>
              <w:left w:val="single" w:sz="4" w:space="0" w:color="000000"/>
              <w:bottom w:val="single" w:sz="4" w:space="0" w:color="000000"/>
              <w:right w:val="single" w:sz="4" w:space="0" w:color="000000"/>
            </w:tcBorders>
            <w:vAlign w:val="center"/>
          </w:tcPr>
          <w:p w14:paraId="1C0228A2"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80</w:t>
            </w:r>
          </w:p>
        </w:tc>
      </w:tr>
      <w:tr w:rsidR="00E40657" w14:paraId="5CE249D7" w14:textId="77777777" w:rsidTr="00B15037">
        <w:trPr>
          <w:trHeight w:val="598"/>
        </w:trPr>
        <w:tc>
          <w:tcPr>
            <w:tcW w:w="2342" w:type="dxa"/>
            <w:tcBorders>
              <w:top w:val="single" w:sz="4" w:space="0" w:color="000000"/>
              <w:left w:val="single" w:sz="4" w:space="0" w:color="000000"/>
              <w:bottom w:val="single" w:sz="4" w:space="0" w:color="000000"/>
            </w:tcBorders>
            <w:vAlign w:val="center"/>
          </w:tcPr>
          <w:p w14:paraId="65F6D2FB"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Plynné palivo a zkapalněný plyn</w:t>
            </w:r>
          </w:p>
        </w:tc>
        <w:tc>
          <w:tcPr>
            <w:tcW w:w="1002" w:type="dxa"/>
            <w:tcBorders>
              <w:top w:val="single" w:sz="4" w:space="0" w:color="000000"/>
              <w:left w:val="single" w:sz="4" w:space="0" w:color="000000"/>
              <w:bottom w:val="single" w:sz="4" w:space="0" w:color="000000"/>
            </w:tcBorders>
            <w:vAlign w:val="center"/>
          </w:tcPr>
          <w:p w14:paraId="4908DEE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45CC13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2)</w:t>
            </w:r>
          </w:p>
          <w:p w14:paraId="256E92F6"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1E08B1A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4E92FAD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77AD573A"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4FF83F7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01A7613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2)</w:t>
            </w:r>
          </w:p>
          <w:p w14:paraId="0D496289"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5355D64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1F0AED4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013C84EC"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09C40EF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417E697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2)</w:t>
            </w:r>
          </w:p>
          <w:p w14:paraId="29A15390"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2D0F7C3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461C95E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51AFB5E7" w14:textId="77777777" w:rsidR="006945AD" w:rsidRPr="0030358C" w:rsidRDefault="006945AD" w:rsidP="00B15037">
            <w:pPr>
              <w:jc w:val="center"/>
              <w:rPr>
                <w:rFonts w:ascii="Arial" w:hAnsi="Arial" w:cs="Arial"/>
                <w:b/>
                <w:bCs/>
                <w:sz w:val="22"/>
                <w:szCs w:val="22"/>
              </w:rPr>
            </w:pPr>
          </w:p>
        </w:tc>
      </w:tr>
    </w:tbl>
    <w:p w14:paraId="70379EA9" w14:textId="77777777" w:rsidR="008834DE" w:rsidRPr="0030358C" w:rsidRDefault="008834DE" w:rsidP="006945AD">
      <w:pPr>
        <w:spacing w:line="276" w:lineRule="auto"/>
        <w:rPr>
          <w:rFonts w:ascii="Arial" w:hAnsi="Arial" w:cs="Arial"/>
          <w:b/>
          <w:bCs/>
          <w:sz w:val="22"/>
          <w:szCs w:val="22"/>
        </w:rPr>
      </w:pPr>
    </w:p>
    <w:p w14:paraId="20CEA644"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 xml:space="preserve">Vysvětlivky: </w:t>
      </w:r>
    </w:p>
    <w:p w14:paraId="32CD55B2" w14:textId="77777777" w:rsidR="00A50DC9" w:rsidRPr="0030358C" w:rsidRDefault="00000000" w:rsidP="00824A32">
      <w:pPr>
        <w:spacing w:line="276" w:lineRule="auto"/>
        <w:rPr>
          <w:rFonts w:ascii="Arial" w:hAnsi="Arial" w:cs="Arial"/>
          <w:b/>
          <w:bCs/>
          <w:sz w:val="22"/>
          <w:szCs w:val="22"/>
        </w:rPr>
      </w:pPr>
      <w:r w:rsidRPr="0030358C">
        <w:rPr>
          <w:rFonts w:ascii="Arial" w:hAnsi="Arial" w:cs="Arial"/>
          <w:b/>
          <w:bCs/>
          <w:sz w:val="22"/>
          <w:szCs w:val="22"/>
        </w:rPr>
        <w:t>1) Zrušena</w:t>
      </w:r>
    </w:p>
    <w:p w14:paraId="0A5D6316" w14:textId="77777777" w:rsidR="006945AD" w:rsidRPr="0030358C" w:rsidRDefault="00000000" w:rsidP="00824A32">
      <w:pPr>
        <w:spacing w:line="276" w:lineRule="auto"/>
        <w:rPr>
          <w:rFonts w:ascii="Arial" w:hAnsi="Arial" w:cs="Arial"/>
          <w:b/>
          <w:bCs/>
          <w:sz w:val="22"/>
          <w:szCs w:val="22"/>
        </w:rPr>
      </w:pPr>
      <w:r w:rsidRPr="0030358C">
        <w:rPr>
          <w:rFonts w:ascii="Arial" w:hAnsi="Arial" w:cs="Arial"/>
          <w:b/>
          <w:bCs/>
          <w:sz w:val="22"/>
          <w:szCs w:val="22"/>
        </w:rPr>
        <w:t>2) Pokud provozovatel prokáže, že nelze této hodnoty z technických důvodů dosáhnout použitím nízkoemisních hořáků, platí specifický emisní limit 200 mg.m</w:t>
      </w:r>
      <w:r w:rsidRPr="0030358C">
        <w:rPr>
          <w:rFonts w:ascii="Arial" w:hAnsi="Arial" w:cs="Arial"/>
          <w:b/>
          <w:bCs/>
          <w:sz w:val="22"/>
          <w:szCs w:val="22"/>
          <w:vertAlign w:val="superscript"/>
        </w:rPr>
        <w:t>-3</w:t>
      </w:r>
      <w:r w:rsidRPr="0030358C">
        <w:rPr>
          <w:rFonts w:ascii="Arial" w:hAnsi="Arial" w:cs="Arial"/>
          <w:b/>
          <w:bCs/>
          <w:sz w:val="22"/>
          <w:szCs w:val="22"/>
        </w:rPr>
        <w:t>.</w:t>
      </w:r>
    </w:p>
    <w:p w14:paraId="3BAEF92A"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t>3) Platí v případě spalování biomasy pro spalování ve stacionárních zdrojích s výjimkou spalování výlisků z takové biomasy.</w:t>
      </w:r>
    </w:p>
    <w:p w14:paraId="4299A69C"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t>4) Vztahuje se na spalování těžkého topného oleje a jemu podobných kapalných paliv.</w:t>
      </w:r>
    </w:p>
    <w:p w14:paraId="1B998D29" w14:textId="77777777" w:rsidR="006945AD" w:rsidRPr="0030358C" w:rsidRDefault="006945AD" w:rsidP="006945AD">
      <w:pPr>
        <w:spacing w:line="300" w:lineRule="exact"/>
        <w:rPr>
          <w:rFonts w:ascii="Arial" w:hAnsi="Arial" w:cs="Arial"/>
          <w:b/>
          <w:bCs/>
          <w:sz w:val="22"/>
          <w:szCs w:val="22"/>
        </w:rPr>
      </w:pPr>
    </w:p>
    <w:p w14:paraId="6CC9133E" w14:textId="77777777" w:rsidR="006945AD" w:rsidRPr="0030358C" w:rsidRDefault="00000000" w:rsidP="006945AD">
      <w:pPr>
        <w:pStyle w:val="Odstavecseseznamem1"/>
        <w:widowControl w:val="0"/>
        <w:tabs>
          <w:tab w:val="left" w:pos="540"/>
        </w:tabs>
        <w:ind w:left="360" w:hanging="360"/>
        <w:rPr>
          <w:rFonts w:ascii="Arial" w:hAnsi="Arial" w:cs="Arial"/>
          <w:b/>
          <w:bCs/>
          <w:sz w:val="22"/>
          <w:szCs w:val="22"/>
        </w:rPr>
      </w:pPr>
      <w:r w:rsidRPr="0030358C">
        <w:rPr>
          <w:rFonts w:ascii="Arial" w:hAnsi="Arial" w:cs="Arial"/>
          <w:b/>
          <w:bCs/>
          <w:sz w:val="22"/>
          <w:szCs w:val="22"/>
        </w:rPr>
        <w:t>2.2.  Specifické emisní limity pro pístové spalovací motory</w:t>
      </w:r>
    </w:p>
    <w:p w14:paraId="78F417F3" w14:textId="77777777" w:rsidR="006945AD" w:rsidRPr="0030358C" w:rsidRDefault="006945AD" w:rsidP="006945AD">
      <w:pPr>
        <w:rPr>
          <w:rFonts w:ascii="Arial" w:hAnsi="Arial" w:cs="Arial"/>
          <w:b/>
          <w:bCs/>
          <w:sz w:val="22"/>
          <w:szCs w:val="22"/>
        </w:rPr>
      </w:pPr>
    </w:p>
    <w:p w14:paraId="4747AACE" w14:textId="77777777" w:rsidR="006945AD" w:rsidRPr="0030358C" w:rsidRDefault="00000000" w:rsidP="00A50DC9">
      <w:pPr>
        <w:spacing w:line="300" w:lineRule="exact"/>
        <w:rPr>
          <w:rFonts w:ascii="Arial" w:hAnsi="Arial" w:cs="Arial"/>
          <w:b/>
          <w:bCs/>
          <w:sz w:val="22"/>
          <w:szCs w:val="22"/>
        </w:rPr>
      </w:pPr>
      <w:r w:rsidRPr="0030358C">
        <w:rPr>
          <w:rFonts w:ascii="Arial" w:hAnsi="Arial" w:cs="Arial"/>
          <w:b/>
          <w:bCs/>
          <w:sz w:val="22"/>
          <w:szCs w:val="22"/>
        </w:rPr>
        <w:t>Tabulka 2.2.1 - zrušena</w:t>
      </w:r>
    </w:p>
    <w:p w14:paraId="23707F79" w14:textId="77777777" w:rsidR="006945AD" w:rsidRPr="0030358C" w:rsidRDefault="006945AD" w:rsidP="006945AD">
      <w:pPr>
        <w:rPr>
          <w:rFonts w:ascii="Arial" w:hAnsi="Arial" w:cs="Arial"/>
          <w:b/>
          <w:bCs/>
          <w:sz w:val="22"/>
          <w:szCs w:val="22"/>
        </w:rPr>
      </w:pPr>
    </w:p>
    <w:p w14:paraId="2DD7083E" w14:textId="77777777" w:rsidR="006945AD" w:rsidRPr="0030358C" w:rsidRDefault="00000000" w:rsidP="006945AD">
      <w:pPr>
        <w:pStyle w:val="Odstavecseseznamem1"/>
        <w:ind w:left="709" w:hanging="709"/>
        <w:outlineLvl w:val="0"/>
        <w:rPr>
          <w:rFonts w:ascii="Arial" w:hAnsi="Arial" w:cs="Arial"/>
          <w:b/>
          <w:bCs/>
          <w:sz w:val="22"/>
          <w:szCs w:val="22"/>
        </w:rPr>
      </w:pPr>
      <w:r w:rsidRPr="0030358C">
        <w:rPr>
          <w:rFonts w:ascii="Arial" w:hAnsi="Arial" w:cs="Arial"/>
          <w:b/>
          <w:bCs/>
          <w:sz w:val="22"/>
          <w:szCs w:val="22"/>
        </w:rPr>
        <w:t xml:space="preserve">Tabulka 2.2.2 - Specifické emisní limity pro stacionární zdroje uvedené do provozu před 20. prosincem 2018 </w:t>
      </w:r>
    </w:p>
    <w:p w14:paraId="2D6410B6" w14:textId="77777777" w:rsidR="006945AD" w:rsidRPr="0030358C" w:rsidRDefault="006945AD" w:rsidP="006945AD">
      <w:pPr>
        <w:pStyle w:val="Odstavecseseznamem1"/>
        <w:ind w:left="709" w:hanging="709"/>
        <w:outlineLvl w:val="0"/>
        <w:rPr>
          <w:rFonts w:ascii="Arial" w:hAnsi="Arial" w:cs="Arial"/>
          <w:b/>
          <w:bCs/>
          <w:sz w:val="22"/>
          <w:szCs w:val="22"/>
        </w:rPr>
      </w:pPr>
    </w:p>
    <w:tbl>
      <w:tblPr>
        <w:tblW w:w="0" w:type="auto"/>
        <w:tblInd w:w="-5" w:type="dxa"/>
        <w:tblLayout w:type="fixed"/>
        <w:tblLook w:val="0000" w:firstRow="0" w:lastRow="0" w:firstColumn="0" w:lastColumn="0" w:noHBand="0" w:noVBand="0"/>
      </w:tblPr>
      <w:tblGrid>
        <w:gridCol w:w="5212"/>
        <w:gridCol w:w="1021"/>
        <w:gridCol w:w="1083"/>
        <w:gridCol w:w="899"/>
        <w:gridCol w:w="1021"/>
        <w:gridCol w:w="1083"/>
        <w:gridCol w:w="899"/>
        <w:gridCol w:w="1021"/>
        <w:gridCol w:w="1083"/>
        <w:gridCol w:w="906"/>
      </w:tblGrid>
      <w:tr w:rsidR="00E40657" w14:paraId="2EBB4D41" w14:textId="77777777" w:rsidTr="00B15037">
        <w:tc>
          <w:tcPr>
            <w:tcW w:w="5212" w:type="dxa"/>
            <w:vMerge w:val="restart"/>
            <w:tcBorders>
              <w:top w:val="single" w:sz="4" w:space="0" w:color="000000"/>
              <w:left w:val="single" w:sz="4" w:space="0" w:color="000000"/>
              <w:bottom w:val="single" w:sz="4" w:space="0" w:color="000000"/>
            </w:tcBorders>
            <w:vAlign w:val="center"/>
          </w:tcPr>
          <w:p w14:paraId="72E1D5F4" w14:textId="77777777" w:rsidR="006945AD" w:rsidRPr="0030358C" w:rsidRDefault="00000000" w:rsidP="00B15037">
            <w:pPr>
              <w:spacing w:line="300" w:lineRule="exact"/>
              <w:jc w:val="center"/>
              <w:rPr>
                <w:rFonts w:ascii="Arial" w:hAnsi="Arial" w:cs="Arial"/>
                <w:b/>
                <w:bCs/>
                <w:sz w:val="22"/>
                <w:szCs w:val="22"/>
              </w:rPr>
            </w:pPr>
            <w:r w:rsidRPr="0030358C">
              <w:rPr>
                <w:rFonts w:ascii="Arial" w:hAnsi="Arial" w:cs="Arial"/>
                <w:b/>
                <w:bCs/>
                <w:sz w:val="22"/>
                <w:szCs w:val="22"/>
              </w:rPr>
              <w:t>Druh paliva</w:t>
            </w:r>
          </w:p>
        </w:tc>
        <w:tc>
          <w:tcPr>
            <w:tcW w:w="9016" w:type="dxa"/>
            <w:gridSpan w:val="9"/>
            <w:tcBorders>
              <w:top w:val="single" w:sz="4" w:space="0" w:color="000000"/>
              <w:left w:val="single" w:sz="4" w:space="0" w:color="000000"/>
              <w:bottom w:val="single" w:sz="4" w:space="0" w:color="000000"/>
              <w:right w:val="single" w:sz="4" w:space="0" w:color="000000"/>
            </w:tcBorders>
            <w:vAlign w:val="center"/>
          </w:tcPr>
          <w:p w14:paraId="5CD9E88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412C5618" w14:textId="77777777" w:rsidTr="00B15037">
        <w:tc>
          <w:tcPr>
            <w:tcW w:w="5212" w:type="dxa"/>
            <w:vMerge/>
            <w:tcBorders>
              <w:top w:val="single" w:sz="4" w:space="0" w:color="000000"/>
              <w:left w:val="single" w:sz="4" w:space="0" w:color="000000"/>
              <w:bottom w:val="single" w:sz="4" w:space="0" w:color="000000"/>
            </w:tcBorders>
          </w:tcPr>
          <w:p w14:paraId="628F7CE5" w14:textId="77777777" w:rsidR="006945AD" w:rsidRPr="0030358C" w:rsidRDefault="006945AD" w:rsidP="00B15037">
            <w:pPr>
              <w:spacing w:line="300" w:lineRule="exact"/>
              <w:rPr>
                <w:rFonts w:ascii="Arial" w:hAnsi="Arial" w:cs="Arial"/>
                <w:b/>
                <w:bCs/>
                <w:sz w:val="22"/>
                <w:szCs w:val="22"/>
              </w:rPr>
            </w:pPr>
          </w:p>
        </w:tc>
        <w:tc>
          <w:tcPr>
            <w:tcW w:w="3003" w:type="dxa"/>
            <w:gridSpan w:val="3"/>
            <w:tcBorders>
              <w:top w:val="single" w:sz="4" w:space="0" w:color="000000"/>
              <w:left w:val="single" w:sz="4" w:space="0" w:color="000000"/>
              <w:bottom w:val="single" w:sz="4" w:space="0" w:color="000000"/>
            </w:tcBorders>
            <w:vAlign w:val="center"/>
          </w:tcPr>
          <w:p w14:paraId="35B7459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3003" w:type="dxa"/>
            <w:gridSpan w:val="3"/>
            <w:tcBorders>
              <w:top w:val="single" w:sz="4" w:space="0" w:color="000000"/>
              <w:left w:val="single" w:sz="4" w:space="0" w:color="000000"/>
              <w:bottom w:val="single" w:sz="4" w:space="0" w:color="000000"/>
            </w:tcBorders>
            <w:vAlign w:val="center"/>
          </w:tcPr>
          <w:p w14:paraId="52F4A67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 MW</w:t>
            </w:r>
          </w:p>
        </w:tc>
        <w:tc>
          <w:tcPr>
            <w:tcW w:w="3010" w:type="dxa"/>
            <w:gridSpan w:val="3"/>
            <w:tcBorders>
              <w:top w:val="single" w:sz="4" w:space="0" w:color="000000"/>
              <w:left w:val="single" w:sz="4" w:space="0" w:color="000000"/>
              <w:bottom w:val="single" w:sz="4" w:space="0" w:color="000000"/>
              <w:right w:val="single" w:sz="4" w:space="0" w:color="000000"/>
            </w:tcBorders>
            <w:vAlign w:val="center"/>
          </w:tcPr>
          <w:p w14:paraId="0EA3E8F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5-50 MW</w:t>
            </w:r>
          </w:p>
        </w:tc>
      </w:tr>
      <w:tr w:rsidR="00E40657" w14:paraId="0F87C491" w14:textId="77777777" w:rsidTr="00B15037">
        <w:tc>
          <w:tcPr>
            <w:tcW w:w="5212" w:type="dxa"/>
            <w:vMerge/>
            <w:tcBorders>
              <w:top w:val="single" w:sz="4" w:space="0" w:color="000000"/>
              <w:left w:val="single" w:sz="4" w:space="0" w:color="000000"/>
              <w:bottom w:val="single" w:sz="4" w:space="0" w:color="000000"/>
            </w:tcBorders>
          </w:tcPr>
          <w:p w14:paraId="5CEFA9D0" w14:textId="77777777" w:rsidR="006945AD" w:rsidRPr="0030358C" w:rsidRDefault="006945AD" w:rsidP="00B15037">
            <w:pPr>
              <w:spacing w:line="300" w:lineRule="exact"/>
              <w:rPr>
                <w:rFonts w:ascii="Arial" w:hAnsi="Arial" w:cs="Arial"/>
                <w:b/>
                <w:bCs/>
                <w:sz w:val="22"/>
                <w:szCs w:val="22"/>
              </w:rPr>
            </w:pPr>
          </w:p>
        </w:tc>
        <w:tc>
          <w:tcPr>
            <w:tcW w:w="1021" w:type="dxa"/>
            <w:tcBorders>
              <w:top w:val="single" w:sz="4" w:space="0" w:color="000000"/>
              <w:left w:val="single" w:sz="4" w:space="0" w:color="000000"/>
              <w:bottom w:val="single" w:sz="4" w:space="0" w:color="000000"/>
            </w:tcBorders>
            <w:vAlign w:val="center"/>
          </w:tcPr>
          <w:p w14:paraId="71527B4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83" w:type="dxa"/>
            <w:tcBorders>
              <w:top w:val="single" w:sz="4" w:space="0" w:color="000000"/>
              <w:left w:val="single" w:sz="4" w:space="0" w:color="000000"/>
              <w:bottom w:val="single" w:sz="4" w:space="0" w:color="000000"/>
            </w:tcBorders>
            <w:vAlign w:val="center"/>
          </w:tcPr>
          <w:p w14:paraId="044F85F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899" w:type="dxa"/>
            <w:tcBorders>
              <w:top w:val="single" w:sz="4" w:space="0" w:color="000000"/>
              <w:left w:val="single" w:sz="4" w:space="0" w:color="000000"/>
              <w:bottom w:val="single" w:sz="4" w:space="0" w:color="000000"/>
            </w:tcBorders>
            <w:vAlign w:val="center"/>
          </w:tcPr>
          <w:p w14:paraId="79D4343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21" w:type="dxa"/>
            <w:tcBorders>
              <w:top w:val="single" w:sz="4" w:space="0" w:color="000000"/>
              <w:left w:val="single" w:sz="4" w:space="0" w:color="000000"/>
              <w:bottom w:val="single" w:sz="4" w:space="0" w:color="000000"/>
            </w:tcBorders>
            <w:vAlign w:val="center"/>
          </w:tcPr>
          <w:p w14:paraId="5CE4251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83" w:type="dxa"/>
            <w:tcBorders>
              <w:top w:val="single" w:sz="4" w:space="0" w:color="000000"/>
              <w:left w:val="single" w:sz="4" w:space="0" w:color="000000"/>
              <w:bottom w:val="single" w:sz="4" w:space="0" w:color="000000"/>
            </w:tcBorders>
            <w:vAlign w:val="center"/>
          </w:tcPr>
          <w:p w14:paraId="377051D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899" w:type="dxa"/>
            <w:tcBorders>
              <w:top w:val="single" w:sz="4" w:space="0" w:color="000000"/>
              <w:left w:val="single" w:sz="4" w:space="0" w:color="000000"/>
              <w:bottom w:val="single" w:sz="4" w:space="0" w:color="000000"/>
            </w:tcBorders>
            <w:vAlign w:val="center"/>
          </w:tcPr>
          <w:p w14:paraId="6B00F84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21" w:type="dxa"/>
            <w:tcBorders>
              <w:top w:val="single" w:sz="4" w:space="0" w:color="000000"/>
              <w:left w:val="single" w:sz="4" w:space="0" w:color="000000"/>
              <w:bottom w:val="single" w:sz="4" w:space="0" w:color="000000"/>
            </w:tcBorders>
            <w:vAlign w:val="center"/>
          </w:tcPr>
          <w:p w14:paraId="1F40AA3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83" w:type="dxa"/>
            <w:tcBorders>
              <w:top w:val="single" w:sz="4" w:space="0" w:color="000000"/>
              <w:left w:val="single" w:sz="4" w:space="0" w:color="000000"/>
              <w:bottom w:val="single" w:sz="4" w:space="0" w:color="000000"/>
            </w:tcBorders>
            <w:vAlign w:val="center"/>
          </w:tcPr>
          <w:p w14:paraId="0ECE8FF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906" w:type="dxa"/>
            <w:tcBorders>
              <w:top w:val="single" w:sz="4" w:space="0" w:color="000000"/>
              <w:left w:val="single" w:sz="4" w:space="0" w:color="000000"/>
              <w:bottom w:val="single" w:sz="4" w:space="0" w:color="000000"/>
              <w:right w:val="single" w:sz="4" w:space="0" w:color="000000"/>
            </w:tcBorders>
            <w:vAlign w:val="center"/>
          </w:tcPr>
          <w:p w14:paraId="2574DE7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697EBD33" w14:textId="77777777" w:rsidTr="00B15037">
        <w:tc>
          <w:tcPr>
            <w:tcW w:w="5212" w:type="dxa"/>
            <w:tcBorders>
              <w:top w:val="single" w:sz="4" w:space="0" w:color="000000"/>
              <w:left w:val="single" w:sz="4" w:space="0" w:color="000000"/>
              <w:bottom w:val="single" w:sz="4" w:space="0" w:color="000000"/>
            </w:tcBorders>
            <w:vAlign w:val="center"/>
          </w:tcPr>
          <w:p w14:paraId="668CA4C6"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Kapalné palivo</w:t>
            </w:r>
          </w:p>
        </w:tc>
        <w:tc>
          <w:tcPr>
            <w:tcW w:w="1021" w:type="dxa"/>
            <w:tcBorders>
              <w:top w:val="single" w:sz="4" w:space="0" w:color="000000"/>
              <w:left w:val="single" w:sz="4" w:space="0" w:color="000000"/>
              <w:bottom w:val="single" w:sz="4" w:space="0" w:color="000000"/>
            </w:tcBorders>
            <w:vAlign w:val="center"/>
          </w:tcPr>
          <w:p w14:paraId="3C9A1F5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83" w:type="dxa"/>
            <w:tcBorders>
              <w:top w:val="single" w:sz="4" w:space="0" w:color="000000"/>
              <w:left w:val="single" w:sz="4" w:space="0" w:color="000000"/>
              <w:bottom w:val="single" w:sz="4" w:space="0" w:color="000000"/>
            </w:tcBorders>
            <w:vAlign w:val="center"/>
          </w:tcPr>
          <w:p w14:paraId="7FB022A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899" w:type="dxa"/>
            <w:tcBorders>
              <w:top w:val="single" w:sz="4" w:space="0" w:color="000000"/>
              <w:left w:val="single" w:sz="4" w:space="0" w:color="000000"/>
              <w:bottom w:val="single" w:sz="4" w:space="0" w:color="000000"/>
            </w:tcBorders>
            <w:vAlign w:val="center"/>
          </w:tcPr>
          <w:p w14:paraId="232ED57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c>
          <w:tcPr>
            <w:tcW w:w="1021" w:type="dxa"/>
            <w:tcBorders>
              <w:top w:val="single" w:sz="4" w:space="0" w:color="000000"/>
              <w:left w:val="single" w:sz="4" w:space="0" w:color="000000"/>
              <w:bottom w:val="single" w:sz="4" w:space="0" w:color="000000"/>
            </w:tcBorders>
            <w:vAlign w:val="center"/>
          </w:tcPr>
          <w:p w14:paraId="56BFD38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83" w:type="dxa"/>
            <w:tcBorders>
              <w:top w:val="single" w:sz="4" w:space="0" w:color="000000"/>
              <w:left w:val="single" w:sz="4" w:space="0" w:color="000000"/>
              <w:bottom w:val="single" w:sz="4" w:space="0" w:color="000000"/>
            </w:tcBorders>
            <w:vAlign w:val="center"/>
          </w:tcPr>
          <w:p w14:paraId="1822BCB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r w:rsidRPr="0030358C">
              <w:rPr>
                <w:rFonts w:ascii="Arial" w:hAnsi="Arial" w:cs="Arial"/>
                <w:b/>
                <w:bCs/>
                <w:sz w:val="22"/>
                <w:szCs w:val="22"/>
                <w:vertAlign w:val="superscript"/>
              </w:rPr>
              <w:t>1)</w:t>
            </w:r>
          </w:p>
        </w:tc>
        <w:tc>
          <w:tcPr>
            <w:tcW w:w="899" w:type="dxa"/>
            <w:tcBorders>
              <w:top w:val="single" w:sz="4" w:space="0" w:color="000000"/>
              <w:left w:val="single" w:sz="4" w:space="0" w:color="000000"/>
              <w:bottom w:val="single" w:sz="4" w:space="0" w:color="000000"/>
            </w:tcBorders>
            <w:vAlign w:val="center"/>
          </w:tcPr>
          <w:p w14:paraId="07AE3D5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c>
          <w:tcPr>
            <w:tcW w:w="1021" w:type="dxa"/>
            <w:tcBorders>
              <w:top w:val="single" w:sz="4" w:space="0" w:color="000000"/>
              <w:left w:val="single" w:sz="4" w:space="0" w:color="000000"/>
              <w:bottom w:val="single" w:sz="4" w:space="0" w:color="000000"/>
            </w:tcBorders>
            <w:vAlign w:val="center"/>
          </w:tcPr>
          <w:p w14:paraId="4274781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83" w:type="dxa"/>
            <w:tcBorders>
              <w:top w:val="single" w:sz="4" w:space="0" w:color="000000"/>
              <w:left w:val="single" w:sz="4" w:space="0" w:color="000000"/>
              <w:bottom w:val="single" w:sz="4" w:space="0" w:color="000000"/>
            </w:tcBorders>
            <w:vAlign w:val="center"/>
          </w:tcPr>
          <w:p w14:paraId="0930E94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w:t>
            </w:r>
            <w:r w:rsidRPr="0030358C">
              <w:rPr>
                <w:rFonts w:ascii="Arial" w:hAnsi="Arial" w:cs="Arial"/>
                <w:b/>
                <w:bCs/>
                <w:sz w:val="22"/>
                <w:szCs w:val="22"/>
                <w:vertAlign w:val="superscript"/>
              </w:rPr>
              <w:t>1)</w:t>
            </w:r>
          </w:p>
        </w:tc>
        <w:tc>
          <w:tcPr>
            <w:tcW w:w="906" w:type="dxa"/>
            <w:tcBorders>
              <w:top w:val="single" w:sz="4" w:space="0" w:color="000000"/>
              <w:left w:val="single" w:sz="4" w:space="0" w:color="000000"/>
              <w:bottom w:val="single" w:sz="4" w:space="0" w:color="000000"/>
              <w:right w:val="single" w:sz="4" w:space="0" w:color="000000"/>
            </w:tcBorders>
            <w:vAlign w:val="center"/>
          </w:tcPr>
          <w:p w14:paraId="3470E14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r>
      <w:tr w:rsidR="00E40657" w14:paraId="4C59F5A8" w14:textId="77777777" w:rsidTr="00B15037">
        <w:tc>
          <w:tcPr>
            <w:tcW w:w="5212" w:type="dxa"/>
            <w:tcBorders>
              <w:top w:val="single" w:sz="4" w:space="0" w:color="000000"/>
              <w:left w:val="single" w:sz="4" w:space="0" w:color="000000"/>
              <w:bottom w:val="single" w:sz="4" w:space="0" w:color="000000"/>
            </w:tcBorders>
            <w:vAlign w:val="center"/>
          </w:tcPr>
          <w:p w14:paraId="3E2D4304"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Plynné palivo a zkapalněný plyn</w:t>
            </w:r>
          </w:p>
        </w:tc>
        <w:tc>
          <w:tcPr>
            <w:tcW w:w="1021" w:type="dxa"/>
            <w:tcBorders>
              <w:top w:val="single" w:sz="4" w:space="0" w:color="000000"/>
              <w:left w:val="single" w:sz="4" w:space="0" w:color="000000"/>
              <w:bottom w:val="single" w:sz="4" w:space="0" w:color="000000"/>
            </w:tcBorders>
            <w:vAlign w:val="center"/>
          </w:tcPr>
          <w:p w14:paraId="6970C31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83" w:type="dxa"/>
            <w:tcBorders>
              <w:top w:val="single" w:sz="4" w:space="0" w:color="000000"/>
              <w:left w:val="single" w:sz="4" w:space="0" w:color="000000"/>
              <w:bottom w:val="single" w:sz="4" w:space="0" w:color="000000"/>
            </w:tcBorders>
            <w:vAlign w:val="center"/>
          </w:tcPr>
          <w:p w14:paraId="25F97D5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899" w:type="dxa"/>
            <w:tcBorders>
              <w:top w:val="single" w:sz="4" w:space="0" w:color="000000"/>
              <w:left w:val="single" w:sz="4" w:space="0" w:color="000000"/>
              <w:bottom w:val="single" w:sz="4" w:space="0" w:color="000000"/>
            </w:tcBorders>
            <w:vAlign w:val="center"/>
          </w:tcPr>
          <w:p w14:paraId="6F4A0B4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c>
          <w:tcPr>
            <w:tcW w:w="1021" w:type="dxa"/>
            <w:tcBorders>
              <w:top w:val="single" w:sz="4" w:space="0" w:color="000000"/>
              <w:left w:val="single" w:sz="4" w:space="0" w:color="000000"/>
              <w:bottom w:val="single" w:sz="4" w:space="0" w:color="000000"/>
            </w:tcBorders>
            <w:vAlign w:val="center"/>
          </w:tcPr>
          <w:p w14:paraId="069EB39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83" w:type="dxa"/>
            <w:tcBorders>
              <w:top w:val="single" w:sz="4" w:space="0" w:color="000000"/>
              <w:left w:val="single" w:sz="4" w:space="0" w:color="000000"/>
              <w:bottom w:val="single" w:sz="4" w:space="0" w:color="000000"/>
            </w:tcBorders>
            <w:vAlign w:val="center"/>
          </w:tcPr>
          <w:p w14:paraId="115CDF8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899" w:type="dxa"/>
            <w:tcBorders>
              <w:top w:val="single" w:sz="4" w:space="0" w:color="000000"/>
              <w:left w:val="single" w:sz="4" w:space="0" w:color="000000"/>
              <w:bottom w:val="single" w:sz="4" w:space="0" w:color="000000"/>
            </w:tcBorders>
            <w:vAlign w:val="center"/>
          </w:tcPr>
          <w:p w14:paraId="32F7396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c>
          <w:tcPr>
            <w:tcW w:w="1021" w:type="dxa"/>
            <w:tcBorders>
              <w:top w:val="single" w:sz="4" w:space="0" w:color="000000"/>
              <w:left w:val="single" w:sz="4" w:space="0" w:color="000000"/>
              <w:bottom w:val="single" w:sz="4" w:space="0" w:color="000000"/>
            </w:tcBorders>
            <w:vAlign w:val="center"/>
          </w:tcPr>
          <w:p w14:paraId="5162AAB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83" w:type="dxa"/>
            <w:tcBorders>
              <w:top w:val="single" w:sz="4" w:space="0" w:color="000000"/>
              <w:left w:val="single" w:sz="4" w:space="0" w:color="000000"/>
              <w:bottom w:val="single" w:sz="4" w:space="0" w:color="000000"/>
            </w:tcBorders>
            <w:vAlign w:val="center"/>
          </w:tcPr>
          <w:p w14:paraId="513D11F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906" w:type="dxa"/>
            <w:tcBorders>
              <w:top w:val="single" w:sz="4" w:space="0" w:color="000000"/>
              <w:left w:val="single" w:sz="4" w:space="0" w:color="000000"/>
              <w:bottom w:val="single" w:sz="4" w:space="0" w:color="000000"/>
              <w:right w:val="single" w:sz="4" w:space="0" w:color="000000"/>
            </w:tcBorders>
            <w:vAlign w:val="center"/>
          </w:tcPr>
          <w:p w14:paraId="2EE6190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r>
    </w:tbl>
    <w:p w14:paraId="32321403"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 xml:space="preserve">Vysvětlivky: </w:t>
      </w:r>
    </w:p>
    <w:p w14:paraId="463672BC"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lastRenderedPageBreak/>
        <w:t>1) Hodnoty vztažené k vlhkému plynu</w:t>
      </w:r>
    </w:p>
    <w:p w14:paraId="31DC6041" w14:textId="77777777" w:rsidR="006945AD" w:rsidRPr="0030358C" w:rsidRDefault="006945AD" w:rsidP="006945AD">
      <w:pPr>
        <w:rPr>
          <w:rFonts w:ascii="Arial" w:hAnsi="Arial" w:cs="Arial"/>
          <w:b/>
          <w:bCs/>
          <w:sz w:val="22"/>
          <w:szCs w:val="22"/>
        </w:rPr>
      </w:pPr>
    </w:p>
    <w:p w14:paraId="6E655BCD" w14:textId="77777777" w:rsidR="006945AD" w:rsidRPr="0030358C" w:rsidRDefault="00000000" w:rsidP="006945AD">
      <w:pPr>
        <w:pStyle w:val="Odstavecseseznamem1"/>
        <w:widowControl w:val="0"/>
        <w:tabs>
          <w:tab w:val="left" w:pos="720"/>
        </w:tabs>
        <w:spacing w:line="200" w:lineRule="atLeast"/>
        <w:ind w:left="360" w:hanging="360"/>
        <w:jc w:val="both"/>
        <w:rPr>
          <w:rFonts w:ascii="Arial" w:hAnsi="Arial" w:cs="Arial"/>
          <w:b/>
          <w:bCs/>
          <w:sz w:val="22"/>
          <w:szCs w:val="22"/>
        </w:rPr>
      </w:pPr>
      <w:r w:rsidRPr="0030358C">
        <w:rPr>
          <w:rFonts w:ascii="Arial" w:hAnsi="Arial" w:cs="Arial"/>
          <w:b/>
          <w:bCs/>
          <w:sz w:val="22"/>
          <w:szCs w:val="22"/>
        </w:rPr>
        <w:t>2.3.  Specifické emisní limity pro plynové turbíny</w:t>
      </w:r>
    </w:p>
    <w:p w14:paraId="417FBE89" w14:textId="77777777" w:rsidR="006945AD" w:rsidRPr="0030358C" w:rsidRDefault="006945AD" w:rsidP="006945AD">
      <w:pPr>
        <w:spacing w:line="200" w:lineRule="atLeast"/>
        <w:jc w:val="both"/>
        <w:rPr>
          <w:rFonts w:ascii="Arial" w:hAnsi="Arial" w:cs="Arial"/>
          <w:b/>
          <w:bCs/>
          <w:sz w:val="22"/>
          <w:szCs w:val="22"/>
        </w:rPr>
      </w:pPr>
    </w:p>
    <w:p w14:paraId="5CBD595F" w14:textId="77777777" w:rsidR="006945AD" w:rsidRPr="0030358C" w:rsidRDefault="00000000" w:rsidP="006945AD">
      <w:pPr>
        <w:pStyle w:val="Odstavecseseznamem1"/>
        <w:widowControl w:val="0"/>
        <w:spacing w:line="200" w:lineRule="atLeast"/>
        <w:ind w:left="0"/>
        <w:jc w:val="both"/>
        <w:rPr>
          <w:rFonts w:ascii="Arial" w:hAnsi="Arial" w:cs="Arial"/>
          <w:b/>
          <w:bCs/>
          <w:sz w:val="22"/>
          <w:szCs w:val="22"/>
        </w:rPr>
      </w:pPr>
      <w:r w:rsidRPr="0030358C">
        <w:rPr>
          <w:rFonts w:ascii="Arial" w:hAnsi="Arial" w:cs="Arial"/>
          <w:b/>
          <w:bCs/>
          <w:sz w:val="22"/>
          <w:szCs w:val="22"/>
        </w:rPr>
        <w:t>Tabulka 2.3.1 - zrušena</w:t>
      </w:r>
    </w:p>
    <w:p w14:paraId="671A75EA" w14:textId="77777777" w:rsidR="006945AD" w:rsidRPr="0030358C" w:rsidRDefault="006945AD" w:rsidP="006945AD">
      <w:pPr>
        <w:pStyle w:val="Odstavecseseznamem1"/>
        <w:widowControl w:val="0"/>
        <w:spacing w:line="200" w:lineRule="atLeast"/>
        <w:ind w:left="0"/>
        <w:jc w:val="both"/>
        <w:rPr>
          <w:rFonts w:ascii="Arial" w:hAnsi="Arial" w:cs="Arial"/>
          <w:b/>
          <w:bCs/>
          <w:sz w:val="22"/>
          <w:szCs w:val="22"/>
        </w:rPr>
      </w:pPr>
    </w:p>
    <w:p w14:paraId="7D2A7B21" w14:textId="77777777" w:rsidR="006945AD" w:rsidRPr="0030358C" w:rsidRDefault="00000000" w:rsidP="006945AD">
      <w:pPr>
        <w:pStyle w:val="Odstavecseseznamem1"/>
        <w:widowControl w:val="0"/>
        <w:spacing w:line="200" w:lineRule="atLeast"/>
        <w:ind w:hanging="720"/>
        <w:jc w:val="both"/>
        <w:outlineLvl w:val="0"/>
        <w:rPr>
          <w:rFonts w:ascii="Arial" w:hAnsi="Arial" w:cs="Arial"/>
          <w:b/>
          <w:bCs/>
          <w:sz w:val="22"/>
          <w:szCs w:val="22"/>
        </w:rPr>
      </w:pPr>
      <w:r w:rsidRPr="0030358C">
        <w:rPr>
          <w:rFonts w:ascii="Arial" w:hAnsi="Arial" w:cs="Arial"/>
          <w:b/>
          <w:bCs/>
          <w:sz w:val="22"/>
          <w:szCs w:val="22"/>
        </w:rPr>
        <w:t xml:space="preserve">Tabulka 2.3.2  - Specifické emisní limity pro stacionární zdroje uvedené do provozu před 20. prosincem 2018 </w:t>
      </w:r>
    </w:p>
    <w:p w14:paraId="61C29B1F" w14:textId="77777777" w:rsidR="006945AD" w:rsidRPr="0030358C" w:rsidRDefault="006945AD" w:rsidP="006945AD">
      <w:pPr>
        <w:pStyle w:val="Odstavecseseznamem1"/>
        <w:widowControl w:val="0"/>
        <w:spacing w:line="200" w:lineRule="atLeast"/>
        <w:ind w:hanging="720"/>
        <w:jc w:val="both"/>
        <w:outlineLvl w:val="0"/>
        <w:rPr>
          <w:rFonts w:ascii="Arial" w:hAnsi="Arial" w:cs="Arial"/>
          <w:b/>
          <w:bCs/>
          <w:sz w:val="22"/>
          <w:szCs w:val="22"/>
        </w:rPr>
      </w:pPr>
    </w:p>
    <w:tbl>
      <w:tblPr>
        <w:tblW w:w="14411" w:type="dxa"/>
        <w:tblInd w:w="-5" w:type="dxa"/>
        <w:tblLayout w:type="fixed"/>
        <w:tblLook w:val="0000" w:firstRow="0" w:lastRow="0" w:firstColumn="0" w:lastColumn="0" w:noHBand="0" w:noVBand="0"/>
      </w:tblPr>
      <w:tblGrid>
        <w:gridCol w:w="6336"/>
        <w:gridCol w:w="2169"/>
        <w:gridCol w:w="1985"/>
        <w:gridCol w:w="1843"/>
        <w:gridCol w:w="1842"/>
        <w:gridCol w:w="236"/>
      </w:tblGrid>
      <w:tr w:rsidR="00E40657" w14:paraId="45B31CEB" w14:textId="77777777" w:rsidTr="00B15037">
        <w:trPr>
          <w:gridAfter w:val="1"/>
          <w:wAfter w:w="236" w:type="dxa"/>
        </w:trPr>
        <w:tc>
          <w:tcPr>
            <w:tcW w:w="6336" w:type="dxa"/>
            <w:vMerge w:val="restart"/>
            <w:tcBorders>
              <w:top w:val="single" w:sz="4" w:space="0" w:color="000000"/>
              <w:left w:val="single" w:sz="4" w:space="0" w:color="000000"/>
              <w:bottom w:val="single" w:sz="4" w:space="0" w:color="000000"/>
            </w:tcBorders>
            <w:vAlign w:val="center"/>
          </w:tcPr>
          <w:p w14:paraId="01C5D11A" w14:textId="77777777" w:rsidR="006945AD" w:rsidRPr="0030358C" w:rsidRDefault="00000000" w:rsidP="00B15037">
            <w:pPr>
              <w:spacing w:line="300" w:lineRule="exact"/>
              <w:jc w:val="center"/>
              <w:rPr>
                <w:rFonts w:ascii="Arial" w:hAnsi="Arial" w:cs="Arial"/>
                <w:b/>
                <w:bCs/>
                <w:sz w:val="22"/>
                <w:szCs w:val="22"/>
              </w:rPr>
            </w:pPr>
            <w:r w:rsidRPr="0030358C">
              <w:rPr>
                <w:rFonts w:ascii="Arial" w:hAnsi="Arial" w:cs="Arial"/>
                <w:b/>
                <w:bCs/>
                <w:sz w:val="22"/>
                <w:szCs w:val="22"/>
              </w:rPr>
              <w:t>Druh paliva</w:t>
            </w:r>
          </w:p>
        </w:tc>
        <w:tc>
          <w:tcPr>
            <w:tcW w:w="7839" w:type="dxa"/>
            <w:gridSpan w:val="4"/>
            <w:tcBorders>
              <w:top w:val="single" w:sz="4" w:space="0" w:color="000000"/>
              <w:left w:val="single" w:sz="4" w:space="0" w:color="000000"/>
              <w:bottom w:val="single" w:sz="4" w:space="0" w:color="000000"/>
              <w:right w:val="single" w:sz="4" w:space="0" w:color="000000"/>
            </w:tcBorders>
            <w:vAlign w:val="center"/>
          </w:tcPr>
          <w:p w14:paraId="1CF387F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0ADD7D4A" w14:textId="77777777" w:rsidTr="00B15037">
        <w:trPr>
          <w:gridAfter w:val="1"/>
          <w:wAfter w:w="236" w:type="dxa"/>
        </w:trPr>
        <w:tc>
          <w:tcPr>
            <w:tcW w:w="6336" w:type="dxa"/>
            <w:vMerge/>
            <w:tcBorders>
              <w:top w:val="single" w:sz="4" w:space="0" w:color="000000"/>
              <w:left w:val="single" w:sz="4" w:space="0" w:color="000000"/>
              <w:bottom w:val="single" w:sz="4" w:space="0" w:color="000000"/>
            </w:tcBorders>
          </w:tcPr>
          <w:p w14:paraId="0369313A" w14:textId="77777777" w:rsidR="006945AD" w:rsidRPr="0030358C" w:rsidRDefault="006945AD" w:rsidP="00B15037">
            <w:pPr>
              <w:spacing w:line="300" w:lineRule="exact"/>
              <w:rPr>
                <w:rFonts w:ascii="Arial" w:hAnsi="Arial" w:cs="Arial"/>
                <w:b/>
                <w:bCs/>
                <w:sz w:val="22"/>
                <w:szCs w:val="22"/>
              </w:rPr>
            </w:pPr>
          </w:p>
        </w:tc>
        <w:tc>
          <w:tcPr>
            <w:tcW w:w="4154" w:type="dxa"/>
            <w:gridSpan w:val="2"/>
            <w:tcBorders>
              <w:top w:val="single" w:sz="4" w:space="0" w:color="000000"/>
              <w:left w:val="single" w:sz="4" w:space="0" w:color="000000"/>
              <w:bottom w:val="single" w:sz="4" w:space="0" w:color="000000"/>
            </w:tcBorders>
            <w:vAlign w:val="center"/>
          </w:tcPr>
          <w:p w14:paraId="759226F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14:paraId="02EE4BC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1-50 MW</w:t>
            </w:r>
          </w:p>
        </w:tc>
      </w:tr>
      <w:tr w:rsidR="00E40657" w14:paraId="55D75998" w14:textId="77777777" w:rsidTr="00B15037">
        <w:trPr>
          <w:trHeight w:val="253"/>
        </w:trPr>
        <w:tc>
          <w:tcPr>
            <w:tcW w:w="6336" w:type="dxa"/>
            <w:vMerge/>
            <w:tcBorders>
              <w:top w:val="single" w:sz="4" w:space="0" w:color="000000"/>
              <w:left w:val="single" w:sz="4" w:space="0" w:color="000000"/>
              <w:bottom w:val="single" w:sz="4" w:space="0" w:color="000000"/>
            </w:tcBorders>
          </w:tcPr>
          <w:p w14:paraId="6E1C469D" w14:textId="77777777" w:rsidR="006945AD" w:rsidRPr="0030358C" w:rsidRDefault="006945AD" w:rsidP="00B15037">
            <w:pPr>
              <w:spacing w:line="300" w:lineRule="exact"/>
              <w:rPr>
                <w:rFonts w:ascii="Arial" w:hAnsi="Arial" w:cs="Arial"/>
                <w:b/>
                <w:bCs/>
                <w:sz w:val="22"/>
                <w:szCs w:val="22"/>
              </w:rPr>
            </w:pPr>
          </w:p>
        </w:tc>
        <w:tc>
          <w:tcPr>
            <w:tcW w:w="2169" w:type="dxa"/>
            <w:tcBorders>
              <w:top w:val="single" w:sz="4" w:space="0" w:color="000000"/>
              <w:left w:val="single" w:sz="4" w:space="0" w:color="000000"/>
              <w:bottom w:val="single" w:sz="4" w:space="0" w:color="000000"/>
            </w:tcBorders>
            <w:vAlign w:val="center"/>
          </w:tcPr>
          <w:p w14:paraId="4DCDF7D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985" w:type="dxa"/>
            <w:tcBorders>
              <w:top w:val="single" w:sz="4" w:space="0" w:color="000000"/>
              <w:left w:val="single" w:sz="4" w:space="0" w:color="000000"/>
              <w:bottom w:val="single" w:sz="4" w:space="0" w:color="000000"/>
            </w:tcBorders>
            <w:vAlign w:val="center"/>
          </w:tcPr>
          <w:p w14:paraId="71AA367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843" w:type="dxa"/>
            <w:tcBorders>
              <w:top w:val="single" w:sz="4" w:space="0" w:color="000000"/>
              <w:left w:val="single" w:sz="4" w:space="0" w:color="000000"/>
              <w:bottom w:val="single" w:sz="4" w:space="0" w:color="000000"/>
              <w:right w:val="single" w:sz="4" w:space="0" w:color="auto"/>
            </w:tcBorders>
            <w:vAlign w:val="center"/>
          </w:tcPr>
          <w:p w14:paraId="29F77B7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842" w:type="dxa"/>
            <w:tcBorders>
              <w:top w:val="single" w:sz="4" w:space="0" w:color="auto"/>
              <w:left w:val="single" w:sz="4" w:space="0" w:color="auto"/>
              <w:bottom w:val="single" w:sz="4" w:space="0" w:color="auto"/>
              <w:right w:val="single" w:sz="4" w:space="0" w:color="auto"/>
            </w:tcBorders>
            <w:vAlign w:val="center"/>
          </w:tcPr>
          <w:p w14:paraId="1649871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236" w:type="dxa"/>
            <w:vMerge w:val="restart"/>
            <w:tcBorders>
              <w:left w:val="single" w:sz="4" w:space="0" w:color="auto"/>
            </w:tcBorders>
            <w:vAlign w:val="center"/>
          </w:tcPr>
          <w:p w14:paraId="1DD02991" w14:textId="77777777" w:rsidR="006945AD" w:rsidRPr="0030358C" w:rsidRDefault="006945AD" w:rsidP="00B15037">
            <w:pPr>
              <w:jc w:val="center"/>
              <w:rPr>
                <w:rFonts w:ascii="Arial" w:hAnsi="Arial" w:cs="Arial"/>
                <w:b/>
                <w:bCs/>
                <w:sz w:val="22"/>
                <w:szCs w:val="22"/>
              </w:rPr>
            </w:pPr>
          </w:p>
        </w:tc>
      </w:tr>
      <w:tr w:rsidR="00E40657" w14:paraId="61071FFE" w14:textId="77777777" w:rsidTr="00B15037">
        <w:tc>
          <w:tcPr>
            <w:tcW w:w="6336" w:type="dxa"/>
            <w:tcBorders>
              <w:top w:val="single" w:sz="4" w:space="0" w:color="000000"/>
              <w:left w:val="single" w:sz="4" w:space="0" w:color="000000"/>
              <w:bottom w:val="single" w:sz="4" w:space="0" w:color="000000"/>
            </w:tcBorders>
            <w:vAlign w:val="center"/>
          </w:tcPr>
          <w:p w14:paraId="419505B8"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Kapalné palivo</w:t>
            </w:r>
          </w:p>
        </w:tc>
        <w:tc>
          <w:tcPr>
            <w:tcW w:w="2169" w:type="dxa"/>
            <w:tcBorders>
              <w:top w:val="single" w:sz="4" w:space="0" w:color="000000"/>
              <w:left w:val="single" w:sz="4" w:space="0" w:color="000000"/>
              <w:bottom w:val="single" w:sz="4" w:space="0" w:color="000000"/>
            </w:tcBorders>
            <w:vAlign w:val="center"/>
          </w:tcPr>
          <w:p w14:paraId="0D09341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tc>
        <w:tc>
          <w:tcPr>
            <w:tcW w:w="1985" w:type="dxa"/>
            <w:tcBorders>
              <w:top w:val="single" w:sz="4" w:space="0" w:color="000000"/>
              <w:left w:val="single" w:sz="4" w:space="0" w:color="000000"/>
              <w:bottom w:val="single" w:sz="4" w:space="0" w:color="000000"/>
            </w:tcBorders>
            <w:vAlign w:val="center"/>
          </w:tcPr>
          <w:p w14:paraId="352044C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843" w:type="dxa"/>
            <w:tcBorders>
              <w:top w:val="single" w:sz="4" w:space="0" w:color="000000"/>
              <w:left w:val="single" w:sz="4" w:space="0" w:color="000000"/>
              <w:bottom w:val="single" w:sz="4" w:space="0" w:color="000000"/>
              <w:right w:val="single" w:sz="4" w:space="0" w:color="auto"/>
            </w:tcBorders>
            <w:vAlign w:val="center"/>
          </w:tcPr>
          <w:p w14:paraId="31FC3C4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tc>
        <w:tc>
          <w:tcPr>
            <w:tcW w:w="1842" w:type="dxa"/>
            <w:tcBorders>
              <w:top w:val="single" w:sz="4" w:space="0" w:color="auto"/>
              <w:left w:val="single" w:sz="4" w:space="0" w:color="auto"/>
              <w:bottom w:val="single" w:sz="4" w:space="0" w:color="auto"/>
              <w:right w:val="single" w:sz="4" w:space="0" w:color="auto"/>
            </w:tcBorders>
            <w:vAlign w:val="center"/>
          </w:tcPr>
          <w:p w14:paraId="34A10E1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236" w:type="dxa"/>
            <w:vMerge/>
            <w:tcBorders>
              <w:left w:val="single" w:sz="4" w:space="0" w:color="auto"/>
            </w:tcBorders>
            <w:vAlign w:val="center"/>
          </w:tcPr>
          <w:p w14:paraId="21A56457" w14:textId="77777777" w:rsidR="006945AD" w:rsidRPr="0030358C" w:rsidRDefault="006945AD" w:rsidP="00B15037">
            <w:pPr>
              <w:jc w:val="center"/>
              <w:rPr>
                <w:rFonts w:ascii="Arial" w:hAnsi="Arial" w:cs="Arial"/>
                <w:b/>
                <w:bCs/>
                <w:sz w:val="22"/>
                <w:szCs w:val="22"/>
              </w:rPr>
            </w:pPr>
          </w:p>
        </w:tc>
      </w:tr>
      <w:tr w:rsidR="00E40657" w14:paraId="3E7C5AB2" w14:textId="77777777" w:rsidTr="00B15037">
        <w:tc>
          <w:tcPr>
            <w:tcW w:w="6336" w:type="dxa"/>
            <w:tcBorders>
              <w:top w:val="single" w:sz="4" w:space="0" w:color="000000"/>
              <w:left w:val="single" w:sz="4" w:space="0" w:color="000000"/>
              <w:bottom w:val="single" w:sz="4" w:space="0" w:color="000000"/>
            </w:tcBorders>
            <w:vAlign w:val="center"/>
          </w:tcPr>
          <w:p w14:paraId="69632A90"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Plynné palivo a zkapalněný plyn</w:t>
            </w:r>
          </w:p>
        </w:tc>
        <w:tc>
          <w:tcPr>
            <w:tcW w:w="2169" w:type="dxa"/>
            <w:tcBorders>
              <w:top w:val="single" w:sz="4" w:space="0" w:color="000000"/>
              <w:left w:val="single" w:sz="4" w:space="0" w:color="000000"/>
              <w:bottom w:val="single" w:sz="4" w:space="0" w:color="000000"/>
            </w:tcBorders>
            <w:vAlign w:val="center"/>
          </w:tcPr>
          <w:p w14:paraId="1C64C79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250</w:t>
            </w:r>
          </w:p>
        </w:tc>
        <w:tc>
          <w:tcPr>
            <w:tcW w:w="1985" w:type="dxa"/>
            <w:tcBorders>
              <w:top w:val="single" w:sz="4" w:space="0" w:color="000000"/>
              <w:left w:val="single" w:sz="4" w:space="0" w:color="000000"/>
              <w:bottom w:val="single" w:sz="4" w:space="0" w:color="000000"/>
            </w:tcBorders>
            <w:vAlign w:val="center"/>
          </w:tcPr>
          <w:p w14:paraId="614A515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843" w:type="dxa"/>
            <w:tcBorders>
              <w:top w:val="single" w:sz="4" w:space="0" w:color="000000"/>
              <w:left w:val="single" w:sz="4" w:space="0" w:color="000000"/>
              <w:bottom w:val="single" w:sz="4" w:space="0" w:color="000000"/>
              <w:right w:val="single" w:sz="4" w:space="0" w:color="auto"/>
            </w:tcBorders>
            <w:vAlign w:val="center"/>
          </w:tcPr>
          <w:p w14:paraId="7B201E4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842" w:type="dxa"/>
            <w:tcBorders>
              <w:top w:val="single" w:sz="4" w:space="0" w:color="auto"/>
              <w:left w:val="single" w:sz="4" w:space="0" w:color="auto"/>
              <w:bottom w:val="single" w:sz="4" w:space="0" w:color="auto"/>
              <w:right w:val="single" w:sz="4" w:space="0" w:color="auto"/>
            </w:tcBorders>
            <w:vAlign w:val="center"/>
          </w:tcPr>
          <w:p w14:paraId="1A3633D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236" w:type="dxa"/>
            <w:vMerge/>
            <w:tcBorders>
              <w:left w:val="single" w:sz="4" w:space="0" w:color="auto"/>
            </w:tcBorders>
            <w:vAlign w:val="center"/>
          </w:tcPr>
          <w:p w14:paraId="2C6F221C" w14:textId="77777777" w:rsidR="006945AD" w:rsidRPr="0030358C" w:rsidRDefault="006945AD" w:rsidP="00B15037">
            <w:pPr>
              <w:jc w:val="center"/>
              <w:rPr>
                <w:rFonts w:ascii="Arial" w:hAnsi="Arial" w:cs="Arial"/>
                <w:b/>
                <w:bCs/>
                <w:sz w:val="22"/>
                <w:szCs w:val="22"/>
              </w:rPr>
            </w:pPr>
          </w:p>
        </w:tc>
      </w:tr>
    </w:tbl>
    <w:p w14:paraId="43B0464A" w14:textId="77777777" w:rsidR="006945AD" w:rsidRPr="0030358C" w:rsidRDefault="006945AD" w:rsidP="006945AD">
      <w:pPr>
        <w:rPr>
          <w:rFonts w:ascii="Arial" w:hAnsi="Arial" w:cs="Arial"/>
          <w:b/>
          <w:bCs/>
          <w:sz w:val="22"/>
          <w:szCs w:val="22"/>
        </w:rPr>
      </w:pPr>
    </w:p>
    <w:p w14:paraId="5C8566BD" w14:textId="77777777" w:rsidR="006945AD" w:rsidRPr="0030358C" w:rsidRDefault="006945AD" w:rsidP="006945AD">
      <w:pPr>
        <w:rPr>
          <w:rFonts w:ascii="Arial" w:hAnsi="Arial" w:cs="Arial"/>
          <w:b/>
          <w:bCs/>
          <w:sz w:val="22"/>
          <w:szCs w:val="22"/>
        </w:rPr>
      </w:pPr>
    </w:p>
    <w:p w14:paraId="04C3430C" w14:textId="77777777" w:rsidR="006945AD" w:rsidRPr="0030358C" w:rsidRDefault="00000000" w:rsidP="006945AD">
      <w:pPr>
        <w:pStyle w:val="Odstavecseseznamem"/>
        <w:numPr>
          <w:ilvl w:val="0"/>
          <w:numId w:val="18"/>
        </w:numPr>
        <w:spacing w:after="0" w:line="240" w:lineRule="auto"/>
        <w:contextualSpacing w:val="0"/>
        <w:rPr>
          <w:rFonts w:ascii="Arial" w:hAnsi="Arial" w:cs="Arial"/>
          <w:b/>
          <w:bCs/>
        </w:rPr>
      </w:pPr>
      <w:r w:rsidRPr="0030358C">
        <w:rPr>
          <w:rFonts w:ascii="Arial" w:hAnsi="Arial" w:cs="Arial"/>
          <w:b/>
          <w:bCs/>
        </w:rPr>
        <w:t>Specifické emisní limity platné od 1. ledna 2025</w:t>
      </w:r>
    </w:p>
    <w:p w14:paraId="51EFC36E" w14:textId="77777777" w:rsidR="006945AD" w:rsidRPr="0030358C" w:rsidRDefault="006945AD" w:rsidP="006945AD">
      <w:pPr>
        <w:rPr>
          <w:rFonts w:ascii="Arial" w:hAnsi="Arial" w:cs="Arial"/>
          <w:b/>
          <w:bCs/>
          <w:sz w:val="22"/>
          <w:szCs w:val="22"/>
        </w:rPr>
      </w:pPr>
    </w:p>
    <w:p w14:paraId="762922E8"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 xml:space="preserve">Specifické emisní limity jsou vztaženy na normální stavové podmínky a suchý plyn při referenčním obsahu kyslíku v odpadním plynu 6 % v případě pevných paliv s výjimkou biomasy, 11 % v případě biomasy a 3 % v případě kapalných a plynných paliv. </w:t>
      </w:r>
    </w:p>
    <w:p w14:paraId="232D1738" w14:textId="77777777" w:rsidR="006945AD" w:rsidRPr="0030358C" w:rsidRDefault="00000000" w:rsidP="006945AD">
      <w:pPr>
        <w:jc w:val="both"/>
        <w:rPr>
          <w:rFonts w:ascii="Arial" w:hAnsi="Arial" w:cs="Arial"/>
          <w:b/>
          <w:bCs/>
          <w:sz w:val="22"/>
          <w:szCs w:val="22"/>
        </w:rPr>
      </w:pPr>
      <w:r w:rsidRPr="0030358C">
        <w:rPr>
          <w:rFonts w:ascii="Arial" w:hAnsi="Arial" w:cs="Arial"/>
          <w:b/>
          <w:bCs/>
          <w:sz w:val="22"/>
          <w:szCs w:val="22"/>
        </w:rPr>
        <w:t>Pro pístové spalovací motory jsou specifické emisní limity vztaženy na normální stavové podmínky a suchý plyn (pokud není stanoveno jinak), při referenčním obsahu kyslíku 5 % a nevztahují se na záložní zdroje energie a spalovací stacionární zdroj sloužící výhradně k pohonu požárního čerpadla provozované méně než 300 provozních hodin ročně. Plynovým motorem se rozumí motor s vnitřním spalováním pracující na principu Ottova cyklu a využívající zážehové zapalování paliva nebo v případě dvoupalivového motoru využívající vznětové zapalování paliva.</w:t>
      </w:r>
    </w:p>
    <w:p w14:paraId="13E0796B" w14:textId="77777777" w:rsidR="006945AD" w:rsidRPr="0030358C" w:rsidRDefault="00000000" w:rsidP="006945AD">
      <w:pPr>
        <w:widowControl w:val="0"/>
        <w:spacing w:line="200" w:lineRule="atLeast"/>
        <w:jc w:val="both"/>
        <w:rPr>
          <w:rFonts w:ascii="Arial" w:hAnsi="Arial" w:cs="Arial"/>
          <w:b/>
          <w:bCs/>
          <w:sz w:val="22"/>
          <w:szCs w:val="22"/>
        </w:rPr>
      </w:pPr>
      <w:r w:rsidRPr="0030358C">
        <w:rPr>
          <w:rFonts w:ascii="Arial" w:hAnsi="Arial" w:cs="Arial"/>
          <w:b/>
          <w:bCs/>
          <w:sz w:val="22"/>
          <w:szCs w:val="22"/>
        </w:rPr>
        <w:t>Pro spalovací stacionární zdroje, jejichž provozní hodiny nepřekročí 500 hodin ročně, vyjádřeno jako klouzavý průměr za období tří kalendářních let, platí specifické emisní limity uvedené v tabulkách 2.1.2, 2.2.2 a 2.3.2.</w:t>
      </w:r>
    </w:p>
    <w:p w14:paraId="259EA895" w14:textId="77777777" w:rsidR="006945AD" w:rsidRPr="0030358C" w:rsidRDefault="00000000" w:rsidP="006945AD">
      <w:pPr>
        <w:widowControl w:val="0"/>
        <w:spacing w:line="200" w:lineRule="atLeast"/>
        <w:jc w:val="both"/>
        <w:rPr>
          <w:rFonts w:ascii="Arial" w:hAnsi="Arial" w:cs="Arial"/>
          <w:b/>
          <w:bCs/>
          <w:sz w:val="22"/>
          <w:szCs w:val="22"/>
        </w:rPr>
      </w:pPr>
      <w:r w:rsidRPr="0030358C">
        <w:rPr>
          <w:rFonts w:ascii="Arial" w:hAnsi="Arial" w:cs="Arial"/>
          <w:b/>
          <w:bCs/>
          <w:sz w:val="22"/>
          <w:szCs w:val="22"/>
        </w:rPr>
        <w:t xml:space="preserve">Pro plynové turbíny jsou specifické emisní limity vztaženy na normální stavové podmínky a suchý plyn při referenčním obsahu kyslíku 15 % a nevztahují se na záložní zdroje energie provozované méně než 300 provozních hodin ročně a v případě oxidů dusíku při nižším zatížení než 70 %. </w:t>
      </w:r>
    </w:p>
    <w:p w14:paraId="52B62422"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V případě tabulek 3.1.1, 3.2.1, 3.3.1 a 3.3.2 jsou specifické emisní limity vztaženy k celkovému jmenovitému příkonu a v případě tabulek 3.1.2 a 3.2.2 jsou vztaženy k jmenovitému tepelnému příkonu jednotlivých spalovacích stacionárních zdrojů; to neplatí v případě, že by emisní limit stanovený s ohledem na celkový jmenovitý tepelný příkon z části 2.1.2, 2.2.2 nebo 2.3.2 byl přísnější, v tom případě se uplatní limit uvedený tam.</w:t>
      </w:r>
    </w:p>
    <w:p w14:paraId="30951B8C" w14:textId="77777777" w:rsidR="006945AD" w:rsidRPr="0030358C" w:rsidRDefault="00000000" w:rsidP="006945AD">
      <w:pPr>
        <w:widowControl w:val="0"/>
        <w:jc w:val="both"/>
        <w:rPr>
          <w:rFonts w:ascii="Arial" w:hAnsi="Arial" w:cs="Arial"/>
          <w:b/>
          <w:bCs/>
          <w:sz w:val="22"/>
          <w:szCs w:val="22"/>
        </w:rPr>
      </w:pPr>
      <w:r w:rsidRPr="0030358C">
        <w:rPr>
          <w:rFonts w:ascii="Arial" w:hAnsi="Arial" w:cs="Arial"/>
          <w:b/>
          <w:bCs/>
          <w:sz w:val="22"/>
          <w:szCs w:val="22"/>
        </w:rPr>
        <w:t>Pro stacionární zdroje, jejichž jmenovitý tepelný příkon je nižší než 1 MW, ale celkový jmenovitý tepelný příkon je vyšší než 1 MW se namísto emisních limitů podle tabulky 3.2.1. a 3.2.2. uplatní emisní limity dle celkového jmenovitého tepelného příkonu podle tabulky 2.2.2.</w:t>
      </w:r>
    </w:p>
    <w:p w14:paraId="634E929D" w14:textId="77777777" w:rsidR="006945AD" w:rsidRPr="0030358C" w:rsidRDefault="00000000" w:rsidP="00A50DC9">
      <w:pPr>
        <w:widowControl w:val="0"/>
        <w:jc w:val="both"/>
        <w:rPr>
          <w:rFonts w:ascii="Arial" w:hAnsi="Arial" w:cs="Arial"/>
          <w:b/>
          <w:bCs/>
          <w:sz w:val="22"/>
          <w:szCs w:val="22"/>
        </w:rPr>
      </w:pPr>
      <w:r w:rsidRPr="0030358C">
        <w:rPr>
          <w:rFonts w:ascii="Arial" w:hAnsi="Arial" w:cs="Arial"/>
          <w:b/>
          <w:bCs/>
          <w:sz w:val="22"/>
          <w:szCs w:val="22"/>
        </w:rPr>
        <w:lastRenderedPageBreak/>
        <w:t>Pro stacionární zdroje, jejichž jmenovitý tepelný příkon je nižší než 1 MW, ale celkový jmenovitý tepelný příkon je vyšší než 1 MW se namísto emisních limitů podle tabulky 3.3.2. uplatní emisní limity dle celkového jmenovitého tepelného příkonu podle tabulky 2.3.2</w:t>
      </w:r>
    </w:p>
    <w:p w14:paraId="585B792F" w14:textId="77777777" w:rsidR="006945AD" w:rsidRPr="0030358C" w:rsidRDefault="006945AD" w:rsidP="006945AD">
      <w:pPr>
        <w:widowControl w:val="0"/>
        <w:spacing w:line="200" w:lineRule="atLeast"/>
        <w:jc w:val="both"/>
        <w:rPr>
          <w:rFonts w:ascii="Arial" w:hAnsi="Arial" w:cs="Arial"/>
          <w:b/>
          <w:bCs/>
          <w:sz w:val="22"/>
          <w:szCs w:val="22"/>
        </w:rPr>
      </w:pPr>
    </w:p>
    <w:p w14:paraId="4844EC58" w14:textId="77777777" w:rsidR="006945AD" w:rsidRPr="0030358C" w:rsidRDefault="00000000" w:rsidP="006945AD">
      <w:pPr>
        <w:pStyle w:val="Odstavecseseznamem1"/>
        <w:widowControl w:val="0"/>
        <w:ind w:left="0"/>
        <w:outlineLvl w:val="0"/>
        <w:rPr>
          <w:rFonts w:ascii="Arial" w:hAnsi="Arial" w:cs="Arial"/>
          <w:b/>
          <w:bCs/>
          <w:sz w:val="22"/>
          <w:szCs w:val="22"/>
        </w:rPr>
      </w:pPr>
      <w:r w:rsidRPr="0030358C">
        <w:rPr>
          <w:rFonts w:ascii="Arial" w:hAnsi="Arial" w:cs="Arial"/>
          <w:b/>
          <w:bCs/>
          <w:sz w:val="22"/>
          <w:szCs w:val="22"/>
        </w:rPr>
        <w:t>3.1. Specifické emisní limity pro spalovací stacionární zdroje s výjimkou pístových spalovacích motorů a plynových turbín</w:t>
      </w:r>
    </w:p>
    <w:p w14:paraId="172BD7DE" w14:textId="77777777" w:rsidR="006945AD" w:rsidRPr="0030358C" w:rsidRDefault="006945AD" w:rsidP="006945AD">
      <w:pPr>
        <w:widowControl w:val="0"/>
        <w:rPr>
          <w:rFonts w:ascii="Arial" w:hAnsi="Arial" w:cs="Arial"/>
          <w:b/>
          <w:bCs/>
          <w:sz w:val="22"/>
          <w:szCs w:val="22"/>
        </w:rPr>
      </w:pPr>
    </w:p>
    <w:p w14:paraId="080528B5" w14:textId="77777777" w:rsidR="006945AD" w:rsidRPr="0030358C" w:rsidRDefault="00000000" w:rsidP="006945AD">
      <w:pPr>
        <w:pStyle w:val="Odstavecseseznamem1"/>
        <w:widowControl w:val="0"/>
        <w:ind w:left="540" w:hanging="540"/>
        <w:jc w:val="both"/>
        <w:rPr>
          <w:rFonts w:ascii="Arial" w:hAnsi="Arial" w:cs="Arial"/>
          <w:b/>
          <w:bCs/>
          <w:sz w:val="22"/>
          <w:szCs w:val="22"/>
        </w:rPr>
      </w:pPr>
      <w:r w:rsidRPr="0030358C">
        <w:rPr>
          <w:rFonts w:ascii="Arial" w:hAnsi="Arial" w:cs="Arial"/>
          <w:b/>
          <w:bCs/>
          <w:sz w:val="22"/>
          <w:szCs w:val="22"/>
        </w:rPr>
        <w:t xml:space="preserve">Tabulka 3.1.1 - Specifické emisní limity pro stacionární zdroje uvedené do provozu 20. prosince 2018 nebo později </w:t>
      </w:r>
    </w:p>
    <w:p w14:paraId="48F75F0D" w14:textId="77777777" w:rsidR="006945AD" w:rsidRPr="0030358C" w:rsidRDefault="006945AD" w:rsidP="006945AD">
      <w:pPr>
        <w:pStyle w:val="Odstavecseseznamem1"/>
        <w:widowControl w:val="0"/>
        <w:ind w:left="540" w:hanging="540"/>
        <w:jc w:val="both"/>
        <w:rPr>
          <w:rFonts w:ascii="Arial" w:hAnsi="Arial" w:cs="Arial"/>
          <w:b/>
          <w:bCs/>
          <w:sz w:val="22"/>
          <w:szCs w:val="22"/>
        </w:rPr>
      </w:pPr>
    </w:p>
    <w:tbl>
      <w:tblPr>
        <w:tblW w:w="14364" w:type="dxa"/>
        <w:tblInd w:w="-5" w:type="dxa"/>
        <w:tblLayout w:type="fixed"/>
        <w:tblLook w:val="0000" w:firstRow="0" w:lastRow="0" w:firstColumn="0" w:lastColumn="0" w:noHBand="0" w:noVBand="0"/>
      </w:tblPr>
      <w:tblGrid>
        <w:gridCol w:w="2342"/>
        <w:gridCol w:w="1002"/>
        <w:gridCol w:w="1002"/>
        <w:gridCol w:w="1002"/>
        <w:gridCol w:w="1002"/>
        <w:gridCol w:w="1002"/>
        <w:gridCol w:w="1002"/>
        <w:gridCol w:w="1002"/>
        <w:gridCol w:w="1002"/>
        <w:gridCol w:w="1002"/>
        <w:gridCol w:w="1002"/>
        <w:gridCol w:w="1002"/>
        <w:gridCol w:w="1000"/>
      </w:tblGrid>
      <w:tr w:rsidR="00E40657" w14:paraId="201D1619" w14:textId="77777777" w:rsidTr="00B15037">
        <w:trPr>
          <w:trHeight w:val="340"/>
        </w:trPr>
        <w:tc>
          <w:tcPr>
            <w:tcW w:w="2342" w:type="dxa"/>
            <w:vMerge w:val="restart"/>
            <w:tcBorders>
              <w:top w:val="single" w:sz="4" w:space="0" w:color="000000"/>
              <w:left w:val="single" w:sz="4" w:space="0" w:color="000000"/>
              <w:bottom w:val="single" w:sz="4" w:space="0" w:color="000000"/>
            </w:tcBorders>
            <w:vAlign w:val="center"/>
          </w:tcPr>
          <w:p w14:paraId="5506518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Druh paliva</w:t>
            </w:r>
          </w:p>
        </w:tc>
        <w:tc>
          <w:tcPr>
            <w:tcW w:w="12022" w:type="dxa"/>
            <w:gridSpan w:val="12"/>
            <w:tcBorders>
              <w:top w:val="single" w:sz="4" w:space="0" w:color="000000"/>
              <w:left w:val="single" w:sz="4" w:space="0" w:color="000000"/>
              <w:bottom w:val="single" w:sz="4" w:space="0" w:color="000000"/>
              <w:right w:val="single" w:sz="4" w:space="0" w:color="000000"/>
            </w:tcBorders>
            <w:vAlign w:val="center"/>
          </w:tcPr>
          <w:p w14:paraId="6E71D59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443D6B75" w14:textId="77777777" w:rsidTr="00B15037">
        <w:trPr>
          <w:trHeight w:val="340"/>
        </w:trPr>
        <w:tc>
          <w:tcPr>
            <w:tcW w:w="2342" w:type="dxa"/>
            <w:vMerge/>
            <w:tcBorders>
              <w:top w:val="single" w:sz="4" w:space="0" w:color="000000"/>
              <w:left w:val="single" w:sz="4" w:space="0" w:color="000000"/>
              <w:bottom w:val="single" w:sz="4" w:space="0" w:color="000000"/>
            </w:tcBorders>
          </w:tcPr>
          <w:p w14:paraId="16E56EC3" w14:textId="77777777" w:rsidR="006945AD" w:rsidRPr="0030358C" w:rsidRDefault="006945AD" w:rsidP="00B15037">
            <w:pPr>
              <w:rPr>
                <w:rFonts w:ascii="Arial" w:hAnsi="Arial" w:cs="Arial"/>
                <w:b/>
                <w:bCs/>
                <w:sz w:val="22"/>
                <w:szCs w:val="22"/>
              </w:rPr>
            </w:pPr>
          </w:p>
        </w:tc>
        <w:tc>
          <w:tcPr>
            <w:tcW w:w="4008" w:type="dxa"/>
            <w:gridSpan w:val="4"/>
            <w:tcBorders>
              <w:top w:val="single" w:sz="4" w:space="0" w:color="000000"/>
              <w:left w:val="single" w:sz="4" w:space="0" w:color="000000"/>
              <w:bottom w:val="single" w:sz="4" w:space="0" w:color="000000"/>
            </w:tcBorders>
            <w:vAlign w:val="center"/>
          </w:tcPr>
          <w:p w14:paraId="7AD6F2B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4008" w:type="dxa"/>
            <w:gridSpan w:val="4"/>
            <w:tcBorders>
              <w:top w:val="single" w:sz="4" w:space="0" w:color="000000"/>
              <w:left w:val="single" w:sz="4" w:space="0" w:color="000000"/>
              <w:bottom w:val="single" w:sz="4" w:space="0" w:color="000000"/>
            </w:tcBorders>
            <w:vAlign w:val="center"/>
          </w:tcPr>
          <w:p w14:paraId="232A92C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 MW</w:t>
            </w:r>
          </w:p>
        </w:tc>
        <w:tc>
          <w:tcPr>
            <w:tcW w:w="4006" w:type="dxa"/>
            <w:gridSpan w:val="4"/>
            <w:tcBorders>
              <w:top w:val="single" w:sz="4" w:space="0" w:color="000000"/>
              <w:left w:val="single" w:sz="4" w:space="0" w:color="000000"/>
              <w:bottom w:val="single" w:sz="4" w:space="0" w:color="000000"/>
              <w:right w:val="single" w:sz="4" w:space="0" w:color="000000"/>
            </w:tcBorders>
            <w:vAlign w:val="center"/>
          </w:tcPr>
          <w:p w14:paraId="334DA19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5-50 MW</w:t>
            </w:r>
          </w:p>
        </w:tc>
      </w:tr>
      <w:tr w:rsidR="00E40657" w14:paraId="1A5D5B40" w14:textId="77777777" w:rsidTr="00B15037">
        <w:trPr>
          <w:trHeight w:val="340"/>
        </w:trPr>
        <w:tc>
          <w:tcPr>
            <w:tcW w:w="2342" w:type="dxa"/>
            <w:vMerge/>
            <w:tcBorders>
              <w:top w:val="single" w:sz="4" w:space="0" w:color="000000"/>
              <w:left w:val="single" w:sz="4" w:space="0" w:color="000000"/>
              <w:bottom w:val="single" w:sz="4" w:space="0" w:color="000000"/>
            </w:tcBorders>
          </w:tcPr>
          <w:p w14:paraId="03505188" w14:textId="77777777" w:rsidR="006945AD" w:rsidRPr="0030358C" w:rsidRDefault="006945AD" w:rsidP="00B15037">
            <w:pP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3B5482B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34272B5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5DB7051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2" w:type="dxa"/>
            <w:tcBorders>
              <w:top w:val="single" w:sz="4" w:space="0" w:color="000000"/>
              <w:left w:val="single" w:sz="4" w:space="0" w:color="000000"/>
              <w:bottom w:val="single" w:sz="4" w:space="0" w:color="000000"/>
            </w:tcBorders>
            <w:vAlign w:val="center"/>
          </w:tcPr>
          <w:p w14:paraId="514C3F8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02" w:type="dxa"/>
            <w:tcBorders>
              <w:top w:val="single" w:sz="4" w:space="0" w:color="000000"/>
              <w:left w:val="single" w:sz="4" w:space="0" w:color="000000"/>
              <w:bottom w:val="single" w:sz="4" w:space="0" w:color="000000"/>
            </w:tcBorders>
            <w:vAlign w:val="center"/>
          </w:tcPr>
          <w:p w14:paraId="752E83B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147F397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6FCBDF4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2" w:type="dxa"/>
            <w:tcBorders>
              <w:top w:val="single" w:sz="4" w:space="0" w:color="000000"/>
              <w:left w:val="single" w:sz="4" w:space="0" w:color="000000"/>
              <w:bottom w:val="single" w:sz="4" w:space="0" w:color="000000"/>
            </w:tcBorders>
            <w:vAlign w:val="center"/>
          </w:tcPr>
          <w:p w14:paraId="7B423D6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02" w:type="dxa"/>
            <w:tcBorders>
              <w:top w:val="single" w:sz="4" w:space="0" w:color="000000"/>
              <w:left w:val="single" w:sz="4" w:space="0" w:color="000000"/>
              <w:bottom w:val="single" w:sz="4" w:space="0" w:color="000000"/>
            </w:tcBorders>
            <w:vAlign w:val="center"/>
          </w:tcPr>
          <w:p w14:paraId="373972E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31F9D87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58F2312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0" w:type="dxa"/>
            <w:tcBorders>
              <w:top w:val="single" w:sz="4" w:space="0" w:color="000000"/>
              <w:left w:val="single" w:sz="4" w:space="0" w:color="000000"/>
              <w:bottom w:val="single" w:sz="4" w:space="0" w:color="000000"/>
              <w:right w:val="single" w:sz="4" w:space="0" w:color="000000"/>
            </w:tcBorders>
            <w:vAlign w:val="center"/>
          </w:tcPr>
          <w:p w14:paraId="5E55BDC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39196423" w14:textId="77777777" w:rsidTr="00B15037">
        <w:trPr>
          <w:trHeight w:val="597"/>
        </w:trPr>
        <w:tc>
          <w:tcPr>
            <w:tcW w:w="2342" w:type="dxa"/>
            <w:tcBorders>
              <w:top w:val="single" w:sz="4" w:space="0" w:color="000000"/>
              <w:left w:val="single" w:sz="4" w:space="0" w:color="000000"/>
              <w:bottom w:val="single" w:sz="4" w:space="0" w:color="000000"/>
            </w:tcBorders>
            <w:vAlign w:val="center"/>
          </w:tcPr>
          <w:p w14:paraId="0A825A54"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Pevné palivo s výjimkou biomasy</w:t>
            </w:r>
          </w:p>
        </w:tc>
        <w:tc>
          <w:tcPr>
            <w:tcW w:w="1002" w:type="dxa"/>
            <w:tcBorders>
              <w:top w:val="single" w:sz="4" w:space="0" w:color="000000"/>
              <w:left w:val="single" w:sz="4" w:space="0" w:color="000000"/>
              <w:bottom w:val="single" w:sz="4" w:space="0" w:color="000000"/>
            </w:tcBorders>
            <w:vAlign w:val="center"/>
          </w:tcPr>
          <w:p w14:paraId="45D0053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5864A10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600</w:t>
            </w:r>
          </w:p>
        </w:tc>
        <w:tc>
          <w:tcPr>
            <w:tcW w:w="1002" w:type="dxa"/>
            <w:tcBorders>
              <w:top w:val="single" w:sz="4" w:space="0" w:color="000000"/>
              <w:left w:val="single" w:sz="4" w:space="0" w:color="000000"/>
              <w:bottom w:val="single" w:sz="4" w:space="0" w:color="000000"/>
            </w:tcBorders>
            <w:vAlign w:val="center"/>
          </w:tcPr>
          <w:p w14:paraId="2782CDD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002" w:type="dxa"/>
            <w:tcBorders>
              <w:top w:val="single" w:sz="4" w:space="0" w:color="000000"/>
              <w:left w:val="single" w:sz="4" w:space="0" w:color="000000"/>
              <w:bottom w:val="single" w:sz="4" w:space="0" w:color="000000"/>
            </w:tcBorders>
            <w:vAlign w:val="center"/>
          </w:tcPr>
          <w:p w14:paraId="6020208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02" w:type="dxa"/>
            <w:tcBorders>
              <w:top w:val="single" w:sz="4" w:space="0" w:color="000000"/>
              <w:left w:val="single" w:sz="4" w:space="0" w:color="000000"/>
              <w:bottom w:val="single" w:sz="4" w:space="0" w:color="000000"/>
            </w:tcBorders>
            <w:vAlign w:val="center"/>
          </w:tcPr>
          <w:p w14:paraId="4B8BB57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02" w:type="dxa"/>
            <w:tcBorders>
              <w:top w:val="single" w:sz="4" w:space="0" w:color="000000"/>
              <w:left w:val="single" w:sz="4" w:space="0" w:color="000000"/>
              <w:bottom w:val="single" w:sz="4" w:space="0" w:color="000000"/>
            </w:tcBorders>
            <w:vAlign w:val="center"/>
          </w:tcPr>
          <w:p w14:paraId="49BCECA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6FCF570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004B50C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6466F85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02" w:type="dxa"/>
            <w:tcBorders>
              <w:top w:val="single" w:sz="4" w:space="0" w:color="000000"/>
              <w:left w:val="single" w:sz="4" w:space="0" w:color="000000"/>
              <w:bottom w:val="single" w:sz="4" w:space="0" w:color="000000"/>
            </w:tcBorders>
            <w:vAlign w:val="center"/>
          </w:tcPr>
          <w:p w14:paraId="5D534E0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tc>
        <w:tc>
          <w:tcPr>
            <w:tcW w:w="1002" w:type="dxa"/>
            <w:tcBorders>
              <w:top w:val="single" w:sz="4" w:space="0" w:color="000000"/>
              <w:left w:val="single" w:sz="4" w:space="0" w:color="000000"/>
              <w:bottom w:val="single" w:sz="4" w:space="0" w:color="000000"/>
            </w:tcBorders>
            <w:vAlign w:val="center"/>
          </w:tcPr>
          <w:p w14:paraId="5FE5FC0C"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20</w:t>
            </w:r>
            <w:r w:rsidRPr="0030358C">
              <w:rPr>
                <w:rFonts w:ascii="Arial" w:hAnsi="Arial" w:cs="Arial"/>
                <w:b/>
                <w:bCs/>
                <w:sz w:val="22"/>
                <w:szCs w:val="22"/>
                <w:vertAlign w:val="superscript"/>
              </w:rPr>
              <w:t>5)</w:t>
            </w:r>
          </w:p>
        </w:tc>
        <w:tc>
          <w:tcPr>
            <w:tcW w:w="1000" w:type="dxa"/>
            <w:tcBorders>
              <w:top w:val="single" w:sz="4" w:space="0" w:color="000000"/>
              <w:left w:val="single" w:sz="4" w:space="0" w:color="000000"/>
              <w:bottom w:val="single" w:sz="4" w:space="0" w:color="000000"/>
              <w:right w:val="single" w:sz="4" w:space="0" w:color="000000"/>
            </w:tcBorders>
            <w:vAlign w:val="center"/>
          </w:tcPr>
          <w:p w14:paraId="15034276"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300</w:t>
            </w:r>
          </w:p>
        </w:tc>
      </w:tr>
      <w:tr w:rsidR="00E40657" w14:paraId="45D52801" w14:textId="77777777" w:rsidTr="00B15037">
        <w:trPr>
          <w:trHeight w:val="597"/>
        </w:trPr>
        <w:tc>
          <w:tcPr>
            <w:tcW w:w="2342" w:type="dxa"/>
            <w:tcBorders>
              <w:top w:val="single" w:sz="4" w:space="0" w:color="000000"/>
              <w:left w:val="single" w:sz="4" w:space="0" w:color="000000"/>
              <w:bottom w:val="single" w:sz="4" w:space="0" w:color="000000"/>
            </w:tcBorders>
            <w:vAlign w:val="center"/>
          </w:tcPr>
          <w:p w14:paraId="1E236031"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Pevné palivo - biomasa</w:t>
            </w:r>
          </w:p>
        </w:tc>
        <w:tc>
          <w:tcPr>
            <w:tcW w:w="1002" w:type="dxa"/>
            <w:tcBorders>
              <w:top w:val="single" w:sz="4" w:space="0" w:color="000000"/>
              <w:left w:val="single" w:sz="4" w:space="0" w:color="000000"/>
              <w:bottom w:val="single" w:sz="4" w:space="0" w:color="000000"/>
            </w:tcBorders>
            <w:vAlign w:val="center"/>
          </w:tcPr>
          <w:p w14:paraId="4E2E0A9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57595E6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600</w:t>
            </w:r>
          </w:p>
        </w:tc>
        <w:tc>
          <w:tcPr>
            <w:tcW w:w="1002" w:type="dxa"/>
            <w:tcBorders>
              <w:top w:val="single" w:sz="4" w:space="0" w:color="000000"/>
              <w:left w:val="single" w:sz="4" w:space="0" w:color="000000"/>
              <w:bottom w:val="single" w:sz="4" w:space="0" w:color="000000"/>
            </w:tcBorders>
            <w:vAlign w:val="center"/>
          </w:tcPr>
          <w:p w14:paraId="1A8798E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002" w:type="dxa"/>
            <w:tcBorders>
              <w:top w:val="single" w:sz="4" w:space="0" w:color="000000"/>
              <w:left w:val="single" w:sz="4" w:space="0" w:color="000000"/>
              <w:bottom w:val="single" w:sz="4" w:space="0" w:color="000000"/>
            </w:tcBorders>
            <w:vAlign w:val="center"/>
          </w:tcPr>
          <w:p w14:paraId="5F0240B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02" w:type="dxa"/>
            <w:tcBorders>
              <w:top w:val="single" w:sz="4" w:space="0" w:color="000000"/>
              <w:left w:val="single" w:sz="4" w:space="0" w:color="000000"/>
              <w:bottom w:val="single" w:sz="4" w:space="0" w:color="000000"/>
            </w:tcBorders>
            <w:vAlign w:val="center"/>
          </w:tcPr>
          <w:p w14:paraId="747A9CE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133</w:t>
            </w:r>
            <w:r w:rsidRPr="0030358C">
              <w:rPr>
                <w:rFonts w:ascii="Arial" w:hAnsi="Arial" w:cs="Arial"/>
                <w:b/>
                <w:bCs/>
                <w:sz w:val="22"/>
                <w:szCs w:val="22"/>
                <w:vertAlign w:val="superscript"/>
              </w:rPr>
              <w:t>2)</w:t>
            </w:r>
          </w:p>
        </w:tc>
        <w:tc>
          <w:tcPr>
            <w:tcW w:w="1002" w:type="dxa"/>
            <w:tcBorders>
              <w:top w:val="single" w:sz="4" w:space="0" w:color="000000"/>
              <w:left w:val="single" w:sz="4" w:space="0" w:color="000000"/>
              <w:bottom w:val="single" w:sz="4" w:space="0" w:color="000000"/>
            </w:tcBorders>
            <w:vAlign w:val="center"/>
          </w:tcPr>
          <w:p w14:paraId="1EE228A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333</w:t>
            </w:r>
          </w:p>
        </w:tc>
        <w:tc>
          <w:tcPr>
            <w:tcW w:w="1002" w:type="dxa"/>
            <w:tcBorders>
              <w:top w:val="single" w:sz="4" w:space="0" w:color="000000"/>
              <w:left w:val="single" w:sz="4" w:space="0" w:color="000000"/>
              <w:bottom w:val="single" w:sz="4" w:space="0" w:color="000000"/>
            </w:tcBorders>
            <w:vAlign w:val="center"/>
          </w:tcPr>
          <w:p w14:paraId="653D72B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33</w:t>
            </w:r>
          </w:p>
        </w:tc>
        <w:tc>
          <w:tcPr>
            <w:tcW w:w="1002" w:type="dxa"/>
            <w:tcBorders>
              <w:top w:val="single" w:sz="4" w:space="0" w:color="000000"/>
              <w:left w:val="single" w:sz="4" w:space="0" w:color="000000"/>
              <w:bottom w:val="single" w:sz="4" w:space="0" w:color="000000"/>
            </w:tcBorders>
            <w:vAlign w:val="center"/>
          </w:tcPr>
          <w:p w14:paraId="0167BD1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03CDDB9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133</w:t>
            </w:r>
            <w:r w:rsidRPr="0030358C">
              <w:rPr>
                <w:rFonts w:ascii="Arial" w:hAnsi="Arial" w:cs="Arial"/>
                <w:b/>
                <w:bCs/>
                <w:sz w:val="22"/>
                <w:szCs w:val="22"/>
                <w:vertAlign w:val="superscript"/>
              </w:rPr>
              <w:t>2)</w:t>
            </w:r>
          </w:p>
        </w:tc>
        <w:tc>
          <w:tcPr>
            <w:tcW w:w="1002" w:type="dxa"/>
            <w:tcBorders>
              <w:top w:val="single" w:sz="4" w:space="0" w:color="000000"/>
              <w:left w:val="single" w:sz="4" w:space="0" w:color="000000"/>
              <w:bottom w:val="single" w:sz="4" w:space="0" w:color="000000"/>
            </w:tcBorders>
            <w:vAlign w:val="center"/>
          </w:tcPr>
          <w:p w14:paraId="0B6D3D1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78CC9005"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13</w:t>
            </w:r>
            <w:r w:rsidRPr="0030358C">
              <w:rPr>
                <w:rFonts w:ascii="Arial" w:hAnsi="Arial" w:cs="Arial"/>
                <w:b/>
                <w:bCs/>
                <w:sz w:val="22"/>
                <w:szCs w:val="22"/>
                <w:vertAlign w:val="superscript"/>
              </w:rPr>
              <w:t>6)</w:t>
            </w:r>
          </w:p>
        </w:tc>
        <w:tc>
          <w:tcPr>
            <w:tcW w:w="1000" w:type="dxa"/>
            <w:tcBorders>
              <w:top w:val="single" w:sz="4" w:space="0" w:color="000000"/>
              <w:left w:val="single" w:sz="4" w:space="0" w:color="000000"/>
              <w:bottom w:val="single" w:sz="4" w:space="0" w:color="000000"/>
              <w:right w:val="single" w:sz="4" w:space="0" w:color="000000"/>
            </w:tcBorders>
            <w:vAlign w:val="center"/>
          </w:tcPr>
          <w:p w14:paraId="5ABDFE6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r w:rsidRPr="0030358C">
              <w:rPr>
                <w:rFonts w:ascii="Arial" w:hAnsi="Arial" w:cs="Arial"/>
                <w:b/>
                <w:bCs/>
                <w:sz w:val="22"/>
                <w:szCs w:val="22"/>
                <w:vertAlign w:val="superscript"/>
              </w:rPr>
              <w:t>1)</w:t>
            </w:r>
          </w:p>
        </w:tc>
      </w:tr>
      <w:tr w:rsidR="00E40657" w14:paraId="255293D0" w14:textId="77777777" w:rsidTr="00B15037">
        <w:trPr>
          <w:trHeight w:val="413"/>
        </w:trPr>
        <w:tc>
          <w:tcPr>
            <w:tcW w:w="2342" w:type="dxa"/>
            <w:tcBorders>
              <w:top w:val="single" w:sz="4" w:space="0" w:color="000000"/>
              <w:left w:val="single" w:sz="4" w:space="0" w:color="000000"/>
              <w:bottom w:val="single" w:sz="4" w:space="0" w:color="000000"/>
            </w:tcBorders>
            <w:vAlign w:val="center"/>
          </w:tcPr>
          <w:p w14:paraId="1D6C9ADD"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Kapalné palivo s výjimkou plynového oleje</w:t>
            </w:r>
          </w:p>
        </w:tc>
        <w:tc>
          <w:tcPr>
            <w:tcW w:w="1002" w:type="dxa"/>
            <w:tcBorders>
              <w:top w:val="single" w:sz="4" w:space="0" w:color="000000"/>
              <w:left w:val="single" w:sz="4" w:space="0" w:color="000000"/>
              <w:bottom w:val="single" w:sz="4" w:space="0" w:color="000000"/>
            </w:tcBorders>
            <w:vAlign w:val="center"/>
          </w:tcPr>
          <w:p w14:paraId="6A7DC45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5E2E07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1BCA871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43ADE81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01AE30B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350</w:t>
            </w:r>
          </w:p>
        </w:tc>
        <w:tc>
          <w:tcPr>
            <w:tcW w:w="1002" w:type="dxa"/>
            <w:tcBorders>
              <w:top w:val="single" w:sz="4" w:space="0" w:color="000000"/>
              <w:left w:val="single" w:sz="4" w:space="0" w:color="000000"/>
              <w:bottom w:val="single" w:sz="4" w:space="0" w:color="000000"/>
            </w:tcBorders>
            <w:vAlign w:val="center"/>
          </w:tcPr>
          <w:p w14:paraId="128FE5A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356AE7B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6148BF2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3EDA53A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350</w:t>
            </w:r>
          </w:p>
        </w:tc>
        <w:tc>
          <w:tcPr>
            <w:tcW w:w="1002" w:type="dxa"/>
            <w:tcBorders>
              <w:top w:val="single" w:sz="4" w:space="0" w:color="000000"/>
              <w:left w:val="single" w:sz="4" w:space="0" w:color="000000"/>
              <w:bottom w:val="single" w:sz="4" w:space="0" w:color="000000"/>
            </w:tcBorders>
            <w:vAlign w:val="center"/>
          </w:tcPr>
          <w:p w14:paraId="58C7D34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0501520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w:t>
            </w:r>
          </w:p>
        </w:tc>
        <w:tc>
          <w:tcPr>
            <w:tcW w:w="1000" w:type="dxa"/>
            <w:tcBorders>
              <w:top w:val="single" w:sz="4" w:space="0" w:color="000000"/>
              <w:left w:val="single" w:sz="4" w:space="0" w:color="000000"/>
              <w:bottom w:val="single" w:sz="4" w:space="0" w:color="000000"/>
              <w:right w:val="single" w:sz="4" w:space="0" w:color="000000"/>
            </w:tcBorders>
            <w:vAlign w:val="center"/>
          </w:tcPr>
          <w:p w14:paraId="1EB51E27"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80</w:t>
            </w:r>
          </w:p>
        </w:tc>
      </w:tr>
      <w:tr w:rsidR="00E40657" w14:paraId="7756094F" w14:textId="77777777" w:rsidTr="00B15037">
        <w:trPr>
          <w:trHeight w:val="598"/>
        </w:trPr>
        <w:tc>
          <w:tcPr>
            <w:tcW w:w="2342" w:type="dxa"/>
            <w:tcBorders>
              <w:top w:val="single" w:sz="4" w:space="0" w:color="000000"/>
              <w:left w:val="single" w:sz="4" w:space="0" w:color="000000"/>
              <w:bottom w:val="single" w:sz="4" w:space="0" w:color="000000"/>
            </w:tcBorders>
            <w:vAlign w:val="center"/>
          </w:tcPr>
          <w:p w14:paraId="6BFD5DA3"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Plynový olej</w:t>
            </w:r>
          </w:p>
        </w:tc>
        <w:tc>
          <w:tcPr>
            <w:tcW w:w="1002" w:type="dxa"/>
            <w:tcBorders>
              <w:top w:val="single" w:sz="4" w:space="0" w:color="000000"/>
              <w:left w:val="single" w:sz="4" w:space="0" w:color="000000"/>
              <w:bottom w:val="single" w:sz="4" w:space="0" w:color="000000"/>
            </w:tcBorders>
            <w:vAlign w:val="center"/>
          </w:tcPr>
          <w:p w14:paraId="71FE369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4080385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11FEF99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DBACDD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027831E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581E978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28A7C32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46F686F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7AA546E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319D6E6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7FA1035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5F09001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r>
      <w:tr w:rsidR="00E40657" w14:paraId="41CD6907" w14:textId="77777777" w:rsidTr="00B15037">
        <w:trPr>
          <w:trHeight w:val="598"/>
        </w:trPr>
        <w:tc>
          <w:tcPr>
            <w:tcW w:w="2342" w:type="dxa"/>
            <w:tcBorders>
              <w:top w:val="single" w:sz="4" w:space="0" w:color="000000"/>
              <w:left w:val="single" w:sz="4" w:space="0" w:color="000000"/>
              <w:bottom w:val="single" w:sz="4" w:space="0" w:color="000000"/>
            </w:tcBorders>
            <w:vAlign w:val="center"/>
          </w:tcPr>
          <w:p w14:paraId="3AB0256B"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Plynné palivo s výjimkou zemního plynu</w:t>
            </w:r>
          </w:p>
        </w:tc>
        <w:tc>
          <w:tcPr>
            <w:tcW w:w="1002" w:type="dxa"/>
            <w:tcBorders>
              <w:top w:val="single" w:sz="4" w:space="0" w:color="000000"/>
              <w:left w:val="single" w:sz="4" w:space="0" w:color="000000"/>
              <w:bottom w:val="single" w:sz="4" w:space="0" w:color="000000"/>
            </w:tcBorders>
            <w:vAlign w:val="center"/>
          </w:tcPr>
          <w:p w14:paraId="12984E5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801481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3)</w:t>
            </w:r>
          </w:p>
          <w:p w14:paraId="6437DCA5"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4E187FA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1CE52D9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1F12B520"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2BBB5A1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4)</w:t>
            </w:r>
          </w:p>
        </w:tc>
        <w:tc>
          <w:tcPr>
            <w:tcW w:w="1002" w:type="dxa"/>
            <w:tcBorders>
              <w:top w:val="single" w:sz="4" w:space="0" w:color="000000"/>
              <w:left w:val="single" w:sz="4" w:space="0" w:color="000000"/>
              <w:bottom w:val="single" w:sz="4" w:space="0" w:color="000000"/>
            </w:tcBorders>
            <w:vAlign w:val="center"/>
          </w:tcPr>
          <w:p w14:paraId="4D7C6A3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3)</w:t>
            </w:r>
          </w:p>
          <w:p w14:paraId="39049B59"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00C8827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274206F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2B12159D"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6FD3EBE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35</w:t>
            </w:r>
            <w:r w:rsidRPr="0030358C">
              <w:rPr>
                <w:rFonts w:ascii="Arial" w:hAnsi="Arial" w:cs="Arial"/>
                <w:b/>
                <w:bCs/>
                <w:sz w:val="22"/>
                <w:szCs w:val="22"/>
                <w:vertAlign w:val="superscript"/>
              </w:rPr>
              <w:t>4)</w:t>
            </w:r>
          </w:p>
        </w:tc>
        <w:tc>
          <w:tcPr>
            <w:tcW w:w="1002" w:type="dxa"/>
            <w:tcBorders>
              <w:top w:val="single" w:sz="4" w:space="0" w:color="000000"/>
              <w:left w:val="single" w:sz="4" w:space="0" w:color="000000"/>
              <w:bottom w:val="single" w:sz="4" w:space="0" w:color="000000"/>
            </w:tcBorders>
            <w:vAlign w:val="center"/>
          </w:tcPr>
          <w:p w14:paraId="300D160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3)</w:t>
            </w:r>
          </w:p>
          <w:p w14:paraId="0111FEF5"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2A6EA14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712DAA9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7FF70024" w14:textId="77777777" w:rsidR="006945AD" w:rsidRPr="0030358C" w:rsidRDefault="006945AD" w:rsidP="00B15037">
            <w:pPr>
              <w:jc w:val="center"/>
              <w:rPr>
                <w:rFonts w:ascii="Arial" w:hAnsi="Arial" w:cs="Arial"/>
                <w:b/>
                <w:bCs/>
                <w:sz w:val="22"/>
                <w:szCs w:val="22"/>
              </w:rPr>
            </w:pPr>
          </w:p>
        </w:tc>
      </w:tr>
      <w:tr w:rsidR="00E40657" w14:paraId="07E5196A" w14:textId="77777777" w:rsidTr="00B15037">
        <w:trPr>
          <w:trHeight w:val="598"/>
        </w:trPr>
        <w:tc>
          <w:tcPr>
            <w:tcW w:w="2342" w:type="dxa"/>
            <w:tcBorders>
              <w:top w:val="single" w:sz="4" w:space="0" w:color="000000"/>
              <w:left w:val="single" w:sz="4" w:space="0" w:color="000000"/>
              <w:bottom w:val="single" w:sz="4" w:space="0" w:color="000000"/>
            </w:tcBorders>
            <w:vAlign w:val="center"/>
          </w:tcPr>
          <w:p w14:paraId="00430671"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Zemní plyn</w:t>
            </w:r>
          </w:p>
        </w:tc>
        <w:tc>
          <w:tcPr>
            <w:tcW w:w="1002" w:type="dxa"/>
            <w:tcBorders>
              <w:top w:val="single" w:sz="4" w:space="0" w:color="000000"/>
              <w:left w:val="single" w:sz="4" w:space="0" w:color="000000"/>
              <w:bottom w:val="single" w:sz="4" w:space="0" w:color="000000"/>
            </w:tcBorders>
            <w:vAlign w:val="center"/>
          </w:tcPr>
          <w:p w14:paraId="265AC8D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03D68A0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3)</w:t>
            </w:r>
          </w:p>
        </w:tc>
        <w:tc>
          <w:tcPr>
            <w:tcW w:w="1002" w:type="dxa"/>
            <w:tcBorders>
              <w:top w:val="single" w:sz="4" w:space="0" w:color="000000"/>
              <w:left w:val="single" w:sz="4" w:space="0" w:color="000000"/>
              <w:bottom w:val="single" w:sz="4" w:space="0" w:color="000000"/>
            </w:tcBorders>
            <w:vAlign w:val="center"/>
          </w:tcPr>
          <w:p w14:paraId="587A658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6A95688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00D7A1E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6B6B618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002" w:type="dxa"/>
            <w:tcBorders>
              <w:top w:val="single" w:sz="4" w:space="0" w:color="000000"/>
              <w:left w:val="single" w:sz="4" w:space="0" w:color="000000"/>
              <w:bottom w:val="single" w:sz="4" w:space="0" w:color="000000"/>
            </w:tcBorders>
            <w:vAlign w:val="center"/>
          </w:tcPr>
          <w:p w14:paraId="118A4C5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01A097F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08F325E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3016E0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002" w:type="dxa"/>
            <w:tcBorders>
              <w:top w:val="single" w:sz="4" w:space="0" w:color="000000"/>
              <w:left w:val="single" w:sz="4" w:space="0" w:color="000000"/>
              <w:bottom w:val="single" w:sz="4" w:space="0" w:color="000000"/>
            </w:tcBorders>
            <w:vAlign w:val="center"/>
          </w:tcPr>
          <w:p w14:paraId="18E6CB7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69193A7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r>
    </w:tbl>
    <w:p w14:paraId="7B0CA8BC" w14:textId="77777777" w:rsidR="008834DE" w:rsidRPr="0030358C" w:rsidRDefault="008834DE" w:rsidP="006945AD">
      <w:pPr>
        <w:spacing w:line="276" w:lineRule="auto"/>
        <w:rPr>
          <w:rFonts w:ascii="Arial" w:hAnsi="Arial" w:cs="Arial"/>
          <w:b/>
          <w:bCs/>
          <w:sz w:val="22"/>
          <w:szCs w:val="22"/>
        </w:rPr>
      </w:pPr>
    </w:p>
    <w:p w14:paraId="2FB21B1A"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 xml:space="preserve">Vysvětlivky: </w:t>
      </w:r>
    </w:p>
    <w:p w14:paraId="5EC67003"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t>1) Platí v případě spalování výlisků z biomasy. Pro spalování ostatních druhů biomasy platí emisní limit 500 mg.m</w:t>
      </w:r>
      <w:r w:rsidRPr="0030358C">
        <w:rPr>
          <w:rFonts w:ascii="Arial" w:hAnsi="Arial" w:cs="Arial"/>
          <w:b/>
          <w:bCs/>
          <w:sz w:val="22"/>
          <w:szCs w:val="22"/>
          <w:vertAlign w:val="superscript"/>
        </w:rPr>
        <w:t>-3</w:t>
      </w:r>
      <w:r w:rsidRPr="0030358C">
        <w:rPr>
          <w:rFonts w:ascii="Arial" w:hAnsi="Arial" w:cs="Arial"/>
          <w:b/>
          <w:bCs/>
          <w:sz w:val="22"/>
          <w:szCs w:val="22"/>
        </w:rPr>
        <w:t>.</w:t>
      </w:r>
    </w:p>
    <w:p w14:paraId="7DC40C70"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t>2) Emisní limit neplatí pro spalování výlučně dřevní biomasy</w:t>
      </w:r>
    </w:p>
    <w:p w14:paraId="651E0D5C"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t>3) Pokud provozovatel prokáže, že nelze této hodnoty z technických důvodů dosáhnout použitím nízkoemisních hořáků, platí specifický emisní limit 200 mg.m</w:t>
      </w:r>
      <w:r w:rsidRPr="0030358C">
        <w:rPr>
          <w:rFonts w:ascii="Arial" w:hAnsi="Arial" w:cs="Arial"/>
          <w:b/>
          <w:bCs/>
          <w:sz w:val="22"/>
          <w:szCs w:val="22"/>
          <w:vertAlign w:val="superscript"/>
        </w:rPr>
        <w:t>-3</w:t>
      </w:r>
      <w:r w:rsidRPr="0030358C">
        <w:rPr>
          <w:rFonts w:ascii="Arial" w:hAnsi="Arial" w:cs="Arial"/>
          <w:b/>
          <w:bCs/>
          <w:sz w:val="22"/>
          <w:szCs w:val="22"/>
        </w:rPr>
        <w:t>.</w:t>
      </w:r>
    </w:p>
    <w:p w14:paraId="4CF3792F"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t>4) V případě spalování bioplynu se uplatní emisní limit 100 mg.m</w:t>
      </w:r>
      <w:r w:rsidRPr="0030358C">
        <w:rPr>
          <w:rFonts w:ascii="Arial" w:hAnsi="Arial" w:cs="Arial"/>
          <w:b/>
          <w:bCs/>
          <w:sz w:val="22"/>
          <w:szCs w:val="22"/>
          <w:vertAlign w:val="superscript"/>
        </w:rPr>
        <w:t>-3</w:t>
      </w:r>
      <w:r w:rsidRPr="0030358C">
        <w:rPr>
          <w:rFonts w:ascii="Arial" w:hAnsi="Arial" w:cs="Arial"/>
          <w:b/>
          <w:bCs/>
          <w:sz w:val="22"/>
          <w:szCs w:val="22"/>
        </w:rPr>
        <w:t>.</w:t>
      </w:r>
    </w:p>
    <w:p w14:paraId="337CD618"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t>5) V případě spalovacích stacionárních zdrojů o celkovém jmenovitém tepelném příkonu do 20 MW včetně platí emisní limit 30 mg.m</w:t>
      </w:r>
      <w:r w:rsidRPr="0030358C">
        <w:rPr>
          <w:rFonts w:ascii="Arial" w:hAnsi="Arial" w:cs="Arial"/>
          <w:b/>
          <w:bCs/>
          <w:sz w:val="22"/>
          <w:szCs w:val="22"/>
          <w:vertAlign w:val="superscript"/>
        </w:rPr>
        <w:t>-3</w:t>
      </w:r>
      <w:r w:rsidRPr="0030358C">
        <w:rPr>
          <w:rFonts w:ascii="Arial" w:hAnsi="Arial" w:cs="Arial"/>
          <w:b/>
          <w:bCs/>
          <w:sz w:val="22"/>
          <w:szCs w:val="22"/>
        </w:rPr>
        <w:t>.</w:t>
      </w:r>
    </w:p>
    <w:p w14:paraId="572E1E46" w14:textId="77777777" w:rsidR="006945AD" w:rsidRPr="0030358C" w:rsidRDefault="00000000" w:rsidP="00A50DC9">
      <w:pPr>
        <w:spacing w:line="276" w:lineRule="auto"/>
        <w:rPr>
          <w:rFonts w:ascii="Arial" w:hAnsi="Arial" w:cs="Arial"/>
          <w:b/>
          <w:bCs/>
          <w:sz w:val="22"/>
          <w:szCs w:val="22"/>
        </w:rPr>
      </w:pPr>
      <w:r w:rsidRPr="0030358C">
        <w:rPr>
          <w:rFonts w:ascii="Arial" w:hAnsi="Arial" w:cs="Arial"/>
          <w:b/>
          <w:bCs/>
          <w:sz w:val="22"/>
          <w:szCs w:val="22"/>
        </w:rPr>
        <w:lastRenderedPageBreak/>
        <w:t>6) V případě spalovacích stacionárních zdrojů o celkovém jmenovitém tepelném příkonu do 20 MW včetně platí emisní limit 20 mg.m</w:t>
      </w:r>
      <w:r w:rsidRPr="0030358C">
        <w:rPr>
          <w:rFonts w:ascii="Arial" w:hAnsi="Arial" w:cs="Arial"/>
          <w:b/>
          <w:bCs/>
          <w:sz w:val="22"/>
          <w:szCs w:val="22"/>
          <w:vertAlign w:val="superscript"/>
        </w:rPr>
        <w:t>-3</w:t>
      </w:r>
    </w:p>
    <w:p w14:paraId="1F4C4F2E" w14:textId="77777777" w:rsidR="006945AD" w:rsidRPr="0030358C" w:rsidRDefault="006945AD" w:rsidP="006945AD">
      <w:pPr>
        <w:spacing w:after="60" w:line="300" w:lineRule="exact"/>
        <w:ind w:left="709"/>
        <w:rPr>
          <w:rFonts w:ascii="Arial" w:hAnsi="Arial" w:cs="Arial"/>
          <w:b/>
          <w:bCs/>
          <w:sz w:val="22"/>
          <w:szCs w:val="22"/>
        </w:rPr>
      </w:pPr>
    </w:p>
    <w:p w14:paraId="4D8652D4" w14:textId="77777777" w:rsidR="006945AD" w:rsidRPr="0030358C" w:rsidRDefault="00000000" w:rsidP="006945AD">
      <w:pPr>
        <w:pStyle w:val="Odstavecseseznamem1"/>
        <w:widowControl w:val="0"/>
        <w:tabs>
          <w:tab w:val="left" w:pos="900"/>
        </w:tabs>
        <w:spacing w:line="300" w:lineRule="exact"/>
        <w:ind w:left="0"/>
        <w:jc w:val="both"/>
        <w:rPr>
          <w:rFonts w:ascii="Arial" w:hAnsi="Arial" w:cs="Arial"/>
          <w:b/>
          <w:bCs/>
          <w:sz w:val="22"/>
          <w:szCs w:val="22"/>
        </w:rPr>
      </w:pPr>
      <w:r w:rsidRPr="0030358C">
        <w:rPr>
          <w:rFonts w:ascii="Arial" w:hAnsi="Arial" w:cs="Arial"/>
          <w:b/>
          <w:bCs/>
          <w:sz w:val="22"/>
          <w:szCs w:val="22"/>
        </w:rPr>
        <w:t xml:space="preserve">Tabulka 3.1.2 - Specifické emisní limity pro stacionární zdroje uvedené do provozu před 20. prosincem 2018 </w:t>
      </w:r>
    </w:p>
    <w:p w14:paraId="352474EB" w14:textId="77777777" w:rsidR="006945AD" w:rsidRPr="0030358C" w:rsidRDefault="006945AD" w:rsidP="006945AD">
      <w:pPr>
        <w:pStyle w:val="Odstavecseseznamem1"/>
        <w:widowControl w:val="0"/>
        <w:tabs>
          <w:tab w:val="left" w:pos="900"/>
        </w:tabs>
        <w:spacing w:line="300" w:lineRule="exact"/>
        <w:ind w:left="0"/>
        <w:jc w:val="both"/>
        <w:rPr>
          <w:rFonts w:ascii="Arial" w:hAnsi="Arial" w:cs="Arial"/>
          <w:b/>
          <w:bCs/>
          <w:sz w:val="22"/>
          <w:szCs w:val="22"/>
        </w:rPr>
      </w:pPr>
    </w:p>
    <w:tbl>
      <w:tblPr>
        <w:tblW w:w="14364" w:type="dxa"/>
        <w:tblInd w:w="-5" w:type="dxa"/>
        <w:tblLayout w:type="fixed"/>
        <w:tblLook w:val="0000" w:firstRow="0" w:lastRow="0" w:firstColumn="0" w:lastColumn="0" w:noHBand="0" w:noVBand="0"/>
      </w:tblPr>
      <w:tblGrid>
        <w:gridCol w:w="2342"/>
        <w:gridCol w:w="1002"/>
        <w:gridCol w:w="1002"/>
        <w:gridCol w:w="1002"/>
        <w:gridCol w:w="1002"/>
        <w:gridCol w:w="1002"/>
        <w:gridCol w:w="1002"/>
        <w:gridCol w:w="1002"/>
        <w:gridCol w:w="1002"/>
        <w:gridCol w:w="1002"/>
        <w:gridCol w:w="1002"/>
        <w:gridCol w:w="1002"/>
        <w:gridCol w:w="1000"/>
      </w:tblGrid>
      <w:tr w:rsidR="00E40657" w14:paraId="154DD087" w14:textId="77777777" w:rsidTr="00B15037">
        <w:trPr>
          <w:trHeight w:val="340"/>
        </w:trPr>
        <w:tc>
          <w:tcPr>
            <w:tcW w:w="2342" w:type="dxa"/>
            <w:vMerge w:val="restart"/>
            <w:tcBorders>
              <w:top w:val="single" w:sz="4" w:space="0" w:color="000000"/>
              <w:left w:val="single" w:sz="4" w:space="0" w:color="000000"/>
              <w:bottom w:val="single" w:sz="4" w:space="0" w:color="000000"/>
            </w:tcBorders>
            <w:vAlign w:val="center"/>
          </w:tcPr>
          <w:p w14:paraId="52A6366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Druh paliva</w:t>
            </w:r>
          </w:p>
        </w:tc>
        <w:tc>
          <w:tcPr>
            <w:tcW w:w="12022" w:type="dxa"/>
            <w:gridSpan w:val="12"/>
            <w:tcBorders>
              <w:top w:val="single" w:sz="4" w:space="0" w:color="000000"/>
              <w:left w:val="single" w:sz="4" w:space="0" w:color="000000"/>
              <w:bottom w:val="single" w:sz="4" w:space="0" w:color="000000"/>
              <w:right w:val="single" w:sz="4" w:space="0" w:color="000000"/>
            </w:tcBorders>
            <w:vAlign w:val="center"/>
          </w:tcPr>
          <w:p w14:paraId="4D82283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5DF9039B" w14:textId="77777777" w:rsidTr="00B15037">
        <w:trPr>
          <w:trHeight w:val="340"/>
        </w:trPr>
        <w:tc>
          <w:tcPr>
            <w:tcW w:w="2342" w:type="dxa"/>
            <w:vMerge/>
            <w:tcBorders>
              <w:top w:val="single" w:sz="4" w:space="0" w:color="000000"/>
              <w:left w:val="single" w:sz="4" w:space="0" w:color="000000"/>
              <w:bottom w:val="single" w:sz="4" w:space="0" w:color="000000"/>
            </w:tcBorders>
          </w:tcPr>
          <w:p w14:paraId="654578E6" w14:textId="77777777" w:rsidR="006945AD" w:rsidRPr="0030358C" w:rsidRDefault="006945AD" w:rsidP="00B15037">
            <w:pPr>
              <w:rPr>
                <w:rFonts w:ascii="Arial" w:hAnsi="Arial" w:cs="Arial"/>
                <w:b/>
                <w:bCs/>
                <w:sz w:val="22"/>
                <w:szCs w:val="22"/>
              </w:rPr>
            </w:pPr>
          </w:p>
        </w:tc>
        <w:tc>
          <w:tcPr>
            <w:tcW w:w="4008" w:type="dxa"/>
            <w:gridSpan w:val="4"/>
            <w:tcBorders>
              <w:top w:val="single" w:sz="4" w:space="0" w:color="000000"/>
              <w:left w:val="single" w:sz="4" w:space="0" w:color="000000"/>
              <w:bottom w:val="single" w:sz="4" w:space="0" w:color="000000"/>
            </w:tcBorders>
            <w:vAlign w:val="center"/>
          </w:tcPr>
          <w:p w14:paraId="353BEFB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4008" w:type="dxa"/>
            <w:gridSpan w:val="4"/>
            <w:tcBorders>
              <w:top w:val="single" w:sz="4" w:space="0" w:color="000000"/>
              <w:left w:val="single" w:sz="4" w:space="0" w:color="000000"/>
              <w:bottom w:val="single" w:sz="4" w:space="0" w:color="000000"/>
            </w:tcBorders>
            <w:vAlign w:val="center"/>
          </w:tcPr>
          <w:p w14:paraId="57670E8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 MW</w:t>
            </w:r>
          </w:p>
        </w:tc>
        <w:tc>
          <w:tcPr>
            <w:tcW w:w="4006" w:type="dxa"/>
            <w:gridSpan w:val="4"/>
            <w:tcBorders>
              <w:top w:val="single" w:sz="4" w:space="0" w:color="000000"/>
              <w:left w:val="single" w:sz="4" w:space="0" w:color="000000"/>
              <w:bottom w:val="single" w:sz="4" w:space="0" w:color="000000"/>
              <w:right w:val="single" w:sz="4" w:space="0" w:color="000000"/>
            </w:tcBorders>
            <w:vAlign w:val="center"/>
          </w:tcPr>
          <w:p w14:paraId="27A41CF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5-50 MW</w:t>
            </w:r>
          </w:p>
        </w:tc>
      </w:tr>
      <w:tr w:rsidR="00E40657" w14:paraId="3E104118" w14:textId="77777777" w:rsidTr="00B15037">
        <w:trPr>
          <w:trHeight w:val="340"/>
        </w:trPr>
        <w:tc>
          <w:tcPr>
            <w:tcW w:w="2342" w:type="dxa"/>
            <w:vMerge/>
            <w:tcBorders>
              <w:top w:val="single" w:sz="4" w:space="0" w:color="000000"/>
              <w:left w:val="single" w:sz="4" w:space="0" w:color="000000"/>
              <w:bottom w:val="single" w:sz="4" w:space="0" w:color="000000"/>
            </w:tcBorders>
          </w:tcPr>
          <w:p w14:paraId="350C2827" w14:textId="77777777" w:rsidR="006945AD" w:rsidRPr="0030358C" w:rsidRDefault="006945AD" w:rsidP="00B15037">
            <w:pP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2E6D27A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2C96F01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35853B3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2" w:type="dxa"/>
            <w:tcBorders>
              <w:top w:val="single" w:sz="4" w:space="0" w:color="000000"/>
              <w:left w:val="single" w:sz="4" w:space="0" w:color="000000"/>
              <w:bottom w:val="single" w:sz="4" w:space="0" w:color="000000"/>
            </w:tcBorders>
            <w:vAlign w:val="center"/>
          </w:tcPr>
          <w:p w14:paraId="533E2BF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02" w:type="dxa"/>
            <w:tcBorders>
              <w:top w:val="single" w:sz="4" w:space="0" w:color="000000"/>
              <w:left w:val="single" w:sz="4" w:space="0" w:color="000000"/>
              <w:bottom w:val="single" w:sz="4" w:space="0" w:color="000000"/>
            </w:tcBorders>
            <w:vAlign w:val="center"/>
          </w:tcPr>
          <w:p w14:paraId="13295AE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r w:rsidRPr="0030358C">
              <w:rPr>
                <w:rFonts w:ascii="Arial" w:hAnsi="Arial" w:cs="Arial"/>
                <w:b/>
                <w:bCs/>
                <w:sz w:val="22"/>
                <w:szCs w:val="22"/>
                <w:vertAlign w:val="superscript"/>
              </w:rPr>
              <w:t>9)</w:t>
            </w:r>
          </w:p>
        </w:tc>
        <w:tc>
          <w:tcPr>
            <w:tcW w:w="1002" w:type="dxa"/>
            <w:tcBorders>
              <w:top w:val="single" w:sz="4" w:space="0" w:color="000000"/>
              <w:left w:val="single" w:sz="4" w:space="0" w:color="000000"/>
              <w:bottom w:val="single" w:sz="4" w:space="0" w:color="000000"/>
            </w:tcBorders>
            <w:vAlign w:val="center"/>
          </w:tcPr>
          <w:p w14:paraId="349218C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63CD6C9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2" w:type="dxa"/>
            <w:tcBorders>
              <w:top w:val="single" w:sz="4" w:space="0" w:color="000000"/>
              <w:left w:val="single" w:sz="4" w:space="0" w:color="000000"/>
              <w:bottom w:val="single" w:sz="4" w:space="0" w:color="000000"/>
            </w:tcBorders>
            <w:vAlign w:val="center"/>
          </w:tcPr>
          <w:p w14:paraId="5ACC0F6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002" w:type="dxa"/>
            <w:tcBorders>
              <w:top w:val="single" w:sz="4" w:space="0" w:color="000000"/>
              <w:left w:val="single" w:sz="4" w:space="0" w:color="000000"/>
              <w:bottom w:val="single" w:sz="4" w:space="0" w:color="000000"/>
            </w:tcBorders>
            <w:vAlign w:val="center"/>
          </w:tcPr>
          <w:p w14:paraId="6178033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002" w:type="dxa"/>
            <w:tcBorders>
              <w:top w:val="single" w:sz="4" w:space="0" w:color="000000"/>
              <w:left w:val="single" w:sz="4" w:space="0" w:color="000000"/>
              <w:bottom w:val="single" w:sz="4" w:space="0" w:color="000000"/>
            </w:tcBorders>
            <w:vAlign w:val="center"/>
          </w:tcPr>
          <w:p w14:paraId="5420272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002" w:type="dxa"/>
            <w:tcBorders>
              <w:top w:val="single" w:sz="4" w:space="0" w:color="000000"/>
              <w:left w:val="single" w:sz="4" w:space="0" w:color="000000"/>
              <w:bottom w:val="single" w:sz="4" w:space="0" w:color="000000"/>
            </w:tcBorders>
            <w:vAlign w:val="center"/>
          </w:tcPr>
          <w:p w14:paraId="708BCD2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000" w:type="dxa"/>
            <w:tcBorders>
              <w:top w:val="single" w:sz="4" w:space="0" w:color="000000"/>
              <w:left w:val="single" w:sz="4" w:space="0" w:color="000000"/>
              <w:bottom w:val="single" w:sz="4" w:space="0" w:color="000000"/>
              <w:right w:val="single" w:sz="4" w:space="0" w:color="000000"/>
            </w:tcBorders>
            <w:vAlign w:val="center"/>
          </w:tcPr>
          <w:p w14:paraId="3E4A28E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18C723AD" w14:textId="77777777" w:rsidTr="00B15037">
        <w:trPr>
          <w:trHeight w:val="597"/>
        </w:trPr>
        <w:tc>
          <w:tcPr>
            <w:tcW w:w="2342" w:type="dxa"/>
            <w:tcBorders>
              <w:top w:val="single" w:sz="4" w:space="0" w:color="000000"/>
              <w:left w:val="single" w:sz="4" w:space="0" w:color="000000"/>
              <w:bottom w:val="single" w:sz="4" w:space="0" w:color="000000"/>
            </w:tcBorders>
            <w:vAlign w:val="center"/>
          </w:tcPr>
          <w:p w14:paraId="109E1661"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Pevné palivo s výjimkou biomasy</w:t>
            </w:r>
          </w:p>
        </w:tc>
        <w:tc>
          <w:tcPr>
            <w:tcW w:w="1002" w:type="dxa"/>
            <w:tcBorders>
              <w:top w:val="single" w:sz="4" w:space="0" w:color="000000"/>
              <w:left w:val="single" w:sz="4" w:space="0" w:color="000000"/>
              <w:bottom w:val="single" w:sz="4" w:space="0" w:color="000000"/>
            </w:tcBorders>
            <w:vAlign w:val="center"/>
          </w:tcPr>
          <w:p w14:paraId="1BCD46D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2D23FB3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600</w:t>
            </w:r>
          </w:p>
        </w:tc>
        <w:tc>
          <w:tcPr>
            <w:tcW w:w="1002" w:type="dxa"/>
            <w:tcBorders>
              <w:top w:val="single" w:sz="4" w:space="0" w:color="000000"/>
              <w:left w:val="single" w:sz="4" w:space="0" w:color="000000"/>
              <w:bottom w:val="single" w:sz="4" w:space="0" w:color="000000"/>
            </w:tcBorders>
            <w:vAlign w:val="center"/>
          </w:tcPr>
          <w:p w14:paraId="5868C3D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002" w:type="dxa"/>
            <w:tcBorders>
              <w:top w:val="single" w:sz="4" w:space="0" w:color="000000"/>
              <w:left w:val="single" w:sz="4" w:space="0" w:color="000000"/>
              <w:bottom w:val="single" w:sz="4" w:space="0" w:color="000000"/>
            </w:tcBorders>
            <w:vAlign w:val="center"/>
          </w:tcPr>
          <w:p w14:paraId="462E1A0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02" w:type="dxa"/>
            <w:tcBorders>
              <w:top w:val="single" w:sz="4" w:space="0" w:color="000000"/>
              <w:left w:val="single" w:sz="4" w:space="0" w:color="000000"/>
              <w:bottom w:val="single" w:sz="4" w:space="0" w:color="000000"/>
            </w:tcBorders>
            <w:vAlign w:val="center"/>
          </w:tcPr>
          <w:p w14:paraId="71A928E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1100</w:t>
            </w:r>
          </w:p>
        </w:tc>
        <w:tc>
          <w:tcPr>
            <w:tcW w:w="1002" w:type="dxa"/>
            <w:tcBorders>
              <w:top w:val="single" w:sz="4" w:space="0" w:color="000000"/>
              <w:left w:val="single" w:sz="4" w:space="0" w:color="000000"/>
              <w:bottom w:val="single" w:sz="4" w:space="0" w:color="000000"/>
            </w:tcBorders>
            <w:vAlign w:val="center"/>
          </w:tcPr>
          <w:p w14:paraId="01920B4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5AC70D2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214FE4F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110F903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r w:rsidRPr="0030358C">
              <w:rPr>
                <w:rFonts w:ascii="Arial" w:hAnsi="Arial" w:cs="Arial"/>
                <w:b/>
                <w:bCs/>
                <w:sz w:val="22"/>
                <w:szCs w:val="22"/>
                <w:vertAlign w:val="superscript"/>
              </w:rPr>
              <w:t>1)</w:t>
            </w:r>
          </w:p>
          <w:p w14:paraId="1D1CD943"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76C7B12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65E4593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w:t>
            </w:r>
          </w:p>
        </w:tc>
        <w:tc>
          <w:tcPr>
            <w:tcW w:w="1000" w:type="dxa"/>
            <w:tcBorders>
              <w:top w:val="single" w:sz="4" w:space="0" w:color="000000"/>
              <w:left w:val="single" w:sz="4" w:space="0" w:color="000000"/>
              <w:bottom w:val="single" w:sz="4" w:space="0" w:color="000000"/>
              <w:right w:val="single" w:sz="4" w:space="0" w:color="000000"/>
            </w:tcBorders>
            <w:vAlign w:val="center"/>
          </w:tcPr>
          <w:p w14:paraId="043FA5C5"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300</w:t>
            </w:r>
          </w:p>
        </w:tc>
      </w:tr>
      <w:tr w:rsidR="00E40657" w14:paraId="51A7D131" w14:textId="77777777" w:rsidTr="00B15037">
        <w:trPr>
          <w:trHeight w:val="597"/>
        </w:trPr>
        <w:tc>
          <w:tcPr>
            <w:tcW w:w="2342" w:type="dxa"/>
            <w:tcBorders>
              <w:top w:val="single" w:sz="4" w:space="0" w:color="000000"/>
              <w:left w:val="single" w:sz="4" w:space="0" w:color="000000"/>
              <w:bottom w:val="single" w:sz="4" w:space="0" w:color="000000"/>
            </w:tcBorders>
            <w:vAlign w:val="center"/>
          </w:tcPr>
          <w:p w14:paraId="2AB064AA"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Biomasa</w:t>
            </w:r>
          </w:p>
        </w:tc>
        <w:tc>
          <w:tcPr>
            <w:tcW w:w="1002" w:type="dxa"/>
            <w:tcBorders>
              <w:top w:val="single" w:sz="4" w:space="0" w:color="000000"/>
              <w:left w:val="single" w:sz="4" w:space="0" w:color="000000"/>
              <w:bottom w:val="single" w:sz="4" w:space="0" w:color="000000"/>
            </w:tcBorders>
            <w:vAlign w:val="center"/>
          </w:tcPr>
          <w:p w14:paraId="4C1285C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DA4049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600</w:t>
            </w:r>
          </w:p>
        </w:tc>
        <w:tc>
          <w:tcPr>
            <w:tcW w:w="1002" w:type="dxa"/>
            <w:tcBorders>
              <w:top w:val="single" w:sz="4" w:space="0" w:color="000000"/>
              <w:left w:val="single" w:sz="4" w:space="0" w:color="000000"/>
              <w:bottom w:val="single" w:sz="4" w:space="0" w:color="000000"/>
            </w:tcBorders>
            <w:vAlign w:val="center"/>
          </w:tcPr>
          <w:p w14:paraId="18508C5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002" w:type="dxa"/>
            <w:tcBorders>
              <w:top w:val="single" w:sz="4" w:space="0" w:color="000000"/>
              <w:left w:val="single" w:sz="4" w:space="0" w:color="000000"/>
              <w:bottom w:val="single" w:sz="4" w:space="0" w:color="000000"/>
            </w:tcBorders>
            <w:vAlign w:val="center"/>
          </w:tcPr>
          <w:p w14:paraId="6523BE4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002" w:type="dxa"/>
            <w:tcBorders>
              <w:top w:val="single" w:sz="4" w:space="0" w:color="000000"/>
              <w:left w:val="single" w:sz="4" w:space="0" w:color="000000"/>
              <w:bottom w:val="single" w:sz="4" w:space="0" w:color="000000"/>
            </w:tcBorders>
            <w:vAlign w:val="center"/>
          </w:tcPr>
          <w:p w14:paraId="274805EF"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133</w:t>
            </w:r>
            <w:r w:rsidRPr="0030358C">
              <w:rPr>
                <w:rFonts w:ascii="Arial" w:hAnsi="Arial" w:cs="Arial"/>
                <w:b/>
                <w:bCs/>
                <w:sz w:val="22"/>
                <w:szCs w:val="22"/>
                <w:vertAlign w:val="superscript"/>
              </w:rPr>
              <w:t>2)</w:t>
            </w:r>
          </w:p>
        </w:tc>
        <w:tc>
          <w:tcPr>
            <w:tcW w:w="1002" w:type="dxa"/>
            <w:tcBorders>
              <w:top w:val="single" w:sz="4" w:space="0" w:color="000000"/>
              <w:left w:val="single" w:sz="4" w:space="0" w:color="000000"/>
              <w:bottom w:val="single" w:sz="4" w:space="0" w:color="000000"/>
            </w:tcBorders>
            <w:vAlign w:val="center"/>
          </w:tcPr>
          <w:p w14:paraId="11186EA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433</w:t>
            </w:r>
          </w:p>
        </w:tc>
        <w:tc>
          <w:tcPr>
            <w:tcW w:w="1002" w:type="dxa"/>
            <w:tcBorders>
              <w:top w:val="single" w:sz="4" w:space="0" w:color="000000"/>
              <w:left w:val="single" w:sz="4" w:space="0" w:color="000000"/>
              <w:bottom w:val="single" w:sz="4" w:space="0" w:color="000000"/>
            </w:tcBorders>
            <w:vAlign w:val="center"/>
          </w:tcPr>
          <w:p w14:paraId="7158D0E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33</w:t>
            </w:r>
          </w:p>
        </w:tc>
        <w:tc>
          <w:tcPr>
            <w:tcW w:w="1002" w:type="dxa"/>
            <w:tcBorders>
              <w:top w:val="single" w:sz="4" w:space="0" w:color="000000"/>
              <w:left w:val="single" w:sz="4" w:space="0" w:color="000000"/>
              <w:bottom w:val="single" w:sz="4" w:space="0" w:color="000000"/>
            </w:tcBorders>
            <w:vAlign w:val="center"/>
          </w:tcPr>
          <w:p w14:paraId="77542E5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002" w:type="dxa"/>
            <w:tcBorders>
              <w:top w:val="single" w:sz="4" w:space="0" w:color="000000"/>
              <w:left w:val="single" w:sz="4" w:space="0" w:color="000000"/>
              <w:bottom w:val="single" w:sz="4" w:space="0" w:color="000000"/>
            </w:tcBorders>
            <w:vAlign w:val="center"/>
          </w:tcPr>
          <w:p w14:paraId="7383F2B6"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133</w:t>
            </w:r>
            <w:r w:rsidRPr="0030358C">
              <w:rPr>
                <w:rFonts w:ascii="Arial" w:hAnsi="Arial" w:cs="Arial"/>
                <w:b/>
                <w:bCs/>
                <w:sz w:val="22"/>
                <w:szCs w:val="22"/>
                <w:vertAlign w:val="superscript"/>
              </w:rPr>
              <w:t>2)</w:t>
            </w:r>
          </w:p>
        </w:tc>
        <w:tc>
          <w:tcPr>
            <w:tcW w:w="1002" w:type="dxa"/>
            <w:tcBorders>
              <w:top w:val="single" w:sz="4" w:space="0" w:color="000000"/>
              <w:left w:val="single" w:sz="4" w:space="0" w:color="000000"/>
              <w:bottom w:val="single" w:sz="4" w:space="0" w:color="000000"/>
            </w:tcBorders>
            <w:vAlign w:val="center"/>
          </w:tcPr>
          <w:p w14:paraId="2803283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433</w:t>
            </w:r>
          </w:p>
        </w:tc>
        <w:tc>
          <w:tcPr>
            <w:tcW w:w="1002" w:type="dxa"/>
            <w:tcBorders>
              <w:top w:val="single" w:sz="4" w:space="0" w:color="000000"/>
              <w:left w:val="single" w:sz="4" w:space="0" w:color="000000"/>
              <w:bottom w:val="single" w:sz="4" w:space="0" w:color="000000"/>
            </w:tcBorders>
            <w:vAlign w:val="center"/>
          </w:tcPr>
          <w:p w14:paraId="1C2B198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w:t>
            </w:r>
            <w:r w:rsidRPr="0030358C">
              <w:rPr>
                <w:rFonts w:ascii="Arial" w:hAnsi="Arial" w:cs="Arial"/>
                <w:b/>
                <w:bCs/>
                <w:sz w:val="22"/>
                <w:szCs w:val="22"/>
                <w:vertAlign w:val="superscript"/>
              </w:rPr>
              <w:t>8)</w:t>
            </w:r>
          </w:p>
        </w:tc>
        <w:tc>
          <w:tcPr>
            <w:tcW w:w="1000" w:type="dxa"/>
            <w:tcBorders>
              <w:top w:val="single" w:sz="4" w:space="0" w:color="000000"/>
              <w:left w:val="single" w:sz="4" w:space="0" w:color="000000"/>
              <w:bottom w:val="single" w:sz="4" w:space="0" w:color="000000"/>
              <w:right w:val="single" w:sz="4" w:space="0" w:color="000000"/>
            </w:tcBorders>
            <w:vAlign w:val="center"/>
          </w:tcPr>
          <w:p w14:paraId="3C7E3AF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r w:rsidRPr="0030358C">
              <w:rPr>
                <w:rFonts w:ascii="Arial" w:hAnsi="Arial" w:cs="Arial"/>
                <w:b/>
                <w:bCs/>
                <w:sz w:val="22"/>
                <w:szCs w:val="22"/>
                <w:vertAlign w:val="superscript"/>
              </w:rPr>
              <w:t>3)</w:t>
            </w:r>
          </w:p>
        </w:tc>
      </w:tr>
      <w:tr w:rsidR="00E40657" w14:paraId="43D38802" w14:textId="77777777" w:rsidTr="00B15037">
        <w:trPr>
          <w:trHeight w:val="413"/>
        </w:trPr>
        <w:tc>
          <w:tcPr>
            <w:tcW w:w="2342" w:type="dxa"/>
            <w:tcBorders>
              <w:top w:val="single" w:sz="4" w:space="0" w:color="000000"/>
              <w:left w:val="single" w:sz="4" w:space="0" w:color="000000"/>
              <w:bottom w:val="single" w:sz="4" w:space="0" w:color="000000"/>
            </w:tcBorders>
            <w:vAlign w:val="center"/>
          </w:tcPr>
          <w:p w14:paraId="2E1133FF"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Kapalné palivo s výjimkou plynového oleje</w:t>
            </w:r>
          </w:p>
        </w:tc>
        <w:tc>
          <w:tcPr>
            <w:tcW w:w="1002" w:type="dxa"/>
            <w:tcBorders>
              <w:top w:val="single" w:sz="4" w:space="0" w:color="000000"/>
              <w:left w:val="single" w:sz="4" w:space="0" w:color="000000"/>
              <w:bottom w:val="single" w:sz="4" w:space="0" w:color="000000"/>
            </w:tcBorders>
            <w:vAlign w:val="center"/>
          </w:tcPr>
          <w:p w14:paraId="6504866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9A4927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39943E9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073212D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27091F0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350</w:t>
            </w:r>
          </w:p>
        </w:tc>
        <w:tc>
          <w:tcPr>
            <w:tcW w:w="1002" w:type="dxa"/>
            <w:tcBorders>
              <w:top w:val="single" w:sz="4" w:space="0" w:color="000000"/>
              <w:left w:val="single" w:sz="4" w:space="0" w:color="000000"/>
              <w:bottom w:val="single" w:sz="4" w:space="0" w:color="000000"/>
            </w:tcBorders>
            <w:vAlign w:val="center"/>
          </w:tcPr>
          <w:p w14:paraId="23F89C2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p w14:paraId="138C202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r w:rsidRPr="0030358C">
              <w:rPr>
                <w:rFonts w:ascii="Arial" w:hAnsi="Arial" w:cs="Arial"/>
                <w:b/>
                <w:bCs/>
                <w:sz w:val="22"/>
                <w:szCs w:val="22"/>
                <w:vertAlign w:val="superscript"/>
              </w:rPr>
              <w:t>4)</w:t>
            </w:r>
          </w:p>
        </w:tc>
        <w:tc>
          <w:tcPr>
            <w:tcW w:w="1002" w:type="dxa"/>
            <w:tcBorders>
              <w:top w:val="single" w:sz="4" w:space="0" w:color="000000"/>
              <w:left w:val="single" w:sz="4" w:space="0" w:color="000000"/>
              <w:bottom w:val="single" w:sz="4" w:space="0" w:color="000000"/>
            </w:tcBorders>
            <w:vAlign w:val="center"/>
          </w:tcPr>
          <w:p w14:paraId="01BA155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5AD0912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0E5D5F0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350</w:t>
            </w:r>
            <w:r w:rsidRPr="0030358C">
              <w:rPr>
                <w:rFonts w:ascii="Arial" w:hAnsi="Arial" w:cs="Arial"/>
                <w:b/>
                <w:bCs/>
                <w:sz w:val="22"/>
                <w:szCs w:val="22"/>
                <w:vertAlign w:val="superscript"/>
              </w:rPr>
              <w:t>6)</w:t>
            </w:r>
          </w:p>
        </w:tc>
        <w:tc>
          <w:tcPr>
            <w:tcW w:w="1002" w:type="dxa"/>
            <w:tcBorders>
              <w:top w:val="single" w:sz="4" w:space="0" w:color="000000"/>
              <w:left w:val="single" w:sz="4" w:space="0" w:color="000000"/>
              <w:bottom w:val="single" w:sz="4" w:space="0" w:color="000000"/>
            </w:tcBorders>
            <w:vAlign w:val="center"/>
          </w:tcPr>
          <w:p w14:paraId="2F12B86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p w14:paraId="7C3917B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 xml:space="preserve">  450</w:t>
            </w:r>
            <w:r w:rsidRPr="0030358C">
              <w:rPr>
                <w:rFonts w:ascii="Arial" w:hAnsi="Arial" w:cs="Arial"/>
                <w:b/>
                <w:bCs/>
                <w:sz w:val="22"/>
                <w:szCs w:val="22"/>
                <w:vertAlign w:val="superscript"/>
              </w:rPr>
              <w:t>4)</w:t>
            </w:r>
          </w:p>
        </w:tc>
        <w:tc>
          <w:tcPr>
            <w:tcW w:w="1002" w:type="dxa"/>
            <w:tcBorders>
              <w:top w:val="single" w:sz="4" w:space="0" w:color="000000"/>
              <w:left w:val="single" w:sz="4" w:space="0" w:color="000000"/>
              <w:bottom w:val="single" w:sz="4" w:space="0" w:color="000000"/>
            </w:tcBorders>
            <w:vAlign w:val="center"/>
          </w:tcPr>
          <w:p w14:paraId="3550A31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w:t>
            </w:r>
          </w:p>
        </w:tc>
        <w:tc>
          <w:tcPr>
            <w:tcW w:w="1000" w:type="dxa"/>
            <w:tcBorders>
              <w:top w:val="single" w:sz="4" w:space="0" w:color="000000"/>
              <w:left w:val="single" w:sz="4" w:space="0" w:color="000000"/>
              <w:bottom w:val="single" w:sz="4" w:space="0" w:color="000000"/>
              <w:right w:val="single" w:sz="4" w:space="0" w:color="000000"/>
            </w:tcBorders>
            <w:vAlign w:val="center"/>
          </w:tcPr>
          <w:p w14:paraId="718CDBA7"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80</w:t>
            </w:r>
          </w:p>
        </w:tc>
      </w:tr>
      <w:tr w:rsidR="00E40657" w14:paraId="116A6C0E" w14:textId="77777777" w:rsidTr="00B15037">
        <w:trPr>
          <w:trHeight w:val="413"/>
        </w:trPr>
        <w:tc>
          <w:tcPr>
            <w:tcW w:w="2342" w:type="dxa"/>
            <w:tcBorders>
              <w:top w:val="single" w:sz="4" w:space="0" w:color="000000"/>
              <w:left w:val="single" w:sz="4" w:space="0" w:color="000000"/>
              <w:bottom w:val="single" w:sz="4" w:space="0" w:color="000000"/>
            </w:tcBorders>
            <w:vAlign w:val="center"/>
          </w:tcPr>
          <w:p w14:paraId="251595C3"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Plynový olej</w:t>
            </w:r>
          </w:p>
        </w:tc>
        <w:tc>
          <w:tcPr>
            <w:tcW w:w="1002" w:type="dxa"/>
            <w:tcBorders>
              <w:top w:val="single" w:sz="4" w:space="0" w:color="000000"/>
              <w:left w:val="single" w:sz="4" w:space="0" w:color="000000"/>
              <w:bottom w:val="single" w:sz="4" w:space="0" w:color="000000"/>
            </w:tcBorders>
            <w:vAlign w:val="center"/>
          </w:tcPr>
          <w:p w14:paraId="481F15E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6B993F3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711B5FE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423ACD8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64EA845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13E3B31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215AE0D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366F426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c>
          <w:tcPr>
            <w:tcW w:w="1002" w:type="dxa"/>
            <w:tcBorders>
              <w:top w:val="single" w:sz="4" w:space="0" w:color="000000"/>
              <w:left w:val="single" w:sz="4" w:space="0" w:color="000000"/>
              <w:bottom w:val="single" w:sz="4" w:space="0" w:color="000000"/>
            </w:tcBorders>
            <w:vAlign w:val="center"/>
          </w:tcPr>
          <w:p w14:paraId="65538E7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518E0AC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51415FE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5409A77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80</w:t>
            </w:r>
          </w:p>
        </w:tc>
      </w:tr>
      <w:tr w:rsidR="00E40657" w14:paraId="5D3252A2" w14:textId="77777777" w:rsidTr="00B15037">
        <w:trPr>
          <w:trHeight w:val="598"/>
        </w:trPr>
        <w:tc>
          <w:tcPr>
            <w:tcW w:w="2342" w:type="dxa"/>
            <w:tcBorders>
              <w:top w:val="single" w:sz="4" w:space="0" w:color="000000"/>
              <w:left w:val="single" w:sz="4" w:space="0" w:color="000000"/>
              <w:bottom w:val="single" w:sz="4" w:space="0" w:color="000000"/>
            </w:tcBorders>
            <w:vAlign w:val="center"/>
          </w:tcPr>
          <w:p w14:paraId="3AC0172C"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Plynné palivo s výjimkou zemního plynu</w:t>
            </w:r>
          </w:p>
        </w:tc>
        <w:tc>
          <w:tcPr>
            <w:tcW w:w="1002" w:type="dxa"/>
            <w:tcBorders>
              <w:top w:val="single" w:sz="4" w:space="0" w:color="000000"/>
              <w:left w:val="single" w:sz="4" w:space="0" w:color="000000"/>
              <w:bottom w:val="single" w:sz="4" w:space="0" w:color="000000"/>
            </w:tcBorders>
            <w:vAlign w:val="center"/>
          </w:tcPr>
          <w:p w14:paraId="7645D4C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70003E9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p w14:paraId="546EFDF4"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4111494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4F3578F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516DA651"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7692596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002" w:type="dxa"/>
            <w:tcBorders>
              <w:top w:val="single" w:sz="4" w:space="0" w:color="000000"/>
              <w:left w:val="single" w:sz="4" w:space="0" w:color="000000"/>
              <w:bottom w:val="single" w:sz="4" w:space="0" w:color="000000"/>
            </w:tcBorders>
            <w:vAlign w:val="center"/>
          </w:tcPr>
          <w:p w14:paraId="677D88E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p w14:paraId="55FB06AC"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1A3BEA2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079187D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7515487A"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4C8A5672"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35</w:t>
            </w:r>
            <w:r w:rsidRPr="0030358C">
              <w:rPr>
                <w:rFonts w:ascii="Arial" w:hAnsi="Arial" w:cs="Arial"/>
                <w:b/>
                <w:bCs/>
                <w:sz w:val="22"/>
                <w:szCs w:val="22"/>
                <w:vertAlign w:val="superscript"/>
              </w:rPr>
              <w:t>7)</w:t>
            </w:r>
          </w:p>
        </w:tc>
        <w:tc>
          <w:tcPr>
            <w:tcW w:w="1002" w:type="dxa"/>
            <w:tcBorders>
              <w:top w:val="single" w:sz="4" w:space="0" w:color="000000"/>
              <w:left w:val="single" w:sz="4" w:space="0" w:color="000000"/>
              <w:bottom w:val="single" w:sz="4" w:space="0" w:color="000000"/>
            </w:tcBorders>
            <w:vAlign w:val="center"/>
          </w:tcPr>
          <w:p w14:paraId="7223436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p w14:paraId="4DDEC201"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75C581B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350D61A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p w14:paraId="5D6740EB" w14:textId="77777777" w:rsidR="006945AD" w:rsidRPr="0030358C" w:rsidRDefault="006945AD" w:rsidP="00B15037">
            <w:pPr>
              <w:jc w:val="center"/>
              <w:rPr>
                <w:rFonts w:ascii="Arial" w:hAnsi="Arial" w:cs="Arial"/>
                <w:b/>
                <w:bCs/>
                <w:sz w:val="22"/>
                <w:szCs w:val="22"/>
              </w:rPr>
            </w:pPr>
          </w:p>
        </w:tc>
      </w:tr>
      <w:tr w:rsidR="00E40657" w14:paraId="13FD846A" w14:textId="77777777" w:rsidTr="00B15037">
        <w:trPr>
          <w:trHeight w:val="598"/>
        </w:trPr>
        <w:tc>
          <w:tcPr>
            <w:tcW w:w="2342" w:type="dxa"/>
            <w:tcBorders>
              <w:top w:val="single" w:sz="4" w:space="0" w:color="000000"/>
              <w:left w:val="single" w:sz="4" w:space="0" w:color="000000"/>
              <w:bottom w:val="single" w:sz="4" w:space="0" w:color="000000"/>
            </w:tcBorders>
            <w:vAlign w:val="center"/>
          </w:tcPr>
          <w:p w14:paraId="6E98F3D4" w14:textId="77777777" w:rsidR="006945AD" w:rsidRPr="0030358C" w:rsidRDefault="00000000" w:rsidP="00B15037">
            <w:pPr>
              <w:rPr>
                <w:rFonts w:ascii="Arial" w:hAnsi="Arial" w:cs="Arial"/>
                <w:b/>
                <w:bCs/>
                <w:sz w:val="22"/>
                <w:szCs w:val="22"/>
              </w:rPr>
            </w:pPr>
            <w:r w:rsidRPr="0030358C">
              <w:rPr>
                <w:rFonts w:ascii="Arial" w:hAnsi="Arial" w:cs="Arial"/>
                <w:b/>
                <w:bCs/>
                <w:sz w:val="22"/>
                <w:szCs w:val="22"/>
              </w:rPr>
              <w:t>Zemní plyn</w:t>
            </w:r>
          </w:p>
        </w:tc>
        <w:tc>
          <w:tcPr>
            <w:tcW w:w="1002" w:type="dxa"/>
            <w:tcBorders>
              <w:top w:val="single" w:sz="4" w:space="0" w:color="000000"/>
              <w:left w:val="single" w:sz="4" w:space="0" w:color="000000"/>
              <w:bottom w:val="single" w:sz="4" w:space="0" w:color="000000"/>
            </w:tcBorders>
            <w:vAlign w:val="center"/>
          </w:tcPr>
          <w:p w14:paraId="7CCF0A3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2DC6F58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c>
          <w:tcPr>
            <w:tcW w:w="1002" w:type="dxa"/>
            <w:tcBorders>
              <w:top w:val="single" w:sz="4" w:space="0" w:color="000000"/>
              <w:left w:val="single" w:sz="4" w:space="0" w:color="000000"/>
              <w:bottom w:val="single" w:sz="4" w:space="0" w:color="000000"/>
            </w:tcBorders>
            <w:vAlign w:val="center"/>
          </w:tcPr>
          <w:p w14:paraId="44C551D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60E2A31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7197835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5C96A69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tc>
        <w:tc>
          <w:tcPr>
            <w:tcW w:w="1002" w:type="dxa"/>
            <w:tcBorders>
              <w:top w:val="single" w:sz="4" w:space="0" w:color="000000"/>
              <w:left w:val="single" w:sz="4" w:space="0" w:color="000000"/>
              <w:bottom w:val="single" w:sz="4" w:space="0" w:color="000000"/>
            </w:tcBorders>
            <w:vAlign w:val="center"/>
          </w:tcPr>
          <w:p w14:paraId="1A814CE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6D707BF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002" w:type="dxa"/>
            <w:tcBorders>
              <w:top w:val="single" w:sz="4" w:space="0" w:color="000000"/>
              <w:left w:val="single" w:sz="4" w:space="0" w:color="000000"/>
              <w:bottom w:val="single" w:sz="4" w:space="0" w:color="000000"/>
            </w:tcBorders>
            <w:vAlign w:val="center"/>
          </w:tcPr>
          <w:p w14:paraId="0F51374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2" w:type="dxa"/>
            <w:tcBorders>
              <w:top w:val="single" w:sz="4" w:space="0" w:color="000000"/>
              <w:left w:val="single" w:sz="4" w:space="0" w:color="000000"/>
              <w:bottom w:val="single" w:sz="4" w:space="0" w:color="000000"/>
            </w:tcBorders>
            <w:vAlign w:val="center"/>
          </w:tcPr>
          <w:p w14:paraId="39C1A82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r w:rsidRPr="0030358C">
              <w:rPr>
                <w:rFonts w:ascii="Arial" w:hAnsi="Arial" w:cs="Arial"/>
                <w:b/>
                <w:bCs/>
                <w:sz w:val="22"/>
                <w:szCs w:val="22"/>
                <w:vertAlign w:val="superscript"/>
              </w:rPr>
              <w:t>5)</w:t>
            </w:r>
          </w:p>
          <w:p w14:paraId="555DD84F" w14:textId="77777777" w:rsidR="006945AD" w:rsidRPr="0030358C" w:rsidRDefault="006945AD" w:rsidP="00B15037">
            <w:pPr>
              <w:jc w:val="center"/>
              <w:rPr>
                <w:rFonts w:ascii="Arial" w:hAnsi="Arial" w:cs="Arial"/>
                <w:b/>
                <w:bCs/>
                <w:sz w:val="22"/>
                <w:szCs w:val="22"/>
              </w:rPr>
            </w:pPr>
          </w:p>
        </w:tc>
        <w:tc>
          <w:tcPr>
            <w:tcW w:w="1002" w:type="dxa"/>
            <w:tcBorders>
              <w:top w:val="single" w:sz="4" w:space="0" w:color="000000"/>
              <w:left w:val="single" w:sz="4" w:space="0" w:color="000000"/>
              <w:bottom w:val="single" w:sz="4" w:space="0" w:color="000000"/>
            </w:tcBorders>
            <w:vAlign w:val="center"/>
          </w:tcPr>
          <w:p w14:paraId="0C40223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136E92A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r>
    </w:tbl>
    <w:p w14:paraId="7FCD8542" w14:textId="77777777" w:rsidR="008834DE" w:rsidRPr="0030358C" w:rsidRDefault="008834DE" w:rsidP="006945AD">
      <w:pPr>
        <w:spacing w:line="276" w:lineRule="auto"/>
        <w:rPr>
          <w:rFonts w:ascii="Arial" w:hAnsi="Arial" w:cs="Arial"/>
          <w:b/>
          <w:bCs/>
          <w:sz w:val="22"/>
          <w:szCs w:val="22"/>
        </w:rPr>
      </w:pPr>
    </w:p>
    <w:p w14:paraId="0A7E425F"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 xml:space="preserve">Vysvětlivky: </w:t>
      </w:r>
    </w:p>
    <w:p w14:paraId="28C4E0B3"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1) Pro stacionární zdroje o jmenovitém tepelném příkonu 20 MW a nižším platí emisní limit 1100 mg.m</w:t>
      </w:r>
      <w:r w:rsidRPr="0030358C">
        <w:rPr>
          <w:rFonts w:ascii="Arial" w:hAnsi="Arial" w:cs="Arial"/>
          <w:b/>
          <w:bCs/>
          <w:sz w:val="22"/>
          <w:szCs w:val="22"/>
          <w:vertAlign w:val="superscript"/>
        </w:rPr>
        <w:t>-3</w:t>
      </w:r>
      <w:r w:rsidRPr="0030358C">
        <w:rPr>
          <w:rFonts w:ascii="Arial" w:hAnsi="Arial" w:cs="Arial"/>
          <w:b/>
          <w:bCs/>
          <w:sz w:val="22"/>
          <w:szCs w:val="22"/>
        </w:rPr>
        <w:t>.</w:t>
      </w:r>
    </w:p>
    <w:p w14:paraId="23ECF09F"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2) Neplatí pro výlučné spalování dřevní biomasy. Pro spalování slámy platí emisní limit 200 mg.m</w:t>
      </w:r>
      <w:r w:rsidRPr="0030358C">
        <w:rPr>
          <w:rFonts w:ascii="Arial" w:hAnsi="Arial" w:cs="Arial"/>
          <w:b/>
          <w:bCs/>
          <w:sz w:val="22"/>
          <w:szCs w:val="22"/>
          <w:vertAlign w:val="superscript"/>
        </w:rPr>
        <w:t>-3</w:t>
      </w:r>
      <w:r w:rsidRPr="0030358C">
        <w:rPr>
          <w:rFonts w:ascii="Arial" w:hAnsi="Arial" w:cs="Arial"/>
          <w:b/>
          <w:bCs/>
          <w:sz w:val="22"/>
          <w:szCs w:val="22"/>
        </w:rPr>
        <w:t>.</w:t>
      </w:r>
    </w:p>
    <w:p w14:paraId="53D7C313"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3) Platí v případě spalování výlisků z biomasy. Pro spalování ostatních druhů biomasy platí emisní limit 500 mg.m</w:t>
      </w:r>
      <w:r w:rsidRPr="0030358C">
        <w:rPr>
          <w:rFonts w:ascii="Arial" w:hAnsi="Arial" w:cs="Arial"/>
          <w:b/>
          <w:bCs/>
          <w:sz w:val="22"/>
          <w:szCs w:val="22"/>
          <w:vertAlign w:val="superscript"/>
        </w:rPr>
        <w:t>-3</w:t>
      </w:r>
      <w:r w:rsidRPr="0030358C">
        <w:rPr>
          <w:rFonts w:ascii="Arial" w:hAnsi="Arial" w:cs="Arial"/>
          <w:b/>
          <w:bCs/>
          <w:sz w:val="22"/>
          <w:szCs w:val="22"/>
        </w:rPr>
        <w:t>.</w:t>
      </w:r>
    </w:p>
    <w:p w14:paraId="17639C67"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4) Vztahuje se na spalování těžkého topného oleje a jemu podobných kapalných paliv.</w:t>
      </w:r>
    </w:p>
    <w:p w14:paraId="6373CF7E"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5) Pokud provozovatel prokáže, že nelze této hodnoty z technických důvodů dosáhnout použitím nízkoemisních hořáků, platí specifický emisní limit 200 mg.m</w:t>
      </w:r>
      <w:r w:rsidRPr="0030358C">
        <w:rPr>
          <w:rFonts w:ascii="Arial" w:hAnsi="Arial" w:cs="Arial"/>
          <w:b/>
          <w:bCs/>
          <w:sz w:val="22"/>
          <w:szCs w:val="22"/>
          <w:vertAlign w:val="superscript"/>
        </w:rPr>
        <w:t>-3</w:t>
      </w:r>
      <w:r w:rsidRPr="0030358C">
        <w:rPr>
          <w:rFonts w:ascii="Arial" w:hAnsi="Arial" w:cs="Arial"/>
          <w:b/>
          <w:bCs/>
          <w:sz w:val="22"/>
          <w:szCs w:val="22"/>
        </w:rPr>
        <w:t>.</w:t>
      </w:r>
    </w:p>
    <w:p w14:paraId="6CEBF7D4"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6) Do 1. ledna 2030 pro stacionární zdroje o jmenovitém tepelném příkonu 20 MW a nižším platí emisní limit 850 mg.m</w:t>
      </w:r>
      <w:r w:rsidRPr="0030358C">
        <w:rPr>
          <w:rFonts w:ascii="Arial" w:hAnsi="Arial" w:cs="Arial"/>
          <w:b/>
          <w:bCs/>
          <w:sz w:val="22"/>
          <w:szCs w:val="22"/>
          <w:vertAlign w:val="superscript"/>
        </w:rPr>
        <w:t xml:space="preserve">-3 </w:t>
      </w:r>
      <w:r w:rsidRPr="0030358C">
        <w:rPr>
          <w:rFonts w:ascii="Arial" w:hAnsi="Arial" w:cs="Arial"/>
          <w:b/>
          <w:bCs/>
          <w:sz w:val="22"/>
          <w:szCs w:val="22"/>
        </w:rPr>
        <w:t xml:space="preserve">při spalování těžkého topného oleje. </w:t>
      </w:r>
    </w:p>
    <w:p w14:paraId="338F5ECD"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7) Pro spalování bioplynu platí emisní limit 170 mg.m</w:t>
      </w:r>
      <w:r w:rsidRPr="0030358C">
        <w:rPr>
          <w:rFonts w:ascii="Arial" w:hAnsi="Arial" w:cs="Arial"/>
          <w:b/>
          <w:bCs/>
          <w:sz w:val="22"/>
          <w:szCs w:val="22"/>
          <w:vertAlign w:val="superscript"/>
        </w:rPr>
        <w:t>-3</w:t>
      </w:r>
      <w:r w:rsidRPr="0030358C">
        <w:rPr>
          <w:rFonts w:ascii="Arial" w:hAnsi="Arial" w:cs="Arial"/>
          <w:b/>
          <w:bCs/>
          <w:sz w:val="22"/>
          <w:szCs w:val="22"/>
        </w:rPr>
        <w:t>.</w:t>
      </w:r>
    </w:p>
    <w:p w14:paraId="1E34AFC6"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lastRenderedPageBreak/>
        <w:t>8) Pro stacionární zdroje o jmenovitém tepelném příkonu 20 MW a nižším platí emisní limit 33 mg.m</w:t>
      </w:r>
      <w:r w:rsidRPr="0030358C">
        <w:rPr>
          <w:rFonts w:ascii="Arial" w:hAnsi="Arial" w:cs="Arial"/>
          <w:b/>
          <w:bCs/>
          <w:sz w:val="22"/>
          <w:szCs w:val="22"/>
          <w:vertAlign w:val="superscript"/>
        </w:rPr>
        <w:t>-3</w:t>
      </w:r>
      <w:r w:rsidRPr="0030358C">
        <w:rPr>
          <w:rFonts w:ascii="Arial" w:hAnsi="Arial" w:cs="Arial"/>
          <w:b/>
          <w:bCs/>
          <w:sz w:val="22"/>
          <w:szCs w:val="22"/>
        </w:rPr>
        <w:t>.</w:t>
      </w:r>
    </w:p>
    <w:p w14:paraId="6647F57A"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9) Emisní limity pro SO</w:t>
      </w:r>
      <w:r w:rsidRPr="0030358C">
        <w:rPr>
          <w:rFonts w:ascii="Arial" w:hAnsi="Arial" w:cs="Arial"/>
          <w:b/>
          <w:bCs/>
          <w:sz w:val="22"/>
          <w:szCs w:val="22"/>
          <w:vertAlign w:val="subscript"/>
        </w:rPr>
        <w:t>2</w:t>
      </w:r>
      <w:r w:rsidRPr="0030358C">
        <w:rPr>
          <w:rFonts w:ascii="Arial" w:hAnsi="Arial" w:cs="Arial"/>
          <w:b/>
          <w:bCs/>
          <w:sz w:val="22"/>
          <w:szCs w:val="22"/>
        </w:rPr>
        <w:t xml:space="preserve"> se u zdrojů o jmenovitém tepelném příkonu 5 MW a nižším uplatní od 1. ledna 2030.</w:t>
      </w:r>
    </w:p>
    <w:p w14:paraId="71A12C26" w14:textId="77777777" w:rsidR="006945AD" w:rsidRPr="0030358C" w:rsidRDefault="006945AD" w:rsidP="006945AD">
      <w:pPr>
        <w:spacing w:line="300" w:lineRule="exact"/>
        <w:rPr>
          <w:rFonts w:ascii="Arial" w:hAnsi="Arial" w:cs="Arial"/>
          <w:b/>
          <w:bCs/>
          <w:sz w:val="22"/>
          <w:szCs w:val="22"/>
        </w:rPr>
      </w:pPr>
    </w:p>
    <w:p w14:paraId="4F279E0C" w14:textId="77777777" w:rsidR="006945AD" w:rsidRPr="0030358C" w:rsidRDefault="00000000" w:rsidP="006945AD">
      <w:pPr>
        <w:pStyle w:val="Odstavecseseznamem1"/>
        <w:widowControl w:val="0"/>
        <w:tabs>
          <w:tab w:val="left" w:pos="540"/>
        </w:tabs>
        <w:ind w:left="360" w:hanging="360"/>
        <w:rPr>
          <w:rFonts w:ascii="Arial" w:hAnsi="Arial" w:cs="Arial"/>
          <w:b/>
          <w:bCs/>
          <w:sz w:val="22"/>
          <w:szCs w:val="22"/>
        </w:rPr>
      </w:pPr>
      <w:r w:rsidRPr="0030358C">
        <w:rPr>
          <w:rFonts w:ascii="Arial" w:hAnsi="Arial" w:cs="Arial"/>
          <w:b/>
          <w:bCs/>
          <w:sz w:val="22"/>
          <w:szCs w:val="22"/>
        </w:rPr>
        <w:t>3.2.  Specifické emisní limity pro pístové spalovací motory</w:t>
      </w:r>
    </w:p>
    <w:p w14:paraId="3DE71018" w14:textId="77777777" w:rsidR="006945AD" w:rsidRPr="0030358C" w:rsidRDefault="006945AD" w:rsidP="006945AD">
      <w:pPr>
        <w:rPr>
          <w:rFonts w:ascii="Arial" w:hAnsi="Arial" w:cs="Arial"/>
          <w:b/>
          <w:bCs/>
          <w:sz w:val="22"/>
          <w:szCs w:val="22"/>
        </w:rPr>
      </w:pPr>
    </w:p>
    <w:p w14:paraId="64614B79" w14:textId="77777777" w:rsidR="006945AD" w:rsidRPr="0030358C" w:rsidRDefault="00000000" w:rsidP="006945AD">
      <w:pPr>
        <w:pStyle w:val="Odstavecseseznamem1"/>
        <w:ind w:left="0"/>
        <w:jc w:val="both"/>
        <w:outlineLvl w:val="0"/>
        <w:rPr>
          <w:rFonts w:ascii="Arial" w:hAnsi="Arial" w:cs="Arial"/>
          <w:b/>
          <w:bCs/>
          <w:sz w:val="22"/>
          <w:szCs w:val="22"/>
        </w:rPr>
      </w:pPr>
      <w:r w:rsidRPr="0030358C">
        <w:rPr>
          <w:rFonts w:ascii="Arial" w:hAnsi="Arial" w:cs="Arial"/>
          <w:b/>
          <w:bCs/>
          <w:sz w:val="22"/>
          <w:szCs w:val="22"/>
        </w:rPr>
        <w:t xml:space="preserve">Tabulka 3.2.1 - Specifické emisní limity pro stacionární zdroje uvedené do provozu 20. prosince 2018 nebo později </w:t>
      </w:r>
    </w:p>
    <w:p w14:paraId="03994A3C" w14:textId="77777777" w:rsidR="006945AD" w:rsidRPr="0030358C" w:rsidRDefault="00000000" w:rsidP="006945AD">
      <w:pPr>
        <w:pStyle w:val="Odstavecseseznamem1"/>
        <w:widowControl w:val="0"/>
        <w:tabs>
          <w:tab w:val="left" w:pos="900"/>
        </w:tabs>
        <w:spacing w:line="300" w:lineRule="exact"/>
        <w:ind w:left="0"/>
        <w:jc w:val="both"/>
        <w:rPr>
          <w:rFonts w:ascii="Arial" w:hAnsi="Arial" w:cs="Arial"/>
          <w:b/>
          <w:bCs/>
          <w:sz w:val="22"/>
          <w:szCs w:val="22"/>
        </w:rPr>
      </w:pPr>
      <w:r w:rsidRPr="0030358C">
        <w:rPr>
          <w:rFonts w:ascii="Arial" w:hAnsi="Arial" w:cs="Arial"/>
          <w:b/>
          <w:bCs/>
          <w:sz w:val="22"/>
          <w:szCs w:val="22"/>
        </w:rPr>
        <w:t xml:space="preserve"> </w:t>
      </w:r>
    </w:p>
    <w:tbl>
      <w:tblPr>
        <w:tblW w:w="14288" w:type="dxa"/>
        <w:tblInd w:w="-5" w:type="dxa"/>
        <w:tblLayout w:type="fixed"/>
        <w:tblLook w:val="0000" w:firstRow="0" w:lastRow="0" w:firstColumn="0" w:lastColumn="0" w:noHBand="0" w:noVBand="0"/>
      </w:tblPr>
      <w:tblGrid>
        <w:gridCol w:w="3374"/>
        <w:gridCol w:w="1417"/>
        <w:gridCol w:w="1418"/>
        <w:gridCol w:w="1275"/>
        <w:gridCol w:w="1418"/>
        <w:gridCol w:w="1417"/>
        <w:gridCol w:w="1276"/>
        <w:gridCol w:w="1276"/>
        <w:gridCol w:w="1417"/>
      </w:tblGrid>
      <w:tr w:rsidR="00E40657" w14:paraId="4BA74B5B" w14:textId="77777777" w:rsidTr="00B15037">
        <w:tc>
          <w:tcPr>
            <w:tcW w:w="3374" w:type="dxa"/>
            <w:vMerge w:val="restart"/>
            <w:tcBorders>
              <w:top w:val="single" w:sz="4" w:space="0" w:color="000000"/>
              <w:left w:val="single" w:sz="4" w:space="0" w:color="000000"/>
              <w:bottom w:val="single" w:sz="4" w:space="0" w:color="000000"/>
            </w:tcBorders>
            <w:vAlign w:val="center"/>
          </w:tcPr>
          <w:p w14:paraId="2AC19B24" w14:textId="77777777" w:rsidR="006945AD" w:rsidRPr="0030358C" w:rsidRDefault="00000000" w:rsidP="00B15037">
            <w:pPr>
              <w:spacing w:line="300" w:lineRule="exact"/>
              <w:jc w:val="center"/>
              <w:rPr>
                <w:rFonts w:ascii="Arial" w:hAnsi="Arial" w:cs="Arial"/>
                <w:b/>
                <w:bCs/>
                <w:sz w:val="22"/>
                <w:szCs w:val="22"/>
              </w:rPr>
            </w:pPr>
            <w:r w:rsidRPr="0030358C">
              <w:rPr>
                <w:rFonts w:ascii="Arial" w:hAnsi="Arial" w:cs="Arial"/>
                <w:b/>
                <w:bCs/>
                <w:sz w:val="22"/>
                <w:szCs w:val="22"/>
              </w:rPr>
              <w:t>Druh paliva</w:t>
            </w:r>
          </w:p>
        </w:tc>
        <w:tc>
          <w:tcPr>
            <w:tcW w:w="10914" w:type="dxa"/>
            <w:gridSpan w:val="8"/>
            <w:tcBorders>
              <w:top w:val="single" w:sz="4" w:space="0" w:color="000000"/>
              <w:left w:val="single" w:sz="4" w:space="0" w:color="000000"/>
              <w:bottom w:val="single" w:sz="4" w:space="0" w:color="000000"/>
              <w:right w:val="single" w:sz="4" w:space="0" w:color="000000"/>
            </w:tcBorders>
          </w:tcPr>
          <w:p w14:paraId="6069888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67441A4C" w14:textId="77777777" w:rsidTr="00B15037">
        <w:tc>
          <w:tcPr>
            <w:tcW w:w="3374" w:type="dxa"/>
            <w:vMerge/>
            <w:tcBorders>
              <w:top w:val="single" w:sz="4" w:space="0" w:color="000000"/>
              <w:left w:val="single" w:sz="4" w:space="0" w:color="000000"/>
              <w:bottom w:val="single" w:sz="4" w:space="0" w:color="000000"/>
            </w:tcBorders>
          </w:tcPr>
          <w:p w14:paraId="6C02B141" w14:textId="77777777" w:rsidR="006945AD" w:rsidRPr="0030358C" w:rsidRDefault="006945AD" w:rsidP="00B15037">
            <w:pPr>
              <w:spacing w:line="300" w:lineRule="exact"/>
              <w:rPr>
                <w:rFonts w:ascii="Arial" w:hAnsi="Arial" w:cs="Arial"/>
                <w:b/>
                <w:bCs/>
                <w:sz w:val="22"/>
                <w:szCs w:val="22"/>
              </w:rPr>
            </w:pPr>
          </w:p>
        </w:tc>
        <w:tc>
          <w:tcPr>
            <w:tcW w:w="5528" w:type="dxa"/>
            <w:gridSpan w:val="4"/>
            <w:tcBorders>
              <w:top w:val="single" w:sz="4" w:space="0" w:color="000000"/>
              <w:left w:val="single" w:sz="4" w:space="0" w:color="000000"/>
              <w:bottom w:val="single" w:sz="4" w:space="0" w:color="000000"/>
            </w:tcBorders>
          </w:tcPr>
          <w:p w14:paraId="3E570A9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5386" w:type="dxa"/>
            <w:gridSpan w:val="4"/>
            <w:tcBorders>
              <w:top w:val="single" w:sz="4" w:space="0" w:color="000000"/>
              <w:left w:val="single" w:sz="4" w:space="0" w:color="000000"/>
              <w:bottom w:val="single" w:sz="4" w:space="0" w:color="000000"/>
              <w:right w:val="single" w:sz="4" w:space="0" w:color="000000"/>
            </w:tcBorders>
          </w:tcPr>
          <w:p w14:paraId="2C3E25F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1-50 MW</w:t>
            </w:r>
          </w:p>
        </w:tc>
      </w:tr>
      <w:tr w:rsidR="00E40657" w14:paraId="79E7323B" w14:textId="77777777" w:rsidTr="00B15037">
        <w:tc>
          <w:tcPr>
            <w:tcW w:w="3374" w:type="dxa"/>
            <w:vMerge/>
            <w:tcBorders>
              <w:top w:val="single" w:sz="4" w:space="0" w:color="000000"/>
              <w:left w:val="single" w:sz="4" w:space="0" w:color="000000"/>
              <w:bottom w:val="single" w:sz="4" w:space="0" w:color="000000"/>
            </w:tcBorders>
          </w:tcPr>
          <w:p w14:paraId="3AB1C913" w14:textId="77777777" w:rsidR="006945AD" w:rsidRPr="0030358C" w:rsidRDefault="006945AD" w:rsidP="00B15037">
            <w:pPr>
              <w:spacing w:line="300" w:lineRule="exact"/>
              <w:rPr>
                <w:rFonts w:ascii="Arial" w:hAnsi="Arial" w:cs="Arial"/>
                <w:b/>
                <w:bCs/>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17BB43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418" w:type="dxa"/>
            <w:tcBorders>
              <w:top w:val="single" w:sz="4" w:space="0" w:color="000000"/>
              <w:left w:val="single" w:sz="4" w:space="0" w:color="000000"/>
              <w:bottom w:val="single" w:sz="4" w:space="0" w:color="000000"/>
            </w:tcBorders>
            <w:vAlign w:val="center"/>
          </w:tcPr>
          <w:p w14:paraId="11BDABC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5" w:type="dxa"/>
            <w:tcBorders>
              <w:top w:val="single" w:sz="4" w:space="0" w:color="000000"/>
              <w:left w:val="single" w:sz="4" w:space="0" w:color="000000"/>
              <w:bottom w:val="single" w:sz="4" w:space="0" w:color="000000"/>
            </w:tcBorders>
            <w:vAlign w:val="center"/>
          </w:tcPr>
          <w:p w14:paraId="3473A63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418" w:type="dxa"/>
            <w:tcBorders>
              <w:top w:val="single" w:sz="4" w:space="0" w:color="000000"/>
              <w:left w:val="single" w:sz="4" w:space="0" w:color="000000"/>
              <w:bottom w:val="single" w:sz="4" w:space="0" w:color="000000"/>
            </w:tcBorders>
            <w:vAlign w:val="center"/>
          </w:tcPr>
          <w:p w14:paraId="53BB88C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417" w:type="dxa"/>
            <w:tcBorders>
              <w:top w:val="single" w:sz="4" w:space="0" w:color="000000"/>
              <w:left w:val="single" w:sz="4" w:space="0" w:color="000000"/>
              <w:bottom w:val="single" w:sz="4" w:space="0" w:color="000000"/>
              <w:right w:val="single" w:sz="4" w:space="0" w:color="000000"/>
            </w:tcBorders>
          </w:tcPr>
          <w:p w14:paraId="5C7B387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276" w:type="dxa"/>
            <w:tcBorders>
              <w:top w:val="single" w:sz="4" w:space="0" w:color="000000"/>
              <w:left w:val="single" w:sz="4" w:space="0" w:color="000000"/>
              <w:bottom w:val="single" w:sz="4" w:space="0" w:color="000000"/>
            </w:tcBorders>
            <w:vAlign w:val="center"/>
          </w:tcPr>
          <w:p w14:paraId="7E324F4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6" w:type="dxa"/>
            <w:tcBorders>
              <w:top w:val="single" w:sz="4" w:space="0" w:color="000000"/>
              <w:left w:val="single" w:sz="4" w:space="0" w:color="000000"/>
              <w:bottom w:val="single" w:sz="4" w:space="0" w:color="000000"/>
            </w:tcBorders>
            <w:vAlign w:val="center"/>
          </w:tcPr>
          <w:p w14:paraId="6B19128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417" w:type="dxa"/>
            <w:tcBorders>
              <w:top w:val="single" w:sz="4" w:space="0" w:color="000000"/>
              <w:left w:val="single" w:sz="4" w:space="0" w:color="000000"/>
              <w:bottom w:val="single" w:sz="4" w:space="0" w:color="000000"/>
              <w:right w:val="single" w:sz="4" w:space="0" w:color="000000"/>
            </w:tcBorders>
            <w:vAlign w:val="center"/>
          </w:tcPr>
          <w:p w14:paraId="3BE922C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324EA303" w14:textId="77777777" w:rsidTr="00B15037">
        <w:tc>
          <w:tcPr>
            <w:tcW w:w="3374" w:type="dxa"/>
            <w:tcBorders>
              <w:top w:val="single" w:sz="4" w:space="0" w:color="000000"/>
              <w:left w:val="single" w:sz="4" w:space="0" w:color="000000"/>
              <w:bottom w:val="single" w:sz="4" w:space="0" w:color="000000"/>
            </w:tcBorders>
            <w:vAlign w:val="center"/>
          </w:tcPr>
          <w:p w14:paraId="357F05C2"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Kapalné palivo s výjimkou plynového oleje</w:t>
            </w:r>
          </w:p>
        </w:tc>
        <w:tc>
          <w:tcPr>
            <w:tcW w:w="1417" w:type="dxa"/>
            <w:tcBorders>
              <w:top w:val="single" w:sz="4" w:space="0" w:color="000000"/>
              <w:left w:val="single" w:sz="4" w:space="0" w:color="000000"/>
              <w:bottom w:val="single" w:sz="4" w:space="0" w:color="000000"/>
              <w:right w:val="single" w:sz="4" w:space="0" w:color="000000"/>
            </w:tcBorders>
            <w:vAlign w:val="center"/>
          </w:tcPr>
          <w:p w14:paraId="650CB4E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3385AC9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275" w:type="dxa"/>
            <w:tcBorders>
              <w:top w:val="single" w:sz="4" w:space="0" w:color="000000"/>
              <w:left w:val="single" w:sz="4" w:space="0" w:color="000000"/>
              <w:bottom w:val="single" w:sz="4" w:space="0" w:color="000000"/>
            </w:tcBorders>
            <w:vAlign w:val="center"/>
          </w:tcPr>
          <w:p w14:paraId="2A3AAAB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27B41F7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c>
          <w:tcPr>
            <w:tcW w:w="1417" w:type="dxa"/>
            <w:tcBorders>
              <w:top w:val="single" w:sz="4" w:space="0" w:color="000000"/>
              <w:left w:val="single" w:sz="4" w:space="0" w:color="000000"/>
              <w:bottom w:val="single" w:sz="4" w:space="0" w:color="000000"/>
              <w:right w:val="single" w:sz="4" w:space="0" w:color="000000"/>
            </w:tcBorders>
            <w:vAlign w:val="center"/>
          </w:tcPr>
          <w:p w14:paraId="44283B8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320</w:t>
            </w:r>
          </w:p>
        </w:tc>
        <w:tc>
          <w:tcPr>
            <w:tcW w:w="1276" w:type="dxa"/>
            <w:tcBorders>
              <w:top w:val="single" w:sz="4" w:space="0" w:color="000000"/>
              <w:left w:val="single" w:sz="4" w:space="0" w:color="000000"/>
              <w:bottom w:val="single" w:sz="4" w:space="0" w:color="000000"/>
            </w:tcBorders>
            <w:vAlign w:val="center"/>
          </w:tcPr>
          <w:p w14:paraId="567F6F78"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400</w:t>
            </w:r>
          </w:p>
        </w:tc>
        <w:tc>
          <w:tcPr>
            <w:tcW w:w="1276" w:type="dxa"/>
            <w:tcBorders>
              <w:top w:val="single" w:sz="4" w:space="0" w:color="000000"/>
              <w:left w:val="single" w:sz="4" w:space="0" w:color="000000"/>
              <w:bottom w:val="single" w:sz="4" w:space="0" w:color="000000"/>
            </w:tcBorders>
            <w:vAlign w:val="center"/>
          </w:tcPr>
          <w:p w14:paraId="71E443DB"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20</w:t>
            </w:r>
            <w:r w:rsidRPr="0030358C">
              <w:rPr>
                <w:rFonts w:ascii="Arial" w:hAnsi="Arial" w:cs="Arial"/>
                <w:b/>
                <w:bCs/>
                <w:sz w:val="22"/>
                <w:szCs w:val="22"/>
                <w:vertAlign w:val="superscript"/>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5D0C0CA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r>
      <w:tr w:rsidR="00E40657" w14:paraId="17BD2290" w14:textId="77777777" w:rsidTr="00B15037">
        <w:tc>
          <w:tcPr>
            <w:tcW w:w="3374" w:type="dxa"/>
            <w:tcBorders>
              <w:top w:val="single" w:sz="4" w:space="0" w:color="000000"/>
              <w:left w:val="single" w:sz="4" w:space="0" w:color="000000"/>
              <w:bottom w:val="single" w:sz="4" w:space="0" w:color="000000"/>
            </w:tcBorders>
            <w:vAlign w:val="center"/>
          </w:tcPr>
          <w:p w14:paraId="0DD067FC"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Plynový olej</w:t>
            </w:r>
          </w:p>
        </w:tc>
        <w:tc>
          <w:tcPr>
            <w:tcW w:w="1417" w:type="dxa"/>
            <w:tcBorders>
              <w:top w:val="single" w:sz="4" w:space="0" w:color="000000"/>
              <w:left w:val="single" w:sz="4" w:space="0" w:color="000000"/>
              <w:bottom w:val="single" w:sz="4" w:space="0" w:color="000000"/>
              <w:right w:val="single" w:sz="4" w:space="0" w:color="000000"/>
            </w:tcBorders>
            <w:vAlign w:val="center"/>
          </w:tcPr>
          <w:p w14:paraId="0F31E36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07EC8F8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275" w:type="dxa"/>
            <w:tcBorders>
              <w:top w:val="single" w:sz="4" w:space="0" w:color="000000"/>
              <w:left w:val="single" w:sz="4" w:space="0" w:color="000000"/>
              <w:bottom w:val="single" w:sz="4" w:space="0" w:color="000000"/>
            </w:tcBorders>
            <w:vAlign w:val="center"/>
          </w:tcPr>
          <w:p w14:paraId="194AE39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690AF95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c>
          <w:tcPr>
            <w:tcW w:w="1417" w:type="dxa"/>
            <w:tcBorders>
              <w:top w:val="single" w:sz="4" w:space="0" w:color="000000"/>
              <w:left w:val="single" w:sz="4" w:space="0" w:color="000000"/>
              <w:bottom w:val="single" w:sz="4" w:space="0" w:color="000000"/>
              <w:right w:val="single" w:sz="4" w:space="0" w:color="000000"/>
            </w:tcBorders>
            <w:vAlign w:val="center"/>
          </w:tcPr>
          <w:p w14:paraId="650D643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tcBorders>
            <w:vAlign w:val="center"/>
          </w:tcPr>
          <w:p w14:paraId="4DCB50E0"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400</w:t>
            </w:r>
          </w:p>
        </w:tc>
        <w:tc>
          <w:tcPr>
            <w:tcW w:w="1276" w:type="dxa"/>
            <w:tcBorders>
              <w:top w:val="single" w:sz="4" w:space="0" w:color="000000"/>
              <w:left w:val="single" w:sz="4" w:space="0" w:color="000000"/>
              <w:bottom w:val="single" w:sz="4" w:space="0" w:color="000000"/>
            </w:tcBorders>
            <w:vAlign w:val="center"/>
          </w:tcPr>
          <w:p w14:paraId="0BEA7D9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DE1BA8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r>
      <w:tr w:rsidR="00E40657" w14:paraId="5A1992E3" w14:textId="77777777" w:rsidTr="00B15037">
        <w:tc>
          <w:tcPr>
            <w:tcW w:w="3374" w:type="dxa"/>
            <w:tcBorders>
              <w:top w:val="single" w:sz="4" w:space="0" w:color="000000"/>
              <w:left w:val="single" w:sz="4" w:space="0" w:color="000000"/>
              <w:bottom w:val="single" w:sz="4" w:space="0" w:color="000000"/>
            </w:tcBorders>
            <w:vAlign w:val="center"/>
          </w:tcPr>
          <w:p w14:paraId="4DE3A22A"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Plynné palivo s výjimkou zemního plynu</w:t>
            </w:r>
          </w:p>
        </w:tc>
        <w:tc>
          <w:tcPr>
            <w:tcW w:w="1417" w:type="dxa"/>
            <w:tcBorders>
              <w:top w:val="single" w:sz="4" w:space="0" w:color="000000"/>
              <w:left w:val="single" w:sz="4" w:space="0" w:color="000000"/>
              <w:bottom w:val="single" w:sz="4" w:space="0" w:color="000000"/>
              <w:right w:val="single" w:sz="4" w:space="0" w:color="000000"/>
            </w:tcBorders>
            <w:vAlign w:val="center"/>
          </w:tcPr>
          <w:p w14:paraId="30D0F36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5B16C7E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275" w:type="dxa"/>
            <w:tcBorders>
              <w:top w:val="single" w:sz="4" w:space="0" w:color="000000"/>
              <w:left w:val="single" w:sz="4" w:space="0" w:color="000000"/>
              <w:bottom w:val="single" w:sz="4" w:space="0" w:color="000000"/>
            </w:tcBorders>
            <w:vAlign w:val="center"/>
          </w:tcPr>
          <w:p w14:paraId="1400C59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CA7DF7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c>
          <w:tcPr>
            <w:tcW w:w="1417" w:type="dxa"/>
            <w:tcBorders>
              <w:top w:val="single" w:sz="4" w:space="0" w:color="000000"/>
              <w:left w:val="single" w:sz="4" w:space="0" w:color="000000"/>
              <w:bottom w:val="single" w:sz="4" w:space="0" w:color="000000"/>
              <w:right w:val="single" w:sz="4" w:space="0" w:color="000000"/>
            </w:tcBorders>
            <w:vAlign w:val="center"/>
          </w:tcPr>
          <w:p w14:paraId="4F34638B"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40</w:t>
            </w:r>
            <w:r w:rsidRPr="0030358C">
              <w:rPr>
                <w:rFonts w:ascii="Arial" w:hAnsi="Arial" w:cs="Arial"/>
                <w:b/>
                <w:bCs/>
                <w:sz w:val="22"/>
                <w:szCs w:val="22"/>
                <w:vertAlign w:val="superscript"/>
              </w:rPr>
              <w:t>2)</w:t>
            </w:r>
          </w:p>
        </w:tc>
        <w:tc>
          <w:tcPr>
            <w:tcW w:w="1276" w:type="dxa"/>
            <w:tcBorders>
              <w:top w:val="single" w:sz="4" w:space="0" w:color="000000"/>
              <w:left w:val="single" w:sz="4" w:space="0" w:color="000000"/>
              <w:bottom w:val="single" w:sz="4" w:space="0" w:color="000000"/>
            </w:tcBorders>
            <w:vAlign w:val="center"/>
          </w:tcPr>
          <w:p w14:paraId="27DBB5D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276" w:type="dxa"/>
            <w:tcBorders>
              <w:top w:val="single" w:sz="4" w:space="0" w:color="000000"/>
              <w:left w:val="single" w:sz="4" w:space="0" w:color="000000"/>
              <w:bottom w:val="single" w:sz="4" w:space="0" w:color="000000"/>
            </w:tcBorders>
            <w:vAlign w:val="center"/>
          </w:tcPr>
          <w:p w14:paraId="32DB097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806DB5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r>
      <w:tr w:rsidR="00E40657" w14:paraId="3353BD69" w14:textId="77777777" w:rsidTr="00B15037">
        <w:tc>
          <w:tcPr>
            <w:tcW w:w="3374" w:type="dxa"/>
            <w:tcBorders>
              <w:top w:val="single" w:sz="4" w:space="0" w:color="000000"/>
              <w:left w:val="single" w:sz="4" w:space="0" w:color="000000"/>
              <w:bottom w:val="single" w:sz="4" w:space="0" w:color="000000"/>
            </w:tcBorders>
            <w:vAlign w:val="center"/>
          </w:tcPr>
          <w:p w14:paraId="2224F917"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Zemní plyn</w:t>
            </w:r>
          </w:p>
        </w:tc>
        <w:tc>
          <w:tcPr>
            <w:tcW w:w="1417" w:type="dxa"/>
            <w:tcBorders>
              <w:top w:val="single" w:sz="4" w:space="0" w:color="000000"/>
              <w:left w:val="single" w:sz="4" w:space="0" w:color="000000"/>
              <w:bottom w:val="single" w:sz="4" w:space="0" w:color="000000"/>
              <w:right w:val="single" w:sz="4" w:space="0" w:color="000000"/>
            </w:tcBorders>
            <w:vAlign w:val="center"/>
          </w:tcPr>
          <w:p w14:paraId="7F74AD0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3A1F2FA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275" w:type="dxa"/>
            <w:tcBorders>
              <w:top w:val="single" w:sz="4" w:space="0" w:color="000000"/>
              <w:left w:val="single" w:sz="4" w:space="0" w:color="000000"/>
              <w:bottom w:val="single" w:sz="4" w:space="0" w:color="000000"/>
            </w:tcBorders>
            <w:vAlign w:val="center"/>
          </w:tcPr>
          <w:p w14:paraId="5972E29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276CAAE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c>
          <w:tcPr>
            <w:tcW w:w="1417" w:type="dxa"/>
            <w:tcBorders>
              <w:top w:val="single" w:sz="4" w:space="0" w:color="000000"/>
              <w:left w:val="single" w:sz="4" w:space="0" w:color="000000"/>
              <w:bottom w:val="single" w:sz="4" w:space="0" w:color="000000"/>
              <w:right w:val="single" w:sz="4" w:space="0" w:color="000000"/>
            </w:tcBorders>
            <w:vAlign w:val="center"/>
          </w:tcPr>
          <w:p w14:paraId="0EE5422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tcBorders>
            <w:vAlign w:val="center"/>
          </w:tcPr>
          <w:p w14:paraId="0C278AAB"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253</w:t>
            </w:r>
            <w:r w:rsidRPr="0030358C">
              <w:rPr>
                <w:rFonts w:ascii="Arial" w:hAnsi="Arial" w:cs="Arial"/>
                <w:b/>
                <w:bCs/>
                <w:sz w:val="22"/>
                <w:szCs w:val="22"/>
                <w:vertAlign w:val="superscript"/>
              </w:rPr>
              <w:t>3)</w:t>
            </w:r>
          </w:p>
        </w:tc>
        <w:tc>
          <w:tcPr>
            <w:tcW w:w="1276" w:type="dxa"/>
            <w:tcBorders>
              <w:top w:val="single" w:sz="4" w:space="0" w:color="000000"/>
              <w:left w:val="single" w:sz="4" w:space="0" w:color="000000"/>
              <w:bottom w:val="single" w:sz="4" w:space="0" w:color="000000"/>
            </w:tcBorders>
            <w:vAlign w:val="center"/>
          </w:tcPr>
          <w:p w14:paraId="63FF73F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A10031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r>
    </w:tbl>
    <w:p w14:paraId="2E962B21" w14:textId="77777777" w:rsidR="008834DE" w:rsidRPr="0030358C" w:rsidRDefault="008834DE" w:rsidP="006945AD">
      <w:pPr>
        <w:spacing w:line="276" w:lineRule="auto"/>
        <w:rPr>
          <w:rFonts w:ascii="Arial" w:hAnsi="Arial" w:cs="Arial"/>
          <w:b/>
          <w:bCs/>
          <w:sz w:val="22"/>
          <w:szCs w:val="22"/>
        </w:rPr>
      </w:pPr>
    </w:p>
    <w:p w14:paraId="52015D7D"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 xml:space="preserve">Vysvětlivky: </w:t>
      </w:r>
    </w:p>
    <w:p w14:paraId="196C6FB6"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lang w:eastAsia="cs-CZ"/>
        </w:rPr>
        <w:t xml:space="preserve">1) Pro motory o celkovém jmenovitém tepelném příkonu 1 MW nebo vyšším a nižším než 5 MW platí emisní limit 50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lang w:eastAsia="cs-CZ"/>
        </w:rPr>
        <w:t>.</w:t>
      </w:r>
    </w:p>
    <w:p w14:paraId="700650C9"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rPr>
        <w:t>2) V případě spalování bioplynu se uplatní emisní limit 107 mg.m</w:t>
      </w:r>
      <w:r w:rsidRPr="0030358C">
        <w:rPr>
          <w:rFonts w:ascii="Arial" w:hAnsi="Arial" w:cs="Arial"/>
          <w:b/>
          <w:bCs/>
          <w:sz w:val="22"/>
          <w:szCs w:val="22"/>
          <w:vertAlign w:val="superscript"/>
        </w:rPr>
        <w:t>-3</w:t>
      </w:r>
      <w:r w:rsidRPr="0030358C">
        <w:rPr>
          <w:rFonts w:ascii="Arial" w:hAnsi="Arial" w:cs="Arial"/>
          <w:b/>
          <w:bCs/>
          <w:sz w:val="22"/>
          <w:szCs w:val="22"/>
        </w:rPr>
        <w:t>.</w:t>
      </w:r>
    </w:p>
    <w:p w14:paraId="3D562DA6" w14:textId="77777777" w:rsidR="006945AD" w:rsidRPr="0030358C" w:rsidRDefault="00000000" w:rsidP="009972D7">
      <w:pPr>
        <w:spacing w:line="276" w:lineRule="auto"/>
        <w:rPr>
          <w:rFonts w:ascii="Arial" w:hAnsi="Arial" w:cs="Arial"/>
          <w:b/>
          <w:bCs/>
          <w:sz w:val="22"/>
          <w:szCs w:val="22"/>
        </w:rPr>
      </w:pPr>
      <w:r w:rsidRPr="0030358C">
        <w:rPr>
          <w:rFonts w:ascii="Arial" w:hAnsi="Arial" w:cs="Arial"/>
          <w:b/>
          <w:bCs/>
          <w:sz w:val="22"/>
          <w:szCs w:val="22"/>
          <w:lang w:eastAsia="cs-CZ"/>
        </w:rPr>
        <w:t xml:space="preserve">3) Pro dvoupalivové motory při spalování pouze zemního plynu platí emisní limit 507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rPr>
        <w:t>.</w:t>
      </w:r>
    </w:p>
    <w:p w14:paraId="2E22123F" w14:textId="77777777" w:rsidR="006945AD" w:rsidRPr="0030358C" w:rsidRDefault="006945AD" w:rsidP="006945AD">
      <w:pPr>
        <w:rPr>
          <w:rFonts w:ascii="Arial" w:hAnsi="Arial" w:cs="Arial"/>
          <w:b/>
          <w:bCs/>
          <w:sz w:val="22"/>
          <w:szCs w:val="22"/>
        </w:rPr>
      </w:pPr>
    </w:p>
    <w:p w14:paraId="6C22C5AA" w14:textId="77777777" w:rsidR="006945AD" w:rsidRPr="0030358C" w:rsidRDefault="00000000" w:rsidP="006945AD">
      <w:pPr>
        <w:pStyle w:val="Odstavecseseznamem1"/>
        <w:ind w:left="709" w:hanging="709"/>
        <w:outlineLvl w:val="0"/>
        <w:rPr>
          <w:rFonts w:ascii="Arial" w:hAnsi="Arial" w:cs="Arial"/>
          <w:b/>
          <w:bCs/>
          <w:sz w:val="22"/>
          <w:szCs w:val="22"/>
        </w:rPr>
      </w:pPr>
      <w:r w:rsidRPr="0030358C">
        <w:rPr>
          <w:rFonts w:ascii="Arial" w:hAnsi="Arial" w:cs="Arial"/>
          <w:b/>
          <w:bCs/>
          <w:sz w:val="22"/>
          <w:szCs w:val="22"/>
        </w:rPr>
        <w:t xml:space="preserve">Tabulka 3.2.2 Specifické emisní limity pro stacionární zdroje uvedené do provozu před 20. prosincem 2018 </w:t>
      </w:r>
    </w:p>
    <w:p w14:paraId="0D05EF3D" w14:textId="77777777" w:rsidR="006945AD" w:rsidRPr="0030358C" w:rsidRDefault="00000000" w:rsidP="006945AD">
      <w:pPr>
        <w:pStyle w:val="Odstavecseseznamem1"/>
        <w:tabs>
          <w:tab w:val="left" w:pos="10209"/>
        </w:tabs>
        <w:ind w:left="0"/>
        <w:outlineLvl w:val="0"/>
        <w:rPr>
          <w:rFonts w:ascii="Arial" w:hAnsi="Arial" w:cs="Arial"/>
          <w:b/>
          <w:bCs/>
          <w:sz w:val="22"/>
          <w:szCs w:val="22"/>
        </w:rPr>
      </w:pPr>
      <w:r w:rsidRPr="0030358C">
        <w:rPr>
          <w:rFonts w:ascii="Arial" w:hAnsi="Arial" w:cs="Arial"/>
          <w:b/>
          <w:bCs/>
          <w:sz w:val="22"/>
          <w:szCs w:val="22"/>
        </w:rPr>
        <w:tab/>
      </w:r>
    </w:p>
    <w:tbl>
      <w:tblPr>
        <w:tblW w:w="14288" w:type="dxa"/>
        <w:tblInd w:w="-5" w:type="dxa"/>
        <w:tblLayout w:type="fixed"/>
        <w:tblLook w:val="0000" w:firstRow="0" w:lastRow="0" w:firstColumn="0" w:lastColumn="0" w:noHBand="0" w:noVBand="0"/>
      </w:tblPr>
      <w:tblGrid>
        <w:gridCol w:w="3374"/>
        <w:gridCol w:w="1417"/>
        <w:gridCol w:w="1418"/>
        <w:gridCol w:w="1275"/>
        <w:gridCol w:w="1418"/>
        <w:gridCol w:w="1355"/>
        <w:gridCol w:w="1338"/>
        <w:gridCol w:w="1276"/>
        <w:gridCol w:w="1417"/>
      </w:tblGrid>
      <w:tr w:rsidR="00E40657" w14:paraId="0A982147" w14:textId="77777777" w:rsidTr="00B15037">
        <w:tc>
          <w:tcPr>
            <w:tcW w:w="3374" w:type="dxa"/>
            <w:vMerge w:val="restart"/>
            <w:tcBorders>
              <w:top w:val="single" w:sz="4" w:space="0" w:color="000000"/>
              <w:left w:val="single" w:sz="4" w:space="0" w:color="000000"/>
              <w:bottom w:val="single" w:sz="4" w:space="0" w:color="000000"/>
            </w:tcBorders>
            <w:vAlign w:val="center"/>
          </w:tcPr>
          <w:p w14:paraId="37B7C0F7" w14:textId="77777777" w:rsidR="006945AD" w:rsidRPr="0030358C" w:rsidRDefault="00000000" w:rsidP="00B15037">
            <w:pPr>
              <w:spacing w:line="300" w:lineRule="exact"/>
              <w:jc w:val="center"/>
              <w:rPr>
                <w:rFonts w:ascii="Arial" w:hAnsi="Arial" w:cs="Arial"/>
                <w:b/>
                <w:bCs/>
                <w:sz w:val="22"/>
                <w:szCs w:val="22"/>
              </w:rPr>
            </w:pPr>
            <w:r w:rsidRPr="0030358C">
              <w:rPr>
                <w:rFonts w:ascii="Arial" w:hAnsi="Arial" w:cs="Arial"/>
                <w:b/>
                <w:bCs/>
                <w:sz w:val="22"/>
                <w:szCs w:val="22"/>
              </w:rPr>
              <w:t>Druh paliva</w:t>
            </w:r>
          </w:p>
        </w:tc>
        <w:tc>
          <w:tcPr>
            <w:tcW w:w="10914" w:type="dxa"/>
            <w:gridSpan w:val="8"/>
            <w:tcBorders>
              <w:top w:val="single" w:sz="4" w:space="0" w:color="000000"/>
              <w:left w:val="single" w:sz="4" w:space="0" w:color="000000"/>
              <w:bottom w:val="single" w:sz="4" w:space="0" w:color="000000"/>
              <w:right w:val="single" w:sz="4" w:space="0" w:color="auto"/>
            </w:tcBorders>
          </w:tcPr>
          <w:p w14:paraId="1F729A5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283DD032" w14:textId="77777777" w:rsidTr="00B15037">
        <w:tc>
          <w:tcPr>
            <w:tcW w:w="3374" w:type="dxa"/>
            <w:vMerge/>
            <w:tcBorders>
              <w:top w:val="single" w:sz="4" w:space="0" w:color="000000"/>
              <w:left w:val="single" w:sz="4" w:space="0" w:color="000000"/>
              <w:bottom w:val="single" w:sz="4" w:space="0" w:color="000000"/>
            </w:tcBorders>
          </w:tcPr>
          <w:p w14:paraId="09414536" w14:textId="77777777" w:rsidR="006945AD" w:rsidRPr="0030358C" w:rsidRDefault="006945AD" w:rsidP="00B15037">
            <w:pPr>
              <w:spacing w:line="300" w:lineRule="exact"/>
              <w:rPr>
                <w:rFonts w:ascii="Arial" w:hAnsi="Arial" w:cs="Arial"/>
                <w:b/>
                <w:bCs/>
                <w:sz w:val="22"/>
                <w:szCs w:val="22"/>
              </w:rPr>
            </w:pPr>
          </w:p>
        </w:tc>
        <w:tc>
          <w:tcPr>
            <w:tcW w:w="5528" w:type="dxa"/>
            <w:gridSpan w:val="4"/>
            <w:tcBorders>
              <w:top w:val="single" w:sz="4" w:space="0" w:color="000000"/>
              <w:left w:val="single" w:sz="4" w:space="0" w:color="000000"/>
              <w:bottom w:val="single" w:sz="4" w:space="0" w:color="000000"/>
            </w:tcBorders>
          </w:tcPr>
          <w:p w14:paraId="2808E6B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5386" w:type="dxa"/>
            <w:gridSpan w:val="4"/>
            <w:tcBorders>
              <w:top w:val="single" w:sz="4" w:space="0" w:color="000000"/>
              <w:left w:val="single" w:sz="4" w:space="0" w:color="000000"/>
              <w:bottom w:val="single" w:sz="4" w:space="0" w:color="000000"/>
              <w:right w:val="single" w:sz="4" w:space="0" w:color="auto"/>
            </w:tcBorders>
          </w:tcPr>
          <w:p w14:paraId="7888840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1-50 MW</w:t>
            </w:r>
          </w:p>
        </w:tc>
      </w:tr>
      <w:tr w:rsidR="00E40657" w14:paraId="23AA0714" w14:textId="77777777" w:rsidTr="00B15037">
        <w:tc>
          <w:tcPr>
            <w:tcW w:w="3374" w:type="dxa"/>
            <w:vMerge/>
            <w:tcBorders>
              <w:top w:val="single" w:sz="4" w:space="0" w:color="000000"/>
              <w:left w:val="single" w:sz="4" w:space="0" w:color="000000"/>
              <w:bottom w:val="single" w:sz="4" w:space="0" w:color="000000"/>
            </w:tcBorders>
          </w:tcPr>
          <w:p w14:paraId="6668C4EF" w14:textId="77777777" w:rsidR="006945AD" w:rsidRPr="0030358C" w:rsidRDefault="006945AD" w:rsidP="00B15037">
            <w:pPr>
              <w:spacing w:line="300" w:lineRule="exact"/>
              <w:rPr>
                <w:rFonts w:ascii="Arial" w:hAnsi="Arial" w:cs="Arial"/>
                <w:b/>
                <w:bCs/>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C57FC8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418" w:type="dxa"/>
            <w:tcBorders>
              <w:top w:val="single" w:sz="4" w:space="0" w:color="000000"/>
              <w:left w:val="single" w:sz="4" w:space="0" w:color="000000"/>
              <w:bottom w:val="single" w:sz="4" w:space="0" w:color="000000"/>
            </w:tcBorders>
            <w:vAlign w:val="center"/>
          </w:tcPr>
          <w:p w14:paraId="3680DDD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5" w:type="dxa"/>
            <w:tcBorders>
              <w:top w:val="single" w:sz="4" w:space="0" w:color="000000"/>
              <w:left w:val="single" w:sz="4" w:space="0" w:color="000000"/>
              <w:bottom w:val="single" w:sz="4" w:space="0" w:color="000000"/>
            </w:tcBorders>
            <w:vAlign w:val="center"/>
          </w:tcPr>
          <w:p w14:paraId="08CAECB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418" w:type="dxa"/>
            <w:tcBorders>
              <w:top w:val="single" w:sz="4" w:space="0" w:color="000000"/>
              <w:left w:val="single" w:sz="4" w:space="0" w:color="000000"/>
              <w:bottom w:val="single" w:sz="4" w:space="0" w:color="000000"/>
            </w:tcBorders>
            <w:vAlign w:val="center"/>
          </w:tcPr>
          <w:p w14:paraId="6BE865D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355" w:type="dxa"/>
            <w:tcBorders>
              <w:top w:val="single" w:sz="4" w:space="0" w:color="000000"/>
              <w:left w:val="single" w:sz="4" w:space="0" w:color="000000"/>
              <w:bottom w:val="single" w:sz="4" w:space="0" w:color="000000"/>
              <w:right w:val="single" w:sz="4" w:space="0" w:color="000000"/>
            </w:tcBorders>
          </w:tcPr>
          <w:p w14:paraId="4D9729B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338" w:type="dxa"/>
            <w:tcBorders>
              <w:top w:val="single" w:sz="4" w:space="0" w:color="000000"/>
              <w:left w:val="single" w:sz="4" w:space="0" w:color="000000"/>
              <w:bottom w:val="single" w:sz="4" w:space="0" w:color="000000"/>
            </w:tcBorders>
            <w:vAlign w:val="center"/>
          </w:tcPr>
          <w:p w14:paraId="3B28383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6" w:type="dxa"/>
            <w:tcBorders>
              <w:top w:val="single" w:sz="4" w:space="0" w:color="000000"/>
              <w:left w:val="single" w:sz="4" w:space="0" w:color="000000"/>
              <w:bottom w:val="single" w:sz="4" w:space="0" w:color="000000"/>
            </w:tcBorders>
            <w:vAlign w:val="center"/>
          </w:tcPr>
          <w:p w14:paraId="1101243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417" w:type="dxa"/>
            <w:tcBorders>
              <w:top w:val="single" w:sz="4" w:space="0" w:color="000000"/>
              <w:left w:val="single" w:sz="4" w:space="0" w:color="000000"/>
              <w:bottom w:val="single" w:sz="4" w:space="0" w:color="000000"/>
              <w:right w:val="single" w:sz="4" w:space="0" w:color="auto"/>
            </w:tcBorders>
            <w:vAlign w:val="center"/>
          </w:tcPr>
          <w:p w14:paraId="73D73F7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71DE57D3" w14:textId="77777777" w:rsidTr="00B15037">
        <w:tc>
          <w:tcPr>
            <w:tcW w:w="3374" w:type="dxa"/>
            <w:tcBorders>
              <w:top w:val="single" w:sz="4" w:space="0" w:color="000000"/>
              <w:left w:val="single" w:sz="4" w:space="0" w:color="000000"/>
              <w:bottom w:val="single" w:sz="4" w:space="0" w:color="000000"/>
            </w:tcBorders>
            <w:vAlign w:val="center"/>
          </w:tcPr>
          <w:p w14:paraId="4CDE5E1C"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Kapalné palivo s výjimkou plynového oleje</w:t>
            </w:r>
          </w:p>
        </w:tc>
        <w:tc>
          <w:tcPr>
            <w:tcW w:w="1417" w:type="dxa"/>
            <w:tcBorders>
              <w:top w:val="single" w:sz="4" w:space="0" w:color="000000"/>
              <w:left w:val="single" w:sz="4" w:space="0" w:color="000000"/>
              <w:bottom w:val="single" w:sz="4" w:space="0" w:color="000000"/>
              <w:right w:val="single" w:sz="4" w:space="0" w:color="000000"/>
            </w:tcBorders>
            <w:vAlign w:val="center"/>
          </w:tcPr>
          <w:p w14:paraId="09CD3BD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217CFDD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275" w:type="dxa"/>
            <w:tcBorders>
              <w:top w:val="single" w:sz="4" w:space="0" w:color="000000"/>
              <w:left w:val="single" w:sz="4" w:space="0" w:color="000000"/>
              <w:bottom w:val="single" w:sz="4" w:space="0" w:color="000000"/>
            </w:tcBorders>
            <w:vAlign w:val="center"/>
          </w:tcPr>
          <w:p w14:paraId="532237E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62C7983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c>
          <w:tcPr>
            <w:tcW w:w="1355" w:type="dxa"/>
            <w:tcBorders>
              <w:top w:val="single" w:sz="4" w:space="0" w:color="000000"/>
              <w:left w:val="single" w:sz="4" w:space="0" w:color="000000"/>
              <w:bottom w:val="single" w:sz="4" w:space="0" w:color="000000"/>
              <w:right w:val="single" w:sz="4" w:space="0" w:color="000000"/>
            </w:tcBorders>
            <w:vAlign w:val="center"/>
          </w:tcPr>
          <w:p w14:paraId="1E278D7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320</w:t>
            </w:r>
          </w:p>
        </w:tc>
        <w:tc>
          <w:tcPr>
            <w:tcW w:w="1338" w:type="dxa"/>
            <w:tcBorders>
              <w:top w:val="single" w:sz="4" w:space="0" w:color="000000"/>
              <w:left w:val="single" w:sz="4" w:space="0" w:color="000000"/>
              <w:bottom w:val="single" w:sz="4" w:space="0" w:color="000000"/>
            </w:tcBorders>
            <w:vAlign w:val="center"/>
          </w:tcPr>
          <w:p w14:paraId="6E6BB286"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400</w:t>
            </w:r>
          </w:p>
        </w:tc>
        <w:tc>
          <w:tcPr>
            <w:tcW w:w="1276" w:type="dxa"/>
            <w:tcBorders>
              <w:top w:val="single" w:sz="4" w:space="0" w:color="000000"/>
              <w:left w:val="single" w:sz="4" w:space="0" w:color="000000"/>
              <w:bottom w:val="single" w:sz="4" w:space="0" w:color="000000"/>
            </w:tcBorders>
            <w:vAlign w:val="center"/>
          </w:tcPr>
          <w:p w14:paraId="34ACAEC6"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20</w:t>
            </w:r>
            <w:r w:rsidRPr="0030358C">
              <w:rPr>
                <w:rFonts w:ascii="Arial" w:hAnsi="Arial" w:cs="Arial"/>
                <w:b/>
                <w:bCs/>
                <w:sz w:val="22"/>
                <w:szCs w:val="22"/>
                <w:vertAlign w:val="superscript"/>
              </w:rPr>
              <w:t>1)</w:t>
            </w:r>
          </w:p>
        </w:tc>
        <w:tc>
          <w:tcPr>
            <w:tcW w:w="1417" w:type="dxa"/>
            <w:tcBorders>
              <w:top w:val="single" w:sz="4" w:space="0" w:color="000000"/>
              <w:left w:val="single" w:sz="4" w:space="0" w:color="000000"/>
              <w:bottom w:val="single" w:sz="4" w:space="0" w:color="000000"/>
              <w:right w:val="single" w:sz="4" w:space="0" w:color="auto"/>
            </w:tcBorders>
            <w:vAlign w:val="center"/>
          </w:tcPr>
          <w:p w14:paraId="5FB9B19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r>
      <w:tr w:rsidR="00E40657" w14:paraId="23D87CC4" w14:textId="77777777" w:rsidTr="00B15037">
        <w:tc>
          <w:tcPr>
            <w:tcW w:w="3374" w:type="dxa"/>
            <w:tcBorders>
              <w:top w:val="single" w:sz="4" w:space="0" w:color="000000"/>
              <w:left w:val="single" w:sz="4" w:space="0" w:color="000000"/>
              <w:bottom w:val="single" w:sz="4" w:space="0" w:color="000000"/>
            </w:tcBorders>
            <w:vAlign w:val="center"/>
          </w:tcPr>
          <w:p w14:paraId="79DC2A6B"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Plynový olej</w:t>
            </w:r>
          </w:p>
        </w:tc>
        <w:tc>
          <w:tcPr>
            <w:tcW w:w="1417" w:type="dxa"/>
            <w:tcBorders>
              <w:top w:val="single" w:sz="4" w:space="0" w:color="000000"/>
              <w:left w:val="single" w:sz="4" w:space="0" w:color="000000"/>
              <w:bottom w:val="single" w:sz="4" w:space="0" w:color="000000"/>
              <w:right w:val="single" w:sz="4" w:space="0" w:color="000000"/>
            </w:tcBorders>
            <w:vAlign w:val="center"/>
          </w:tcPr>
          <w:p w14:paraId="0E5432F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4F33534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400</w:t>
            </w:r>
          </w:p>
        </w:tc>
        <w:tc>
          <w:tcPr>
            <w:tcW w:w="1275" w:type="dxa"/>
            <w:tcBorders>
              <w:top w:val="single" w:sz="4" w:space="0" w:color="000000"/>
              <w:left w:val="single" w:sz="4" w:space="0" w:color="000000"/>
              <w:bottom w:val="single" w:sz="4" w:space="0" w:color="000000"/>
            </w:tcBorders>
            <w:vAlign w:val="center"/>
          </w:tcPr>
          <w:p w14:paraId="7F0F34D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056C139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c>
          <w:tcPr>
            <w:tcW w:w="1355" w:type="dxa"/>
            <w:tcBorders>
              <w:top w:val="single" w:sz="4" w:space="0" w:color="000000"/>
              <w:left w:val="single" w:sz="4" w:space="0" w:color="000000"/>
              <w:bottom w:val="single" w:sz="4" w:space="0" w:color="000000"/>
              <w:right w:val="single" w:sz="4" w:space="0" w:color="000000"/>
            </w:tcBorders>
            <w:vAlign w:val="center"/>
          </w:tcPr>
          <w:p w14:paraId="1E37A9A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338" w:type="dxa"/>
            <w:tcBorders>
              <w:top w:val="single" w:sz="4" w:space="0" w:color="000000"/>
              <w:left w:val="single" w:sz="4" w:space="0" w:color="000000"/>
              <w:bottom w:val="single" w:sz="4" w:space="0" w:color="000000"/>
            </w:tcBorders>
            <w:vAlign w:val="center"/>
          </w:tcPr>
          <w:p w14:paraId="5874F8F6"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400</w:t>
            </w:r>
          </w:p>
        </w:tc>
        <w:tc>
          <w:tcPr>
            <w:tcW w:w="1276" w:type="dxa"/>
            <w:tcBorders>
              <w:top w:val="single" w:sz="4" w:space="0" w:color="000000"/>
              <w:left w:val="single" w:sz="4" w:space="0" w:color="000000"/>
              <w:bottom w:val="single" w:sz="4" w:space="0" w:color="000000"/>
            </w:tcBorders>
            <w:vAlign w:val="center"/>
          </w:tcPr>
          <w:p w14:paraId="1A7FC82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7" w:type="dxa"/>
            <w:tcBorders>
              <w:top w:val="single" w:sz="4" w:space="0" w:color="000000"/>
              <w:left w:val="single" w:sz="4" w:space="0" w:color="000000"/>
              <w:bottom w:val="single" w:sz="4" w:space="0" w:color="000000"/>
              <w:right w:val="single" w:sz="4" w:space="0" w:color="auto"/>
            </w:tcBorders>
            <w:vAlign w:val="center"/>
          </w:tcPr>
          <w:p w14:paraId="332EC21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450</w:t>
            </w:r>
          </w:p>
        </w:tc>
      </w:tr>
      <w:tr w:rsidR="00E40657" w14:paraId="6D129E87" w14:textId="77777777" w:rsidTr="00B15037">
        <w:tc>
          <w:tcPr>
            <w:tcW w:w="3374" w:type="dxa"/>
            <w:tcBorders>
              <w:top w:val="single" w:sz="4" w:space="0" w:color="000000"/>
              <w:left w:val="single" w:sz="4" w:space="0" w:color="000000"/>
              <w:bottom w:val="single" w:sz="4" w:space="0" w:color="000000"/>
            </w:tcBorders>
            <w:vAlign w:val="center"/>
          </w:tcPr>
          <w:p w14:paraId="43373C93"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Plynné palivo s výjimkou zemního plynu</w:t>
            </w:r>
          </w:p>
        </w:tc>
        <w:tc>
          <w:tcPr>
            <w:tcW w:w="1417" w:type="dxa"/>
            <w:tcBorders>
              <w:top w:val="single" w:sz="4" w:space="0" w:color="000000"/>
              <w:left w:val="single" w:sz="4" w:space="0" w:color="000000"/>
              <w:bottom w:val="single" w:sz="4" w:space="0" w:color="000000"/>
              <w:right w:val="single" w:sz="4" w:space="0" w:color="000000"/>
            </w:tcBorders>
            <w:vAlign w:val="center"/>
          </w:tcPr>
          <w:p w14:paraId="391BB74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75323D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275" w:type="dxa"/>
            <w:tcBorders>
              <w:top w:val="single" w:sz="4" w:space="0" w:color="000000"/>
              <w:left w:val="single" w:sz="4" w:space="0" w:color="000000"/>
              <w:bottom w:val="single" w:sz="4" w:space="0" w:color="000000"/>
            </w:tcBorders>
            <w:vAlign w:val="center"/>
          </w:tcPr>
          <w:p w14:paraId="4B93C5E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F1C090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c>
          <w:tcPr>
            <w:tcW w:w="1355" w:type="dxa"/>
            <w:tcBorders>
              <w:top w:val="single" w:sz="4" w:space="0" w:color="000000"/>
              <w:left w:val="single" w:sz="4" w:space="0" w:color="000000"/>
              <w:bottom w:val="single" w:sz="4" w:space="0" w:color="000000"/>
              <w:right w:val="single" w:sz="4" w:space="0" w:color="000000"/>
            </w:tcBorders>
            <w:vAlign w:val="center"/>
          </w:tcPr>
          <w:p w14:paraId="71944BA1"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40</w:t>
            </w:r>
            <w:r w:rsidRPr="0030358C">
              <w:rPr>
                <w:rFonts w:ascii="Arial" w:hAnsi="Arial" w:cs="Arial"/>
                <w:b/>
                <w:bCs/>
                <w:sz w:val="22"/>
                <w:szCs w:val="22"/>
                <w:vertAlign w:val="superscript"/>
              </w:rPr>
              <w:t>2)3)</w:t>
            </w:r>
          </w:p>
        </w:tc>
        <w:tc>
          <w:tcPr>
            <w:tcW w:w="1338" w:type="dxa"/>
            <w:tcBorders>
              <w:top w:val="single" w:sz="4" w:space="0" w:color="000000"/>
              <w:left w:val="single" w:sz="4" w:space="0" w:color="000000"/>
              <w:bottom w:val="single" w:sz="4" w:space="0" w:color="000000"/>
            </w:tcBorders>
            <w:vAlign w:val="center"/>
          </w:tcPr>
          <w:p w14:paraId="61264EE8"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500</w:t>
            </w:r>
          </w:p>
        </w:tc>
        <w:tc>
          <w:tcPr>
            <w:tcW w:w="1276" w:type="dxa"/>
            <w:tcBorders>
              <w:top w:val="single" w:sz="4" w:space="0" w:color="000000"/>
              <w:left w:val="single" w:sz="4" w:space="0" w:color="000000"/>
              <w:bottom w:val="single" w:sz="4" w:space="0" w:color="000000"/>
            </w:tcBorders>
            <w:vAlign w:val="center"/>
          </w:tcPr>
          <w:p w14:paraId="15ADF80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7" w:type="dxa"/>
            <w:tcBorders>
              <w:top w:val="single" w:sz="4" w:space="0" w:color="000000"/>
              <w:left w:val="single" w:sz="4" w:space="0" w:color="000000"/>
              <w:bottom w:val="single" w:sz="4" w:space="0" w:color="000000"/>
              <w:right w:val="single" w:sz="4" w:space="0" w:color="auto"/>
            </w:tcBorders>
            <w:vAlign w:val="center"/>
          </w:tcPr>
          <w:p w14:paraId="4E10943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r>
      <w:tr w:rsidR="00E40657" w14:paraId="19FB79C3" w14:textId="77777777" w:rsidTr="00B15037">
        <w:tc>
          <w:tcPr>
            <w:tcW w:w="3374" w:type="dxa"/>
            <w:tcBorders>
              <w:top w:val="single" w:sz="4" w:space="0" w:color="000000"/>
              <w:left w:val="single" w:sz="4" w:space="0" w:color="000000"/>
              <w:bottom w:val="single" w:sz="4" w:space="0" w:color="000000"/>
            </w:tcBorders>
            <w:vAlign w:val="center"/>
          </w:tcPr>
          <w:p w14:paraId="7E5882BF"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lastRenderedPageBreak/>
              <w:t>Zemní plyn</w:t>
            </w:r>
          </w:p>
        </w:tc>
        <w:tc>
          <w:tcPr>
            <w:tcW w:w="1417" w:type="dxa"/>
            <w:tcBorders>
              <w:top w:val="single" w:sz="4" w:space="0" w:color="000000"/>
              <w:left w:val="single" w:sz="4" w:space="0" w:color="000000"/>
              <w:bottom w:val="single" w:sz="4" w:space="0" w:color="000000"/>
              <w:right w:val="single" w:sz="4" w:space="0" w:color="000000"/>
            </w:tcBorders>
            <w:vAlign w:val="center"/>
          </w:tcPr>
          <w:p w14:paraId="249CD43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2F8550E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500</w:t>
            </w:r>
          </w:p>
        </w:tc>
        <w:tc>
          <w:tcPr>
            <w:tcW w:w="1275" w:type="dxa"/>
            <w:tcBorders>
              <w:top w:val="single" w:sz="4" w:space="0" w:color="000000"/>
              <w:left w:val="single" w:sz="4" w:space="0" w:color="000000"/>
              <w:bottom w:val="single" w:sz="4" w:space="0" w:color="000000"/>
            </w:tcBorders>
            <w:vAlign w:val="center"/>
          </w:tcPr>
          <w:p w14:paraId="287DF72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03804ED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c>
          <w:tcPr>
            <w:tcW w:w="1355" w:type="dxa"/>
            <w:tcBorders>
              <w:top w:val="single" w:sz="4" w:space="0" w:color="000000"/>
              <w:left w:val="single" w:sz="4" w:space="0" w:color="000000"/>
              <w:bottom w:val="single" w:sz="4" w:space="0" w:color="000000"/>
              <w:right w:val="single" w:sz="4" w:space="0" w:color="000000"/>
            </w:tcBorders>
            <w:vAlign w:val="center"/>
          </w:tcPr>
          <w:p w14:paraId="6C5D719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338" w:type="dxa"/>
            <w:tcBorders>
              <w:top w:val="single" w:sz="4" w:space="0" w:color="000000"/>
              <w:left w:val="single" w:sz="4" w:space="0" w:color="000000"/>
              <w:bottom w:val="single" w:sz="4" w:space="0" w:color="000000"/>
            </w:tcBorders>
            <w:vAlign w:val="center"/>
          </w:tcPr>
          <w:p w14:paraId="57DC4FE7"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500</w:t>
            </w:r>
          </w:p>
        </w:tc>
        <w:tc>
          <w:tcPr>
            <w:tcW w:w="1276" w:type="dxa"/>
            <w:tcBorders>
              <w:top w:val="single" w:sz="4" w:space="0" w:color="000000"/>
              <w:left w:val="single" w:sz="4" w:space="0" w:color="000000"/>
              <w:bottom w:val="single" w:sz="4" w:space="0" w:color="000000"/>
            </w:tcBorders>
            <w:vAlign w:val="center"/>
          </w:tcPr>
          <w:p w14:paraId="39F22FD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7" w:type="dxa"/>
            <w:tcBorders>
              <w:top w:val="single" w:sz="4" w:space="0" w:color="000000"/>
              <w:left w:val="single" w:sz="4" w:space="0" w:color="000000"/>
              <w:bottom w:val="single" w:sz="4" w:space="0" w:color="000000"/>
              <w:right w:val="single" w:sz="4" w:space="0" w:color="auto"/>
            </w:tcBorders>
            <w:vAlign w:val="center"/>
          </w:tcPr>
          <w:p w14:paraId="1B229D5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650</w:t>
            </w:r>
          </w:p>
        </w:tc>
      </w:tr>
    </w:tbl>
    <w:p w14:paraId="5F7AEF2D" w14:textId="77777777" w:rsidR="008834DE" w:rsidRPr="0030358C" w:rsidRDefault="008834DE" w:rsidP="006945AD">
      <w:pPr>
        <w:rPr>
          <w:rFonts w:ascii="Arial" w:hAnsi="Arial" w:cs="Arial"/>
          <w:b/>
          <w:bCs/>
          <w:sz w:val="22"/>
          <w:szCs w:val="22"/>
        </w:rPr>
      </w:pPr>
    </w:p>
    <w:p w14:paraId="0A367A2D" w14:textId="77777777" w:rsidR="006945AD" w:rsidRPr="0030358C" w:rsidRDefault="00000000" w:rsidP="006945AD">
      <w:pPr>
        <w:rPr>
          <w:rFonts w:ascii="Arial" w:hAnsi="Arial" w:cs="Arial"/>
          <w:b/>
          <w:bCs/>
          <w:sz w:val="22"/>
          <w:szCs w:val="22"/>
        </w:rPr>
      </w:pPr>
      <w:r w:rsidRPr="0030358C">
        <w:rPr>
          <w:rFonts w:ascii="Arial" w:hAnsi="Arial" w:cs="Arial"/>
          <w:b/>
          <w:bCs/>
          <w:sz w:val="22"/>
          <w:szCs w:val="22"/>
        </w:rPr>
        <w:t xml:space="preserve">Vysvětlivky: </w:t>
      </w:r>
    </w:p>
    <w:p w14:paraId="66F9C83E" w14:textId="77777777" w:rsidR="006945AD" w:rsidRPr="0030358C" w:rsidRDefault="00000000" w:rsidP="009972D7">
      <w:pPr>
        <w:tabs>
          <w:tab w:val="num" w:pos="2160"/>
        </w:tabs>
        <w:rPr>
          <w:rFonts w:ascii="Arial" w:hAnsi="Arial" w:cs="Arial"/>
          <w:b/>
          <w:bCs/>
          <w:sz w:val="22"/>
          <w:szCs w:val="22"/>
        </w:rPr>
      </w:pPr>
      <w:r w:rsidRPr="0030358C">
        <w:rPr>
          <w:rFonts w:ascii="Arial" w:hAnsi="Arial" w:cs="Arial"/>
          <w:b/>
          <w:bCs/>
          <w:sz w:val="22"/>
          <w:szCs w:val="22"/>
          <w:lang w:eastAsia="cs-CZ"/>
        </w:rPr>
        <w:t xml:space="preserve">1) V případě motorů s celkovým jmenovitým tepelným příkonem 20 MW a nižším platí emisní limit 50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lang w:eastAsia="cs-CZ"/>
        </w:rPr>
        <w:t>.</w:t>
      </w:r>
    </w:p>
    <w:p w14:paraId="1783DFB2" w14:textId="77777777" w:rsidR="006945AD" w:rsidRPr="0030358C" w:rsidRDefault="00000000" w:rsidP="009972D7">
      <w:pPr>
        <w:tabs>
          <w:tab w:val="num" w:pos="2160"/>
        </w:tabs>
        <w:rPr>
          <w:rFonts w:ascii="Arial" w:hAnsi="Arial" w:cs="Arial"/>
          <w:b/>
          <w:bCs/>
          <w:sz w:val="22"/>
          <w:szCs w:val="22"/>
        </w:rPr>
      </w:pPr>
      <w:r w:rsidRPr="0030358C">
        <w:rPr>
          <w:rFonts w:ascii="Arial" w:hAnsi="Arial" w:cs="Arial"/>
          <w:b/>
          <w:bCs/>
          <w:sz w:val="22"/>
          <w:szCs w:val="22"/>
          <w:lang w:eastAsia="cs-CZ"/>
        </w:rPr>
        <w:t xml:space="preserve">2) V případě spalování bioplynu platí emisní limit 160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rPr>
        <w:t>.</w:t>
      </w:r>
    </w:p>
    <w:p w14:paraId="39297C17" w14:textId="77777777" w:rsidR="006945AD" w:rsidRPr="0030358C" w:rsidRDefault="00000000" w:rsidP="009972D7">
      <w:pPr>
        <w:tabs>
          <w:tab w:val="num" w:pos="2160"/>
        </w:tabs>
        <w:rPr>
          <w:rFonts w:ascii="Arial" w:hAnsi="Arial" w:cs="Arial"/>
          <w:b/>
          <w:bCs/>
          <w:sz w:val="22"/>
          <w:szCs w:val="22"/>
        </w:rPr>
      </w:pPr>
      <w:r w:rsidRPr="0030358C">
        <w:rPr>
          <w:rFonts w:ascii="Arial" w:hAnsi="Arial" w:cs="Arial"/>
          <w:b/>
          <w:bCs/>
          <w:sz w:val="22"/>
          <w:szCs w:val="22"/>
          <w:lang w:eastAsia="cs-CZ"/>
        </w:rPr>
        <w:t xml:space="preserve">3) V případě spalování nízkovýhřevných plynů z koksárenských pecí platí emisní limit 347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lang w:eastAsia="cs-CZ"/>
        </w:rPr>
        <w:t xml:space="preserve"> a v případě spalování nízkovýhřevných plynů z vysokých pecí v železářském a ocelářském průmyslu platí emisní limit 173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rPr>
        <w:t>.</w:t>
      </w:r>
    </w:p>
    <w:p w14:paraId="078A62B0" w14:textId="77777777" w:rsidR="006945AD" w:rsidRPr="0030358C" w:rsidRDefault="006945AD" w:rsidP="006945AD">
      <w:pPr>
        <w:rPr>
          <w:rFonts w:ascii="Arial" w:hAnsi="Arial" w:cs="Arial"/>
          <w:b/>
          <w:bCs/>
          <w:sz w:val="22"/>
          <w:szCs w:val="22"/>
        </w:rPr>
      </w:pPr>
    </w:p>
    <w:p w14:paraId="62F8B5BA" w14:textId="77777777" w:rsidR="006945AD" w:rsidRPr="0030358C" w:rsidRDefault="00000000" w:rsidP="006945AD">
      <w:pPr>
        <w:pStyle w:val="Odstavecseseznamem1"/>
        <w:widowControl w:val="0"/>
        <w:tabs>
          <w:tab w:val="left" w:pos="720"/>
        </w:tabs>
        <w:spacing w:line="200" w:lineRule="atLeast"/>
        <w:ind w:left="360" w:hanging="360"/>
        <w:jc w:val="both"/>
        <w:rPr>
          <w:rFonts w:ascii="Arial" w:hAnsi="Arial" w:cs="Arial"/>
          <w:b/>
          <w:bCs/>
          <w:sz w:val="22"/>
          <w:szCs w:val="22"/>
        </w:rPr>
      </w:pPr>
      <w:r w:rsidRPr="0030358C">
        <w:rPr>
          <w:rFonts w:ascii="Arial" w:hAnsi="Arial" w:cs="Arial"/>
          <w:b/>
          <w:bCs/>
          <w:sz w:val="22"/>
          <w:szCs w:val="22"/>
        </w:rPr>
        <w:t>3.3.  Specifické emisní limity pro plynové turbíny</w:t>
      </w:r>
    </w:p>
    <w:p w14:paraId="7A609ED2" w14:textId="77777777" w:rsidR="006945AD" w:rsidRPr="0030358C" w:rsidRDefault="006945AD" w:rsidP="006945AD">
      <w:pPr>
        <w:spacing w:line="200" w:lineRule="atLeast"/>
        <w:jc w:val="both"/>
        <w:rPr>
          <w:rFonts w:ascii="Arial" w:hAnsi="Arial" w:cs="Arial"/>
          <w:b/>
          <w:bCs/>
          <w:sz w:val="22"/>
          <w:szCs w:val="22"/>
        </w:rPr>
      </w:pPr>
    </w:p>
    <w:p w14:paraId="67B9E0F6" w14:textId="77777777" w:rsidR="006945AD" w:rsidRPr="0030358C" w:rsidRDefault="00000000" w:rsidP="006945AD">
      <w:pPr>
        <w:pStyle w:val="Odstavecseseznamem1"/>
        <w:spacing w:line="300" w:lineRule="exact"/>
        <w:ind w:hanging="720"/>
        <w:jc w:val="both"/>
        <w:outlineLvl w:val="0"/>
        <w:rPr>
          <w:rFonts w:ascii="Arial" w:hAnsi="Arial" w:cs="Arial"/>
          <w:b/>
          <w:bCs/>
          <w:sz w:val="22"/>
          <w:szCs w:val="22"/>
        </w:rPr>
      </w:pPr>
      <w:r w:rsidRPr="0030358C">
        <w:rPr>
          <w:rFonts w:ascii="Arial" w:hAnsi="Arial" w:cs="Arial"/>
          <w:b/>
          <w:bCs/>
          <w:sz w:val="22"/>
          <w:szCs w:val="22"/>
        </w:rPr>
        <w:t>Tabulka 3.3.1 - Specifické emisní limity pro stacionární zdroje uvedené do provozu 20. prosince 2018 nebo později</w:t>
      </w:r>
    </w:p>
    <w:p w14:paraId="60F8352D" w14:textId="77777777" w:rsidR="006945AD" w:rsidRPr="0030358C" w:rsidRDefault="006945AD" w:rsidP="006945AD">
      <w:pPr>
        <w:pStyle w:val="Odstavecseseznamem1"/>
        <w:spacing w:line="300" w:lineRule="exact"/>
        <w:ind w:hanging="720"/>
        <w:jc w:val="both"/>
        <w:outlineLvl w:val="0"/>
        <w:rPr>
          <w:rFonts w:ascii="Arial" w:hAnsi="Arial" w:cs="Arial"/>
          <w:b/>
          <w:bCs/>
          <w:sz w:val="22"/>
          <w:szCs w:val="22"/>
        </w:rPr>
      </w:pPr>
    </w:p>
    <w:tbl>
      <w:tblPr>
        <w:tblW w:w="14147" w:type="dxa"/>
        <w:tblInd w:w="-5" w:type="dxa"/>
        <w:tblLayout w:type="fixed"/>
        <w:tblLook w:val="0000" w:firstRow="0" w:lastRow="0" w:firstColumn="0" w:lastColumn="0" w:noHBand="0" w:noVBand="0"/>
      </w:tblPr>
      <w:tblGrid>
        <w:gridCol w:w="3374"/>
        <w:gridCol w:w="1417"/>
        <w:gridCol w:w="1418"/>
        <w:gridCol w:w="1275"/>
        <w:gridCol w:w="1418"/>
        <w:gridCol w:w="1417"/>
        <w:gridCol w:w="1276"/>
        <w:gridCol w:w="1276"/>
        <w:gridCol w:w="1276"/>
      </w:tblGrid>
      <w:tr w:rsidR="00E40657" w14:paraId="511368BE" w14:textId="77777777" w:rsidTr="00B15037">
        <w:tc>
          <w:tcPr>
            <w:tcW w:w="3374" w:type="dxa"/>
            <w:vMerge w:val="restart"/>
            <w:tcBorders>
              <w:top w:val="single" w:sz="4" w:space="0" w:color="000000"/>
              <w:left w:val="single" w:sz="4" w:space="0" w:color="000000"/>
              <w:bottom w:val="single" w:sz="4" w:space="0" w:color="000000"/>
            </w:tcBorders>
            <w:vAlign w:val="center"/>
          </w:tcPr>
          <w:p w14:paraId="2D1CEA32" w14:textId="77777777" w:rsidR="006945AD" w:rsidRPr="0030358C" w:rsidRDefault="00000000" w:rsidP="00B15037">
            <w:pPr>
              <w:spacing w:line="300" w:lineRule="exact"/>
              <w:jc w:val="center"/>
              <w:rPr>
                <w:rFonts w:ascii="Arial" w:hAnsi="Arial" w:cs="Arial"/>
                <w:b/>
                <w:bCs/>
                <w:sz w:val="22"/>
                <w:szCs w:val="22"/>
              </w:rPr>
            </w:pPr>
            <w:r w:rsidRPr="0030358C">
              <w:rPr>
                <w:rFonts w:ascii="Arial" w:hAnsi="Arial" w:cs="Arial"/>
                <w:b/>
                <w:bCs/>
                <w:sz w:val="22"/>
                <w:szCs w:val="22"/>
              </w:rPr>
              <w:t>Druh paliva</w:t>
            </w:r>
          </w:p>
        </w:tc>
        <w:tc>
          <w:tcPr>
            <w:tcW w:w="10773" w:type="dxa"/>
            <w:gridSpan w:val="8"/>
            <w:tcBorders>
              <w:top w:val="single" w:sz="4" w:space="0" w:color="000000"/>
              <w:left w:val="single" w:sz="4" w:space="0" w:color="000000"/>
              <w:bottom w:val="single" w:sz="4" w:space="0" w:color="000000"/>
              <w:right w:val="single" w:sz="4" w:space="0" w:color="000000"/>
            </w:tcBorders>
          </w:tcPr>
          <w:p w14:paraId="49515AC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3D7760BD" w14:textId="77777777" w:rsidTr="00B15037">
        <w:tc>
          <w:tcPr>
            <w:tcW w:w="3374" w:type="dxa"/>
            <w:vMerge/>
            <w:tcBorders>
              <w:top w:val="single" w:sz="4" w:space="0" w:color="000000"/>
              <w:left w:val="single" w:sz="4" w:space="0" w:color="000000"/>
              <w:bottom w:val="single" w:sz="4" w:space="0" w:color="000000"/>
            </w:tcBorders>
          </w:tcPr>
          <w:p w14:paraId="70A61790" w14:textId="77777777" w:rsidR="006945AD" w:rsidRPr="0030358C" w:rsidRDefault="006945AD" w:rsidP="00B15037">
            <w:pPr>
              <w:spacing w:line="300" w:lineRule="exact"/>
              <w:rPr>
                <w:rFonts w:ascii="Arial" w:hAnsi="Arial" w:cs="Arial"/>
                <w:b/>
                <w:bCs/>
                <w:sz w:val="22"/>
                <w:szCs w:val="22"/>
              </w:rPr>
            </w:pPr>
          </w:p>
        </w:tc>
        <w:tc>
          <w:tcPr>
            <w:tcW w:w="5528" w:type="dxa"/>
            <w:gridSpan w:val="4"/>
            <w:tcBorders>
              <w:top w:val="single" w:sz="4" w:space="0" w:color="000000"/>
              <w:left w:val="single" w:sz="4" w:space="0" w:color="000000"/>
              <w:bottom w:val="single" w:sz="4" w:space="0" w:color="000000"/>
            </w:tcBorders>
          </w:tcPr>
          <w:p w14:paraId="2EE2E7A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5245" w:type="dxa"/>
            <w:gridSpan w:val="4"/>
            <w:tcBorders>
              <w:top w:val="single" w:sz="4" w:space="0" w:color="000000"/>
              <w:left w:val="single" w:sz="4" w:space="0" w:color="000000"/>
              <w:bottom w:val="single" w:sz="4" w:space="0" w:color="000000"/>
              <w:right w:val="single" w:sz="4" w:space="0" w:color="000000"/>
            </w:tcBorders>
          </w:tcPr>
          <w:p w14:paraId="51DD9A5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1-50 MW</w:t>
            </w:r>
          </w:p>
        </w:tc>
      </w:tr>
      <w:tr w:rsidR="00E40657" w14:paraId="428B6303" w14:textId="77777777" w:rsidTr="00B15037">
        <w:tc>
          <w:tcPr>
            <w:tcW w:w="3374" w:type="dxa"/>
            <w:vMerge/>
            <w:tcBorders>
              <w:top w:val="single" w:sz="4" w:space="0" w:color="000000"/>
              <w:left w:val="single" w:sz="4" w:space="0" w:color="000000"/>
              <w:bottom w:val="single" w:sz="4" w:space="0" w:color="000000"/>
            </w:tcBorders>
          </w:tcPr>
          <w:p w14:paraId="27C6F7AC" w14:textId="77777777" w:rsidR="006945AD" w:rsidRPr="0030358C" w:rsidRDefault="006945AD" w:rsidP="00B15037">
            <w:pPr>
              <w:spacing w:line="300" w:lineRule="exact"/>
              <w:rPr>
                <w:rFonts w:ascii="Arial" w:hAnsi="Arial" w:cs="Arial"/>
                <w:b/>
                <w:bCs/>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1718402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418" w:type="dxa"/>
            <w:tcBorders>
              <w:top w:val="single" w:sz="4" w:space="0" w:color="000000"/>
              <w:left w:val="single" w:sz="4" w:space="0" w:color="000000"/>
              <w:bottom w:val="single" w:sz="4" w:space="0" w:color="000000"/>
            </w:tcBorders>
            <w:vAlign w:val="center"/>
          </w:tcPr>
          <w:p w14:paraId="1860DFC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5" w:type="dxa"/>
            <w:tcBorders>
              <w:top w:val="single" w:sz="4" w:space="0" w:color="000000"/>
              <w:left w:val="single" w:sz="4" w:space="0" w:color="000000"/>
              <w:bottom w:val="single" w:sz="4" w:space="0" w:color="000000"/>
              <w:right w:val="single" w:sz="4" w:space="0" w:color="000000"/>
            </w:tcBorders>
          </w:tcPr>
          <w:p w14:paraId="577561B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418" w:type="dxa"/>
            <w:tcBorders>
              <w:top w:val="single" w:sz="4" w:space="0" w:color="000000"/>
              <w:left w:val="single" w:sz="4" w:space="0" w:color="000000"/>
              <w:bottom w:val="single" w:sz="4" w:space="0" w:color="000000"/>
            </w:tcBorders>
            <w:vAlign w:val="center"/>
          </w:tcPr>
          <w:p w14:paraId="4D33229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417" w:type="dxa"/>
            <w:tcBorders>
              <w:top w:val="single" w:sz="4" w:space="0" w:color="000000"/>
              <w:left w:val="single" w:sz="4" w:space="0" w:color="000000"/>
              <w:bottom w:val="single" w:sz="4" w:space="0" w:color="000000"/>
              <w:right w:val="single" w:sz="4" w:space="0" w:color="000000"/>
            </w:tcBorders>
          </w:tcPr>
          <w:p w14:paraId="3DC3DF8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276" w:type="dxa"/>
            <w:tcBorders>
              <w:top w:val="single" w:sz="4" w:space="0" w:color="000000"/>
              <w:left w:val="single" w:sz="4" w:space="0" w:color="000000"/>
              <w:bottom w:val="single" w:sz="4" w:space="0" w:color="000000"/>
            </w:tcBorders>
            <w:vAlign w:val="center"/>
          </w:tcPr>
          <w:p w14:paraId="1E6295C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6" w:type="dxa"/>
            <w:tcBorders>
              <w:top w:val="single" w:sz="4" w:space="0" w:color="000000"/>
              <w:left w:val="single" w:sz="4" w:space="0" w:color="000000"/>
              <w:bottom w:val="single" w:sz="4" w:space="0" w:color="000000"/>
            </w:tcBorders>
          </w:tcPr>
          <w:p w14:paraId="4719EB4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276" w:type="dxa"/>
            <w:tcBorders>
              <w:top w:val="single" w:sz="4" w:space="0" w:color="000000"/>
              <w:left w:val="single" w:sz="4" w:space="0" w:color="000000"/>
              <w:bottom w:val="single" w:sz="4" w:space="0" w:color="000000"/>
              <w:right w:val="single" w:sz="4" w:space="0" w:color="000000"/>
            </w:tcBorders>
            <w:vAlign w:val="center"/>
          </w:tcPr>
          <w:p w14:paraId="4864152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5357E5AD" w14:textId="77777777" w:rsidTr="00B15037">
        <w:tc>
          <w:tcPr>
            <w:tcW w:w="3374" w:type="dxa"/>
            <w:tcBorders>
              <w:top w:val="single" w:sz="4" w:space="0" w:color="000000"/>
              <w:left w:val="single" w:sz="4" w:space="0" w:color="000000"/>
              <w:bottom w:val="single" w:sz="4" w:space="0" w:color="000000"/>
            </w:tcBorders>
            <w:vAlign w:val="center"/>
          </w:tcPr>
          <w:p w14:paraId="786243A0"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Kapalné palivo s výjimkou plynového oleje</w:t>
            </w:r>
          </w:p>
        </w:tc>
        <w:tc>
          <w:tcPr>
            <w:tcW w:w="1417" w:type="dxa"/>
            <w:tcBorders>
              <w:top w:val="single" w:sz="4" w:space="0" w:color="000000"/>
              <w:left w:val="single" w:sz="4" w:space="0" w:color="000000"/>
              <w:bottom w:val="single" w:sz="4" w:space="0" w:color="000000"/>
              <w:right w:val="single" w:sz="4" w:space="0" w:color="000000"/>
            </w:tcBorders>
            <w:vAlign w:val="center"/>
          </w:tcPr>
          <w:p w14:paraId="6CC953A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029AF15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0D28FE4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8AEDC2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741B60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120</w:t>
            </w:r>
          </w:p>
        </w:tc>
        <w:tc>
          <w:tcPr>
            <w:tcW w:w="1276" w:type="dxa"/>
            <w:tcBorders>
              <w:top w:val="single" w:sz="4" w:space="0" w:color="000000"/>
              <w:left w:val="single" w:sz="4" w:space="0" w:color="000000"/>
              <w:bottom w:val="single" w:sz="4" w:space="0" w:color="000000"/>
            </w:tcBorders>
            <w:vAlign w:val="center"/>
          </w:tcPr>
          <w:p w14:paraId="5EF0253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75</w:t>
            </w:r>
          </w:p>
        </w:tc>
        <w:tc>
          <w:tcPr>
            <w:tcW w:w="1276" w:type="dxa"/>
            <w:tcBorders>
              <w:top w:val="single" w:sz="4" w:space="0" w:color="000000"/>
              <w:left w:val="single" w:sz="4" w:space="0" w:color="000000"/>
              <w:bottom w:val="single" w:sz="4" w:space="0" w:color="000000"/>
            </w:tcBorders>
            <w:vAlign w:val="center"/>
          </w:tcPr>
          <w:p w14:paraId="3DD1B66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w:t>
            </w:r>
            <w:r w:rsidRPr="0030358C">
              <w:rPr>
                <w:rFonts w:ascii="Arial" w:hAnsi="Arial" w:cs="Arial"/>
                <w:b/>
                <w:bCs/>
                <w:sz w:val="22"/>
                <w:szCs w:val="22"/>
                <w:vertAlign w:val="superscript"/>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314F896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r w:rsidR="00E40657" w14:paraId="10B95E91" w14:textId="77777777" w:rsidTr="00B15037">
        <w:tc>
          <w:tcPr>
            <w:tcW w:w="3374" w:type="dxa"/>
            <w:tcBorders>
              <w:top w:val="single" w:sz="4" w:space="0" w:color="000000"/>
              <w:left w:val="single" w:sz="4" w:space="0" w:color="000000"/>
              <w:bottom w:val="single" w:sz="4" w:space="0" w:color="000000"/>
            </w:tcBorders>
            <w:vAlign w:val="center"/>
          </w:tcPr>
          <w:p w14:paraId="6E12F7D6"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Plynový olej</w:t>
            </w:r>
          </w:p>
        </w:tc>
        <w:tc>
          <w:tcPr>
            <w:tcW w:w="1417" w:type="dxa"/>
            <w:tcBorders>
              <w:top w:val="single" w:sz="4" w:space="0" w:color="000000"/>
              <w:left w:val="single" w:sz="4" w:space="0" w:color="000000"/>
              <w:bottom w:val="single" w:sz="4" w:space="0" w:color="000000"/>
              <w:right w:val="single" w:sz="4" w:space="0" w:color="000000"/>
            </w:tcBorders>
            <w:vAlign w:val="center"/>
          </w:tcPr>
          <w:p w14:paraId="68BAAC5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5C72C9D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3AB6327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ABA041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D3D08C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tcBorders>
            <w:vAlign w:val="center"/>
          </w:tcPr>
          <w:p w14:paraId="3985B8B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75</w:t>
            </w:r>
          </w:p>
        </w:tc>
        <w:tc>
          <w:tcPr>
            <w:tcW w:w="1276" w:type="dxa"/>
            <w:tcBorders>
              <w:top w:val="single" w:sz="4" w:space="0" w:color="000000"/>
              <w:left w:val="single" w:sz="4" w:space="0" w:color="000000"/>
              <w:bottom w:val="single" w:sz="4" w:space="0" w:color="000000"/>
            </w:tcBorders>
            <w:vAlign w:val="center"/>
          </w:tcPr>
          <w:p w14:paraId="5A0D28B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5DED5B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r w:rsidR="00E40657" w14:paraId="39892882" w14:textId="77777777" w:rsidTr="00B15037">
        <w:tc>
          <w:tcPr>
            <w:tcW w:w="3374" w:type="dxa"/>
            <w:tcBorders>
              <w:top w:val="single" w:sz="4" w:space="0" w:color="000000"/>
              <w:left w:val="single" w:sz="4" w:space="0" w:color="000000"/>
              <w:bottom w:val="single" w:sz="4" w:space="0" w:color="000000"/>
            </w:tcBorders>
            <w:vAlign w:val="center"/>
          </w:tcPr>
          <w:p w14:paraId="326DA40A"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Plynné palivo s výjimkou zemního plynu</w:t>
            </w:r>
          </w:p>
        </w:tc>
        <w:tc>
          <w:tcPr>
            <w:tcW w:w="1417" w:type="dxa"/>
            <w:tcBorders>
              <w:top w:val="single" w:sz="4" w:space="0" w:color="000000"/>
              <w:left w:val="single" w:sz="4" w:space="0" w:color="000000"/>
              <w:bottom w:val="single" w:sz="4" w:space="0" w:color="000000"/>
              <w:right w:val="single" w:sz="4" w:space="0" w:color="000000"/>
            </w:tcBorders>
            <w:vAlign w:val="center"/>
          </w:tcPr>
          <w:p w14:paraId="333AD26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2A75B5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1967035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1FF84DC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3CC2947"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15</w:t>
            </w:r>
            <w:r w:rsidRPr="0030358C">
              <w:rPr>
                <w:rFonts w:ascii="Arial" w:hAnsi="Arial" w:cs="Arial"/>
                <w:b/>
                <w:bCs/>
                <w:sz w:val="22"/>
                <w:szCs w:val="22"/>
                <w:vertAlign w:val="superscript"/>
              </w:rPr>
              <w:t>2)</w:t>
            </w:r>
          </w:p>
        </w:tc>
        <w:tc>
          <w:tcPr>
            <w:tcW w:w="1276" w:type="dxa"/>
            <w:tcBorders>
              <w:top w:val="single" w:sz="4" w:space="0" w:color="000000"/>
              <w:left w:val="single" w:sz="4" w:space="0" w:color="000000"/>
              <w:bottom w:val="single" w:sz="4" w:space="0" w:color="000000"/>
            </w:tcBorders>
            <w:vAlign w:val="center"/>
          </w:tcPr>
          <w:p w14:paraId="1A5850C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75</w:t>
            </w:r>
          </w:p>
        </w:tc>
        <w:tc>
          <w:tcPr>
            <w:tcW w:w="1276" w:type="dxa"/>
            <w:tcBorders>
              <w:top w:val="single" w:sz="4" w:space="0" w:color="000000"/>
              <w:left w:val="single" w:sz="4" w:space="0" w:color="000000"/>
              <w:bottom w:val="single" w:sz="4" w:space="0" w:color="000000"/>
            </w:tcBorders>
            <w:vAlign w:val="center"/>
          </w:tcPr>
          <w:p w14:paraId="4920914D"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173261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r w:rsidR="00E40657" w14:paraId="6AEDEB61" w14:textId="77777777" w:rsidTr="00B15037">
        <w:tc>
          <w:tcPr>
            <w:tcW w:w="3374" w:type="dxa"/>
            <w:tcBorders>
              <w:top w:val="single" w:sz="4" w:space="0" w:color="000000"/>
              <w:left w:val="single" w:sz="4" w:space="0" w:color="000000"/>
              <w:bottom w:val="single" w:sz="4" w:space="0" w:color="000000"/>
            </w:tcBorders>
            <w:vAlign w:val="center"/>
          </w:tcPr>
          <w:p w14:paraId="5DE3C922"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Zemní plyn</w:t>
            </w:r>
          </w:p>
        </w:tc>
        <w:tc>
          <w:tcPr>
            <w:tcW w:w="1417" w:type="dxa"/>
            <w:tcBorders>
              <w:top w:val="single" w:sz="4" w:space="0" w:color="000000"/>
              <w:left w:val="single" w:sz="4" w:space="0" w:color="000000"/>
              <w:bottom w:val="single" w:sz="4" w:space="0" w:color="000000"/>
              <w:right w:val="single" w:sz="4" w:space="0" w:color="000000"/>
            </w:tcBorders>
            <w:vAlign w:val="center"/>
          </w:tcPr>
          <w:p w14:paraId="06A814B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92F718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2C22C84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4D69C78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E182BF4"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tcBorders>
            <w:vAlign w:val="center"/>
          </w:tcPr>
          <w:p w14:paraId="305B2C66"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276" w:type="dxa"/>
            <w:tcBorders>
              <w:top w:val="single" w:sz="4" w:space="0" w:color="000000"/>
              <w:left w:val="single" w:sz="4" w:space="0" w:color="000000"/>
              <w:bottom w:val="single" w:sz="4" w:space="0" w:color="000000"/>
            </w:tcBorders>
            <w:vAlign w:val="center"/>
          </w:tcPr>
          <w:p w14:paraId="34C3092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9436E5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bl>
    <w:p w14:paraId="446BE345" w14:textId="77777777" w:rsidR="008834DE" w:rsidRPr="0030358C" w:rsidRDefault="008834DE" w:rsidP="006945AD">
      <w:pPr>
        <w:spacing w:line="276" w:lineRule="auto"/>
        <w:rPr>
          <w:rFonts w:ascii="Arial" w:hAnsi="Arial" w:cs="Arial"/>
          <w:b/>
          <w:bCs/>
          <w:sz w:val="22"/>
          <w:szCs w:val="22"/>
        </w:rPr>
      </w:pPr>
    </w:p>
    <w:p w14:paraId="79FAB1CB" w14:textId="77777777" w:rsidR="006945AD" w:rsidRPr="0030358C" w:rsidRDefault="00000000" w:rsidP="006945AD">
      <w:pPr>
        <w:spacing w:line="276" w:lineRule="auto"/>
        <w:rPr>
          <w:rFonts w:ascii="Arial" w:hAnsi="Arial" w:cs="Arial"/>
          <w:b/>
          <w:bCs/>
          <w:sz w:val="22"/>
          <w:szCs w:val="22"/>
        </w:rPr>
      </w:pPr>
      <w:r w:rsidRPr="0030358C">
        <w:rPr>
          <w:rFonts w:ascii="Arial" w:hAnsi="Arial" w:cs="Arial"/>
          <w:b/>
          <w:bCs/>
          <w:sz w:val="22"/>
          <w:szCs w:val="22"/>
        </w:rPr>
        <w:t xml:space="preserve">Vysvětlivky: </w:t>
      </w:r>
    </w:p>
    <w:p w14:paraId="2183AFE2" w14:textId="77777777" w:rsidR="006945AD" w:rsidRPr="0030358C" w:rsidRDefault="00000000" w:rsidP="009972D7">
      <w:pPr>
        <w:widowControl w:val="0"/>
        <w:spacing w:line="200" w:lineRule="atLeast"/>
        <w:jc w:val="both"/>
        <w:rPr>
          <w:rFonts w:ascii="Arial" w:hAnsi="Arial" w:cs="Arial"/>
          <w:b/>
          <w:bCs/>
          <w:sz w:val="22"/>
          <w:szCs w:val="22"/>
        </w:rPr>
      </w:pPr>
      <w:r w:rsidRPr="0030358C">
        <w:rPr>
          <w:rFonts w:ascii="Arial" w:hAnsi="Arial" w:cs="Arial"/>
          <w:b/>
          <w:bCs/>
          <w:sz w:val="22"/>
          <w:szCs w:val="22"/>
          <w:lang w:eastAsia="cs-CZ"/>
        </w:rPr>
        <w:t xml:space="preserve">1) Pro turbíny o celkovém jmenovitém tepelném příkonu od 1 MW do 5 MW včetně platí emisní limit 20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lang w:eastAsia="cs-CZ"/>
        </w:rPr>
        <w:t>.</w:t>
      </w:r>
    </w:p>
    <w:p w14:paraId="53FF43BF" w14:textId="77777777" w:rsidR="006945AD" w:rsidRPr="0030358C" w:rsidRDefault="00000000" w:rsidP="009972D7">
      <w:pPr>
        <w:widowControl w:val="0"/>
        <w:spacing w:line="200" w:lineRule="atLeast"/>
        <w:jc w:val="both"/>
        <w:rPr>
          <w:rFonts w:ascii="Arial" w:hAnsi="Arial" w:cs="Arial"/>
          <w:b/>
          <w:bCs/>
          <w:sz w:val="22"/>
          <w:szCs w:val="22"/>
        </w:rPr>
      </w:pPr>
      <w:r w:rsidRPr="0030358C">
        <w:rPr>
          <w:rFonts w:ascii="Arial" w:hAnsi="Arial" w:cs="Arial"/>
          <w:b/>
          <w:bCs/>
          <w:sz w:val="22"/>
          <w:szCs w:val="22"/>
        </w:rPr>
        <w:t>2) V případě spalování bioplynu se uplatní emisní limit 40 mg.m</w:t>
      </w:r>
      <w:r w:rsidRPr="0030358C">
        <w:rPr>
          <w:rFonts w:ascii="Arial" w:hAnsi="Arial" w:cs="Arial"/>
          <w:b/>
          <w:bCs/>
          <w:sz w:val="22"/>
          <w:szCs w:val="22"/>
          <w:vertAlign w:val="superscript"/>
        </w:rPr>
        <w:t>-3</w:t>
      </w:r>
      <w:r w:rsidRPr="0030358C">
        <w:rPr>
          <w:rFonts w:ascii="Arial" w:hAnsi="Arial" w:cs="Arial"/>
          <w:b/>
          <w:bCs/>
          <w:sz w:val="22"/>
          <w:szCs w:val="22"/>
        </w:rPr>
        <w:t>.</w:t>
      </w:r>
    </w:p>
    <w:p w14:paraId="02D6DDA4" w14:textId="77777777" w:rsidR="006945AD" w:rsidRPr="0030358C" w:rsidRDefault="006945AD" w:rsidP="006945AD">
      <w:pPr>
        <w:pStyle w:val="Odstavecseseznamem1"/>
        <w:widowControl w:val="0"/>
        <w:spacing w:after="120" w:line="200" w:lineRule="atLeast"/>
        <w:ind w:left="0"/>
        <w:jc w:val="both"/>
        <w:rPr>
          <w:rFonts w:ascii="Arial" w:hAnsi="Arial" w:cs="Arial"/>
          <w:b/>
          <w:bCs/>
          <w:sz w:val="22"/>
          <w:szCs w:val="22"/>
        </w:rPr>
      </w:pPr>
    </w:p>
    <w:p w14:paraId="08019B99" w14:textId="77777777" w:rsidR="006945AD" w:rsidRPr="0030358C" w:rsidRDefault="00000000" w:rsidP="006945AD">
      <w:pPr>
        <w:pStyle w:val="Odstavecseseznamem1"/>
        <w:widowControl w:val="0"/>
        <w:spacing w:line="200" w:lineRule="atLeast"/>
        <w:ind w:hanging="720"/>
        <w:jc w:val="both"/>
        <w:outlineLvl w:val="0"/>
        <w:rPr>
          <w:rFonts w:ascii="Arial" w:hAnsi="Arial" w:cs="Arial"/>
          <w:b/>
          <w:bCs/>
          <w:sz w:val="22"/>
          <w:szCs w:val="22"/>
        </w:rPr>
      </w:pPr>
      <w:r w:rsidRPr="0030358C">
        <w:rPr>
          <w:rFonts w:ascii="Arial" w:hAnsi="Arial" w:cs="Arial"/>
          <w:b/>
          <w:bCs/>
          <w:sz w:val="22"/>
          <w:szCs w:val="22"/>
        </w:rPr>
        <w:t xml:space="preserve">Tabulka 3.3.2  - Specifické emisní limity pro stacionární zdroje uvedené do provozu před 20. prosincem 2018 </w:t>
      </w:r>
    </w:p>
    <w:p w14:paraId="40BAE6D8" w14:textId="77777777" w:rsidR="006945AD" w:rsidRPr="0030358C" w:rsidRDefault="006945AD" w:rsidP="006945AD">
      <w:pPr>
        <w:pStyle w:val="Odstavecseseznamem1"/>
        <w:widowControl w:val="0"/>
        <w:spacing w:line="200" w:lineRule="atLeast"/>
        <w:ind w:left="0"/>
        <w:jc w:val="both"/>
        <w:outlineLvl w:val="0"/>
        <w:rPr>
          <w:rFonts w:ascii="Arial" w:hAnsi="Arial" w:cs="Arial"/>
          <w:b/>
          <w:bCs/>
          <w:sz w:val="22"/>
          <w:szCs w:val="22"/>
        </w:rPr>
      </w:pPr>
    </w:p>
    <w:tbl>
      <w:tblPr>
        <w:tblW w:w="14147" w:type="dxa"/>
        <w:tblInd w:w="-5" w:type="dxa"/>
        <w:tblLayout w:type="fixed"/>
        <w:tblLook w:val="0000" w:firstRow="0" w:lastRow="0" w:firstColumn="0" w:lastColumn="0" w:noHBand="0" w:noVBand="0"/>
      </w:tblPr>
      <w:tblGrid>
        <w:gridCol w:w="3374"/>
        <w:gridCol w:w="1417"/>
        <w:gridCol w:w="1418"/>
        <w:gridCol w:w="1275"/>
        <w:gridCol w:w="1418"/>
        <w:gridCol w:w="1417"/>
        <w:gridCol w:w="1276"/>
        <w:gridCol w:w="1276"/>
        <w:gridCol w:w="1276"/>
      </w:tblGrid>
      <w:tr w:rsidR="00E40657" w14:paraId="50B93633" w14:textId="77777777" w:rsidTr="00B15037">
        <w:tc>
          <w:tcPr>
            <w:tcW w:w="3374" w:type="dxa"/>
            <w:vMerge w:val="restart"/>
            <w:tcBorders>
              <w:top w:val="single" w:sz="4" w:space="0" w:color="000000"/>
              <w:left w:val="single" w:sz="4" w:space="0" w:color="000000"/>
              <w:bottom w:val="single" w:sz="4" w:space="0" w:color="000000"/>
            </w:tcBorders>
            <w:vAlign w:val="center"/>
          </w:tcPr>
          <w:p w14:paraId="5D36C805" w14:textId="77777777" w:rsidR="006945AD" w:rsidRPr="0030358C" w:rsidRDefault="00000000" w:rsidP="00B15037">
            <w:pPr>
              <w:spacing w:line="300" w:lineRule="exact"/>
              <w:jc w:val="center"/>
              <w:rPr>
                <w:rFonts w:ascii="Arial" w:hAnsi="Arial" w:cs="Arial"/>
                <w:b/>
                <w:bCs/>
                <w:sz w:val="22"/>
                <w:szCs w:val="22"/>
              </w:rPr>
            </w:pPr>
            <w:r w:rsidRPr="0030358C">
              <w:rPr>
                <w:rFonts w:ascii="Arial" w:hAnsi="Arial" w:cs="Arial"/>
                <w:b/>
                <w:bCs/>
                <w:sz w:val="22"/>
                <w:szCs w:val="22"/>
              </w:rPr>
              <w:t>Druh paliva</w:t>
            </w:r>
          </w:p>
        </w:tc>
        <w:tc>
          <w:tcPr>
            <w:tcW w:w="10773" w:type="dxa"/>
            <w:gridSpan w:val="8"/>
            <w:tcBorders>
              <w:top w:val="single" w:sz="4" w:space="0" w:color="000000"/>
              <w:left w:val="single" w:sz="4" w:space="0" w:color="000000"/>
              <w:bottom w:val="single" w:sz="4" w:space="0" w:color="000000"/>
              <w:right w:val="single" w:sz="4" w:space="0" w:color="000000"/>
            </w:tcBorders>
          </w:tcPr>
          <w:p w14:paraId="19A4576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Specifické emisní limity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06B1A826" w14:textId="77777777" w:rsidTr="00B15037">
        <w:tc>
          <w:tcPr>
            <w:tcW w:w="3374" w:type="dxa"/>
            <w:vMerge/>
            <w:tcBorders>
              <w:top w:val="single" w:sz="4" w:space="0" w:color="000000"/>
              <w:left w:val="single" w:sz="4" w:space="0" w:color="000000"/>
              <w:bottom w:val="single" w:sz="4" w:space="0" w:color="000000"/>
            </w:tcBorders>
          </w:tcPr>
          <w:p w14:paraId="6C611612" w14:textId="77777777" w:rsidR="006945AD" w:rsidRPr="0030358C" w:rsidRDefault="006945AD" w:rsidP="00B15037">
            <w:pPr>
              <w:spacing w:line="300" w:lineRule="exact"/>
              <w:rPr>
                <w:rFonts w:ascii="Arial" w:hAnsi="Arial" w:cs="Arial"/>
                <w:b/>
                <w:bCs/>
                <w:sz w:val="22"/>
                <w:szCs w:val="22"/>
              </w:rPr>
            </w:pPr>
          </w:p>
        </w:tc>
        <w:tc>
          <w:tcPr>
            <w:tcW w:w="5528" w:type="dxa"/>
            <w:gridSpan w:val="4"/>
            <w:tcBorders>
              <w:top w:val="single" w:sz="4" w:space="0" w:color="000000"/>
              <w:left w:val="single" w:sz="4" w:space="0" w:color="000000"/>
              <w:bottom w:val="single" w:sz="4" w:space="0" w:color="000000"/>
            </w:tcBorders>
          </w:tcPr>
          <w:p w14:paraId="63989EA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&gt; 0,3 až &lt; 1 MW</w:t>
            </w:r>
          </w:p>
        </w:tc>
        <w:tc>
          <w:tcPr>
            <w:tcW w:w="5245" w:type="dxa"/>
            <w:gridSpan w:val="4"/>
            <w:tcBorders>
              <w:top w:val="single" w:sz="4" w:space="0" w:color="000000"/>
              <w:left w:val="single" w:sz="4" w:space="0" w:color="000000"/>
              <w:bottom w:val="single" w:sz="4" w:space="0" w:color="000000"/>
              <w:right w:val="single" w:sz="4" w:space="0" w:color="000000"/>
            </w:tcBorders>
          </w:tcPr>
          <w:p w14:paraId="710C7A0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1-50 MW</w:t>
            </w:r>
          </w:p>
        </w:tc>
      </w:tr>
      <w:tr w:rsidR="00E40657" w14:paraId="29AE5519" w14:textId="77777777" w:rsidTr="00B15037">
        <w:tc>
          <w:tcPr>
            <w:tcW w:w="3374" w:type="dxa"/>
            <w:vMerge/>
            <w:tcBorders>
              <w:top w:val="single" w:sz="4" w:space="0" w:color="000000"/>
              <w:left w:val="single" w:sz="4" w:space="0" w:color="000000"/>
              <w:bottom w:val="single" w:sz="4" w:space="0" w:color="000000"/>
            </w:tcBorders>
          </w:tcPr>
          <w:p w14:paraId="688C7260" w14:textId="77777777" w:rsidR="006945AD" w:rsidRPr="0030358C" w:rsidRDefault="006945AD" w:rsidP="00B15037">
            <w:pPr>
              <w:spacing w:line="300" w:lineRule="exact"/>
              <w:rPr>
                <w:rFonts w:ascii="Arial" w:hAnsi="Arial" w:cs="Arial"/>
                <w:b/>
                <w:bCs/>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6F0CAC0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418" w:type="dxa"/>
            <w:tcBorders>
              <w:top w:val="single" w:sz="4" w:space="0" w:color="000000"/>
              <w:left w:val="single" w:sz="4" w:space="0" w:color="000000"/>
              <w:bottom w:val="single" w:sz="4" w:space="0" w:color="000000"/>
            </w:tcBorders>
            <w:vAlign w:val="center"/>
          </w:tcPr>
          <w:p w14:paraId="5430A2F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5" w:type="dxa"/>
            <w:tcBorders>
              <w:top w:val="single" w:sz="4" w:space="0" w:color="000000"/>
              <w:left w:val="single" w:sz="4" w:space="0" w:color="000000"/>
              <w:bottom w:val="single" w:sz="4" w:space="0" w:color="000000"/>
              <w:right w:val="single" w:sz="4" w:space="0" w:color="000000"/>
            </w:tcBorders>
          </w:tcPr>
          <w:p w14:paraId="68E8EBD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418" w:type="dxa"/>
            <w:tcBorders>
              <w:top w:val="single" w:sz="4" w:space="0" w:color="000000"/>
              <w:left w:val="single" w:sz="4" w:space="0" w:color="000000"/>
              <w:bottom w:val="single" w:sz="4" w:space="0" w:color="000000"/>
            </w:tcBorders>
            <w:vAlign w:val="center"/>
          </w:tcPr>
          <w:p w14:paraId="4AAD937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c>
          <w:tcPr>
            <w:tcW w:w="1417" w:type="dxa"/>
            <w:tcBorders>
              <w:top w:val="single" w:sz="4" w:space="0" w:color="000000"/>
              <w:left w:val="single" w:sz="4" w:space="0" w:color="000000"/>
              <w:bottom w:val="single" w:sz="4" w:space="0" w:color="000000"/>
              <w:right w:val="single" w:sz="4" w:space="0" w:color="000000"/>
            </w:tcBorders>
          </w:tcPr>
          <w:p w14:paraId="7FFE303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1276" w:type="dxa"/>
            <w:tcBorders>
              <w:top w:val="single" w:sz="4" w:space="0" w:color="000000"/>
              <w:left w:val="single" w:sz="4" w:space="0" w:color="000000"/>
              <w:bottom w:val="single" w:sz="4" w:space="0" w:color="000000"/>
            </w:tcBorders>
            <w:vAlign w:val="center"/>
          </w:tcPr>
          <w:p w14:paraId="558B8EF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1276" w:type="dxa"/>
            <w:tcBorders>
              <w:top w:val="single" w:sz="4" w:space="0" w:color="000000"/>
              <w:left w:val="single" w:sz="4" w:space="0" w:color="000000"/>
              <w:bottom w:val="single" w:sz="4" w:space="0" w:color="000000"/>
            </w:tcBorders>
          </w:tcPr>
          <w:p w14:paraId="65F9229A"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TZL</w:t>
            </w:r>
          </w:p>
        </w:tc>
        <w:tc>
          <w:tcPr>
            <w:tcW w:w="1276" w:type="dxa"/>
            <w:tcBorders>
              <w:top w:val="single" w:sz="4" w:space="0" w:color="000000"/>
              <w:left w:val="single" w:sz="4" w:space="0" w:color="000000"/>
              <w:bottom w:val="single" w:sz="4" w:space="0" w:color="000000"/>
              <w:right w:val="single" w:sz="4" w:space="0" w:color="000000"/>
            </w:tcBorders>
            <w:vAlign w:val="center"/>
          </w:tcPr>
          <w:p w14:paraId="21B14B9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CO</w:t>
            </w:r>
          </w:p>
        </w:tc>
      </w:tr>
      <w:tr w:rsidR="00E40657" w14:paraId="442AEC0F" w14:textId="77777777" w:rsidTr="00B15037">
        <w:tc>
          <w:tcPr>
            <w:tcW w:w="3374" w:type="dxa"/>
            <w:tcBorders>
              <w:top w:val="single" w:sz="4" w:space="0" w:color="000000"/>
              <w:left w:val="single" w:sz="4" w:space="0" w:color="000000"/>
              <w:bottom w:val="single" w:sz="4" w:space="0" w:color="000000"/>
            </w:tcBorders>
            <w:vAlign w:val="center"/>
          </w:tcPr>
          <w:p w14:paraId="2003671E"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Kapalné palivo s výjimkou plynového oleje</w:t>
            </w:r>
          </w:p>
        </w:tc>
        <w:tc>
          <w:tcPr>
            <w:tcW w:w="1417" w:type="dxa"/>
            <w:tcBorders>
              <w:top w:val="single" w:sz="4" w:space="0" w:color="000000"/>
              <w:left w:val="single" w:sz="4" w:space="0" w:color="000000"/>
              <w:bottom w:val="single" w:sz="4" w:space="0" w:color="000000"/>
              <w:right w:val="single" w:sz="4" w:space="0" w:color="000000"/>
            </w:tcBorders>
            <w:vAlign w:val="center"/>
          </w:tcPr>
          <w:p w14:paraId="3D97A4D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D9CB09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7F305A5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D05A2D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C446AEB"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120</w:t>
            </w:r>
          </w:p>
        </w:tc>
        <w:tc>
          <w:tcPr>
            <w:tcW w:w="1276" w:type="dxa"/>
            <w:tcBorders>
              <w:top w:val="single" w:sz="4" w:space="0" w:color="000000"/>
              <w:left w:val="single" w:sz="4" w:space="0" w:color="000000"/>
              <w:bottom w:val="single" w:sz="4" w:space="0" w:color="000000"/>
            </w:tcBorders>
            <w:vAlign w:val="center"/>
          </w:tcPr>
          <w:p w14:paraId="47C6935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276" w:type="dxa"/>
            <w:tcBorders>
              <w:top w:val="single" w:sz="4" w:space="0" w:color="000000"/>
              <w:left w:val="single" w:sz="4" w:space="0" w:color="000000"/>
              <w:bottom w:val="single" w:sz="4" w:space="0" w:color="000000"/>
            </w:tcBorders>
            <w:vAlign w:val="center"/>
          </w:tcPr>
          <w:p w14:paraId="28101008"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10</w:t>
            </w:r>
            <w:r w:rsidRPr="0030358C">
              <w:rPr>
                <w:rFonts w:ascii="Arial" w:hAnsi="Arial" w:cs="Arial"/>
                <w:b/>
                <w:bCs/>
                <w:sz w:val="22"/>
                <w:szCs w:val="22"/>
                <w:vertAlign w:val="superscript"/>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0B43D40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r w:rsidR="00E40657" w14:paraId="31C32237" w14:textId="77777777" w:rsidTr="00B15037">
        <w:tc>
          <w:tcPr>
            <w:tcW w:w="3374" w:type="dxa"/>
            <w:tcBorders>
              <w:top w:val="single" w:sz="4" w:space="0" w:color="000000"/>
              <w:left w:val="single" w:sz="4" w:space="0" w:color="000000"/>
              <w:bottom w:val="single" w:sz="4" w:space="0" w:color="000000"/>
            </w:tcBorders>
            <w:vAlign w:val="center"/>
          </w:tcPr>
          <w:p w14:paraId="3DAEE686"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lastRenderedPageBreak/>
              <w:t>Plynový olej</w:t>
            </w:r>
          </w:p>
        </w:tc>
        <w:tc>
          <w:tcPr>
            <w:tcW w:w="1417" w:type="dxa"/>
            <w:tcBorders>
              <w:top w:val="single" w:sz="4" w:space="0" w:color="000000"/>
              <w:left w:val="single" w:sz="4" w:space="0" w:color="000000"/>
              <w:bottom w:val="single" w:sz="4" w:space="0" w:color="000000"/>
              <w:right w:val="single" w:sz="4" w:space="0" w:color="000000"/>
            </w:tcBorders>
            <w:vAlign w:val="center"/>
          </w:tcPr>
          <w:p w14:paraId="79CE6BC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7F0AC8D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300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BC744C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06A594E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94F28C2"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tcBorders>
            <w:vAlign w:val="center"/>
          </w:tcPr>
          <w:p w14:paraId="0CDB5A1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200</w:t>
            </w:r>
          </w:p>
        </w:tc>
        <w:tc>
          <w:tcPr>
            <w:tcW w:w="1276" w:type="dxa"/>
            <w:tcBorders>
              <w:top w:val="single" w:sz="4" w:space="0" w:color="000000"/>
              <w:left w:val="single" w:sz="4" w:space="0" w:color="000000"/>
              <w:bottom w:val="single" w:sz="4" w:space="0" w:color="000000"/>
            </w:tcBorders>
            <w:vAlign w:val="center"/>
          </w:tcPr>
          <w:p w14:paraId="561C065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C2CE7B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r w:rsidR="00E40657" w14:paraId="612AE82D" w14:textId="77777777" w:rsidTr="00B15037">
        <w:tc>
          <w:tcPr>
            <w:tcW w:w="3374" w:type="dxa"/>
            <w:tcBorders>
              <w:top w:val="single" w:sz="4" w:space="0" w:color="000000"/>
              <w:left w:val="single" w:sz="4" w:space="0" w:color="000000"/>
              <w:bottom w:val="single" w:sz="4" w:space="0" w:color="000000"/>
            </w:tcBorders>
            <w:vAlign w:val="center"/>
          </w:tcPr>
          <w:p w14:paraId="260468AE"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Plynné palivo s výjimkou zemního plynu</w:t>
            </w:r>
          </w:p>
        </w:tc>
        <w:tc>
          <w:tcPr>
            <w:tcW w:w="1417" w:type="dxa"/>
            <w:tcBorders>
              <w:top w:val="single" w:sz="4" w:space="0" w:color="000000"/>
              <w:left w:val="single" w:sz="4" w:space="0" w:color="000000"/>
              <w:bottom w:val="single" w:sz="4" w:space="0" w:color="000000"/>
              <w:right w:val="single" w:sz="4" w:space="0" w:color="000000"/>
            </w:tcBorders>
            <w:vAlign w:val="center"/>
          </w:tcPr>
          <w:p w14:paraId="1230A6B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6F797E18"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22E74BF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1E5A164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1156994" w14:textId="77777777" w:rsidR="006945AD" w:rsidRPr="0030358C" w:rsidRDefault="00000000" w:rsidP="00B15037">
            <w:pPr>
              <w:jc w:val="center"/>
              <w:rPr>
                <w:rFonts w:ascii="Arial" w:hAnsi="Arial" w:cs="Arial"/>
                <w:b/>
                <w:bCs/>
                <w:sz w:val="22"/>
                <w:szCs w:val="22"/>
                <w:vertAlign w:val="superscript"/>
              </w:rPr>
            </w:pPr>
            <w:r w:rsidRPr="0030358C">
              <w:rPr>
                <w:rFonts w:ascii="Arial" w:hAnsi="Arial" w:cs="Arial"/>
                <w:b/>
                <w:bCs/>
                <w:sz w:val="22"/>
                <w:szCs w:val="22"/>
              </w:rPr>
              <w:t>15</w:t>
            </w:r>
            <w:r w:rsidRPr="0030358C">
              <w:rPr>
                <w:rFonts w:ascii="Arial" w:hAnsi="Arial" w:cs="Arial"/>
                <w:b/>
                <w:bCs/>
                <w:sz w:val="22"/>
                <w:szCs w:val="22"/>
                <w:vertAlign w:val="superscript"/>
              </w:rPr>
              <w:t>2)3)</w:t>
            </w:r>
          </w:p>
        </w:tc>
        <w:tc>
          <w:tcPr>
            <w:tcW w:w="1276" w:type="dxa"/>
            <w:tcBorders>
              <w:top w:val="single" w:sz="4" w:space="0" w:color="000000"/>
              <w:left w:val="single" w:sz="4" w:space="0" w:color="000000"/>
              <w:bottom w:val="single" w:sz="4" w:space="0" w:color="000000"/>
            </w:tcBorders>
            <w:vAlign w:val="center"/>
          </w:tcPr>
          <w:p w14:paraId="2D8006B1"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276" w:type="dxa"/>
            <w:tcBorders>
              <w:top w:val="single" w:sz="4" w:space="0" w:color="000000"/>
              <w:left w:val="single" w:sz="4" w:space="0" w:color="000000"/>
              <w:bottom w:val="single" w:sz="4" w:space="0" w:color="000000"/>
            </w:tcBorders>
            <w:vAlign w:val="center"/>
          </w:tcPr>
          <w:p w14:paraId="238D896C"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7DDC067"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r w:rsidR="00E40657" w14:paraId="2F642F98" w14:textId="77777777" w:rsidTr="00B15037">
        <w:tc>
          <w:tcPr>
            <w:tcW w:w="3374" w:type="dxa"/>
            <w:tcBorders>
              <w:top w:val="single" w:sz="4" w:space="0" w:color="000000"/>
              <w:left w:val="single" w:sz="4" w:space="0" w:color="000000"/>
              <w:bottom w:val="single" w:sz="4" w:space="0" w:color="000000"/>
            </w:tcBorders>
            <w:vAlign w:val="center"/>
          </w:tcPr>
          <w:p w14:paraId="4619E3BF" w14:textId="77777777" w:rsidR="006945AD" w:rsidRPr="0030358C" w:rsidRDefault="00000000" w:rsidP="00B15037">
            <w:pPr>
              <w:spacing w:line="300" w:lineRule="exact"/>
              <w:rPr>
                <w:rFonts w:ascii="Arial" w:hAnsi="Arial" w:cs="Arial"/>
                <w:b/>
                <w:bCs/>
                <w:sz w:val="22"/>
                <w:szCs w:val="22"/>
              </w:rPr>
            </w:pPr>
            <w:r w:rsidRPr="0030358C">
              <w:rPr>
                <w:rFonts w:ascii="Arial" w:hAnsi="Arial" w:cs="Arial"/>
                <w:b/>
                <w:bCs/>
                <w:sz w:val="22"/>
                <w:szCs w:val="22"/>
              </w:rPr>
              <w:t>Zemní plyn</w:t>
            </w:r>
          </w:p>
        </w:tc>
        <w:tc>
          <w:tcPr>
            <w:tcW w:w="1417" w:type="dxa"/>
            <w:tcBorders>
              <w:top w:val="single" w:sz="4" w:space="0" w:color="000000"/>
              <w:left w:val="single" w:sz="4" w:space="0" w:color="000000"/>
              <w:bottom w:val="single" w:sz="4" w:space="0" w:color="000000"/>
              <w:right w:val="single" w:sz="4" w:space="0" w:color="000000"/>
            </w:tcBorders>
            <w:vAlign w:val="center"/>
          </w:tcPr>
          <w:p w14:paraId="6A42ED00"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248B184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250</w:t>
            </w:r>
          </w:p>
        </w:tc>
        <w:tc>
          <w:tcPr>
            <w:tcW w:w="1275" w:type="dxa"/>
            <w:tcBorders>
              <w:top w:val="single" w:sz="4" w:space="0" w:color="000000"/>
              <w:left w:val="single" w:sz="4" w:space="0" w:color="000000"/>
              <w:bottom w:val="single" w:sz="4" w:space="0" w:color="000000"/>
              <w:right w:val="single" w:sz="4" w:space="0" w:color="000000"/>
            </w:tcBorders>
            <w:vAlign w:val="center"/>
          </w:tcPr>
          <w:p w14:paraId="0730331E"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418" w:type="dxa"/>
            <w:tcBorders>
              <w:top w:val="single" w:sz="4" w:space="0" w:color="000000"/>
              <w:left w:val="single" w:sz="4" w:space="0" w:color="000000"/>
              <w:bottom w:val="single" w:sz="4" w:space="0" w:color="000000"/>
            </w:tcBorders>
            <w:vAlign w:val="center"/>
          </w:tcPr>
          <w:p w14:paraId="5F25C403"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6DD972F"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tcBorders>
            <w:vAlign w:val="center"/>
          </w:tcPr>
          <w:p w14:paraId="3DFDB5B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50</w:t>
            </w:r>
          </w:p>
        </w:tc>
        <w:tc>
          <w:tcPr>
            <w:tcW w:w="1276" w:type="dxa"/>
            <w:tcBorders>
              <w:top w:val="single" w:sz="4" w:space="0" w:color="000000"/>
              <w:left w:val="single" w:sz="4" w:space="0" w:color="000000"/>
              <w:bottom w:val="single" w:sz="4" w:space="0" w:color="000000"/>
            </w:tcBorders>
            <w:vAlign w:val="center"/>
          </w:tcPr>
          <w:p w14:paraId="49315745"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4EDBC79" w14:textId="77777777" w:rsidR="006945AD" w:rsidRPr="0030358C" w:rsidRDefault="00000000" w:rsidP="00B15037">
            <w:pPr>
              <w:jc w:val="center"/>
              <w:rPr>
                <w:rFonts w:ascii="Arial" w:hAnsi="Arial" w:cs="Arial"/>
                <w:b/>
                <w:bCs/>
                <w:sz w:val="22"/>
                <w:szCs w:val="22"/>
              </w:rPr>
            </w:pPr>
            <w:r w:rsidRPr="0030358C">
              <w:rPr>
                <w:rFonts w:ascii="Arial" w:hAnsi="Arial" w:cs="Arial"/>
                <w:b/>
                <w:bCs/>
                <w:sz w:val="22"/>
                <w:szCs w:val="22"/>
              </w:rPr>
              <w:t>100</w:t>
            </w:r>
          </w:p>
        </w:tc>
      </w:tr>
    </w:tbl>
    <w:p w14:paraId="3182B88E" w14:textId="77777777" w:rsidR="008834DE" w:rsidRPr="0030358C" w:rsidRDefault="008834DE" w:rsidP="006945AD">
      <w:pPr>
        <w:rPr>
          <w:rFonts w:ascii="Arial" w:hAnsi="Arial" w:cs="Arial"/>
          <w:b/>
          <w:bCs/>
          <w:sz w:val="22"/>
          <w:szCs w:val="22"/>
        </w:rPr>
      </w:pPr>
    </w:p>
    <w:p w14:paraId="7EEEED5C" w14:textId="77777777" w:rsidR="006945AD" w:rsidRPr="0030358C" w:rsidRDefault="00000000" w:rsidP="006945AD">
      <w:pPr>
        <w:rPr>
          <w:rFonts w:ascii="Arial" w:hAnsi="Arial" w:cs="Arial"/>
          <w:b/>
          <w:bCs/>
          <w:sz w:val="22"/>
          <w:szCs w:val="22"/>
        </w:rPr>
      </w:pPr>
      <w:r w:rsidRPr="0030358C">
        <w:rPr>
          <w:rFonts w:ascii="Arial" w:hAnsi="Arial" w:cs="Arial"/>
          <w:b/>
          <w:bCs/>
          <w:sz w:val="22"/>
          <w:szCs w:val="22"/>
        </w:rPr>
        <w:t xml:space="preserve">Vysvětlivky: </w:t>
      </w:r>
    </w:p>
    <w:p w14:paraId="2F14D118" w14:textId="77777777" w:rsidR="006945AD" w:rsidRPr="0030358C" w:rsidRDefault="00000000" w:rsidP="009972D7">
      <w:pPr>
        <w:widowControl w:val="0"/>
        <w:jc w:val="both"/>
        <w:outlineLvl w:val="0"/>
        <w:rPr>
          <w:rFonts w:ascii="Arial" w:hAnsi="Arial" w:cs="Arial"/>
          <w:b/>
          <w:bCs/>
          <w:sz w:val="22"/>
          <w:szCs w:val="22"/>
        </w:rPr>
      </w:pPr>
      <w:r w:rsidRPr="0030358C">
        <w:rPr>
          <w:rFonts w:ascii="Arial" w:hAnsi="Arial" w:cs="Arial"/>
          <w:b/>
          <w:bCs/>
          <w:sz w:val="22"/>
          <w:szCs w:val="22"/>
          <w:lang w:eastAsia="cs-CZ"/>
        </w:rPr>
        <w:t xml:space="preserve">1) Pro turbíny o celkovém jmenovitém tepelném příkonu 1 MW nebo vyšším a nepřevyšujícím 20 MW platí emisní limit 20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lang w:eastAsia="cs-CZ"/>
        </w:rPr>
        <w:t>.</w:t>
      </w:r>
    </w:p>
    <w:p w14:paraId="4CA64422" w14:textId="77777777" w:rsidR="006945AD" w:rsidRPr="0030358C" w:rsidRDefault="00000000" w:rsidP="009972D7">
      <w:pPr>
        <w:widowControl w:val="0"/>
        <w:jc w:val="both"/>
        <w:outlineLvl w:val="0"/>
        <w:rPr>
          <w:rFonts w:ascii="Arial" w:hAnsi="Arial" w:cs="Arial"/>
          <w:b/>
          <w:bCs/>
          <w:sz w:val="22"/>
          <w:szCs w:val="22"/>
        </w:rPr>
      </w:pPr>
      <w:r w:rsidRPr="0030358C">
        <w:rPr>
          <w:rFonts w:ascii="Arial" w:hAnsi="Arial" w:cs="Arial"/>
          <w:b/>
          <w:bCs/>
          <w:sz w:val="22"/>
          <w:szCs w:val="22"/>
          <w:lang w:eastAsia="cs-CZ"/>
        </w:rPr>
        <w:t xml:space="preserve">2) V případě spalování bioplynu platí emisní limit 60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rPr>
        <w:t>.</w:t>
      </w:r>
    </w:p>
    <w:p w14:paraId="2190B1F5" w14:textId="77777777" w:rsidR="006945AD" w:rsidRPr="0030358C" w:rsidRDefault="00000000" w:rsidP="009972D7">
      <w:pPr>
        <w:spacing w:after="200"/>
        <w:jc w:val="both"/>
        <w:rPr>
          <w:rFonts w:ascii="Arial" w:eastAsia="Calibri" w:hAnsi="Arial" w:cs="Arial"/>
          <w:b/>
          <w:bCs/>
          <w:sz w:val="22"/>
          <w:szCs w:val="22"/>
        </w:rPr>
      </w:pPr>
      <w:r w:rsidRPr="0030358C">
        <w:rPr>
          <w:rFonts w:ascii="Arial" w:hAnsi="Arial" w:cs="Arial"/>
          <w:b/>
          <w:bCs/>
          <w:sz w:val="22"/>
          <w:szCs w:val="22"/>
          <w:lang w:eastAsia="cs-CZ"/>
        </w:rPr>
        <w:t xml:space="preserve">3) V případě spalování nízkovýhřevných plynů z koksárenských pecí platí emisní limit 130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lang w:eastAsia="cs-CZ"/>
        </w:rPr>
        <w:t xml:space="preserve"> a v případě spalování nízkovýhřevných plynů z vysokých pecí v železářském a ocelářském průmyslu platí emisní limit 65 </w:t>
      </w:r>
      <w:r w:rsidRPr="0030358C">
        <w:rPr>
          <w:rFonts w:ascii="Arial" w:hAnsi="Arial" w:cs="Arial"/>
          <w:b/>
          <w:bCs/>
          <w:sz w:val="22"/>
          <w:szCs w:val="22"/>
        </w:rPr>
        <w:t>mg.m</w:t>
      </w:r>
      <w:r w:rsidRPr="0030358C">
        <w:rPr>
          <w:rFonts w:ascii="Arial" w:hAnsi="Arial" w:cs="Arial"/>
          <w:b/>
          <w:bCs/>
          <w:sz w:val="22"/>
          <w:szCs w:val="22"/>
          <w:vertAlign w:val="superscript"/>
        </w:rPr>
        <w:t>-3</w:t>
      </w:r>
      <w:r w:rsidRPr="0030358C">
        <w:rPr>
          <w:rFonts w:ascii="Arial" w:hAnsi="Arial" w:cs="Arial"/>
          <w:b/>
          <w:bCs/>
          <w:sz w:val="22"/>
          <w:szCs w:val="22"/>
        </w:rPr>
        <w:t>.</w:t>
      </w:r>
    </w:p>
    <w:bookmarkEnd w:id="42"/>
    <w:p w14:paraId="4707C32B" w14:textId="77777777" w:rsidR="006945AD" w:rsidRPr="0030358C" w:rsidRDefault="006945AD" w:rsidP="006945AD">
      <w:pPr>
        <w:rPr>
          <w:rFonts w:ascii="Arial" w:hAnsi="Arial" w:cs="Arial"/>
          <w:b/>
          <w:bCs/>
          <w:sz w:val="22"/>
          <w:szCs w:val="22"/>
        </w:rPr>
      </w:pPr>
    </w:p>
    <w:p w14:paraId="0FD7272F" w14:textId="77777777" w:rsidR="006945AD" w:rsidRPr="0030358C" w:rsidRDefault="006945AD" w:rsidP="006945AD">
      <w:pPr>
        <w:rPr>
          <w:rFonts w:ascii="Arial" w:hAnsi="Arial" w:cs="Arial"/>
          <w:b/>
          <w:bCs/>
          <w:sz w:val="22"/>
          <w:szCs w:val="22"/>
        </w:rPr>
      </w:pPr>
    </w:p>
    <w:p w14:paraId="4C06F264" w14:textId="77777777" w:rsidR="006945AD" w:rsidRPr="0030358C" w:rsidRDefault="006945AD" w:rsidP="006945AD">
      <w:pPr>
        <w:rPr>
          <w:rFonts w:ascii="Arial" w:hAnsi="Arial" w:cs="Arial"/>
          <w:b/>
          <w:bCs/>
          <w:sz w:val="22"/>
          <w:szCs w:val="22"/>
        </w:rPr>
        <w:sectPr w:rsidR="006945AD" w:rsidRPr="0030358C" w:rsidSect="00D804A3">
          <w:type w:val="continuous"/>
          <w:pgSz w:w="16838" w:h="11906" w:orient="landscape" w:code="9"/>
          <w:pgMar w:top="1418" w:right="1418" w:bottom="1134" w:left="1418" w:header="709" w:footer="709" w:gutter="0"/>
          <w:cols w:space="708"/>
        </w:sectPr>
      </w:pPr>
    </w:p>
    <w:p w14:paraId="418DC8A2" w14:textId="77777777" w:rsidR="006945AD" w:rsidRPr="0030358C" w:rsidRDefault="00000000" w:rsidP="006945AD">
      <w:pPr>
        <w:spacing w:before="60" w:line="300" w:lineRule="exact"/>
        <w:jc w:val="center"/>
        <w:outlineLvl w:val="0"/>
        <w:rPr>
          <w:rFonts w:ascii="Arial" w:hAnsi="Arial" w:cs="Arial"/>
          <w:b/>
          <w:bCs/>
          <w:sz w:val="22"/>
          <w:szCs w:val="22"/>
        </w:rPr>
      </w:pPr>
      <w:r w:rsidRPr="0030358C">
        <w:rPr>
          <w:rFonts w:ascii="Arial" w:hAnsi="Arial" w:cs="Arial"/>
          <w:b/>
          <w:bCs/>
          <w:sz w:val="22"/>
          <w:szCs w:val="22"/>
        </w:rPr>
        <w:lastRenderedPageBreak/>
        <w:t>Část III</w:t>
      </w:r>
    </w:p>
    <w:p w14:paraId="7756D4AD" w14:textId="77777777" w:rsidR="006945AD" w:rsidRPr="0030358C" w:rsidRDefault="00000000" w:rsidP="006945AD">
      <w:pPr>
        <w:spacing w:before="60" w:line="300" w:lineRule="exact"/>
        <w:jc w:val="center"/>
        <w:rPr>
          <w:rFonts w:ascii="Arial" w:hAnsi="Arial" w:cs="Arial"/>
          <w:b/>
          <w:bCs/>
          <w:sz w:val="22"/>
          <w:szCs w:val="22"/>
        </w:rPr>
      </w:pPr>
      <w:r w:rsidRPr="0030358C">
        <w:rPr>
          <w:rFonts w:ascii="Arial" w:hAnsi="Arial" w:cs="Arial"/>
          <w:b/>
          <w:bCs/>
          <w:sz w:val="22"/>
          <w:szCs w:val="22"/>
        </w:rPr>
        <w:t>Specifické emisní limity pro spalovací stacionární zdroje ke spalování více druhů paliv</w:t>
      </w:r>
    </w:p>
    <w:p w14:paraId="5929EB47" w14:textId="77777777" w:rsidR="006945AD" w:rsidRPr="0030358C" w:rsidRDefault="006945AD" w:rsidP="006945AD">
      <w:pPr>
        <w:spacing w:before="60" w:line="300" w:lineRule="exact"/>
        <w:rPr>
          <w:rFonts w:ascii="Arial" w:hAnsi="Arial" w:cs="Arial"/>
          <w:b/>
          <w:bCs/>
          <w:sz w:val="22"/>
          <w:szCs w:val="22"/>
        </w:rPr>
      </w:pPr>
    </w:p>
    <w:p w14:paraId="3833FB81" w14:textId="77777777" w:rsidR="006945AD" w:rsidRPr="0030358C" w:rsidRDefault="00000000" w:rsidP="006945AD">
      <w:pPr>
        <w:widowControl w:val="0"/>
        <w:spacing w:before="60" w:line="300" w:lineRule="exact"/>
        <w:jc w:val="both"/>
        <w:rPr>
          <w:rFonts w:ascii="Arial" w:hAnsi="Arial" w:cs="Arial"/>
          <w:b/>
          <w:bCs/>
          <w:sz w:val="22"/>
          <w:szCs w:val="22"/>
        </w:rPr>
      </w:pPr>
      <w:r w:rsidRPr="0030358C">
        <w:rPr>
          <w:rFonts w:ascii="Arial" w:hAnsi="Arial" w:cs="Arial"/>
          <w:b/>
          <w:bCs/>
          <w:sz w:val="22"/>
          <w:szCs w:val="22"/>
        </w:rPr>
        <w:t>1. U spalovacího stacionárního zdroje používajícího současně dva nebo více druhů paliv se stanoví hodnoty specifických emisních limitů následujícím postupem:</w:t>
      </w:r>
    </w:p>
    <w:p w14:paraId="3D444F3E" w14:textId="77777777" w:rsidR="006945AD" w:rsidRPr="0030358C" w:rsidRDefault="00000000" w:rsidP="006945AD">
      <w:pPr>
        <w:widowControl w:val="0"/>
        <w:spacing w:before="60" w:line="300" w:lineRule="exact"/>
        <w:ind w:left="567" w:hanging="283"/>
        <w:jc w:val="both"/>
        <w:rPr>
          <w:rFonts w:ascii="Arial" w:hAnsi="Arial" w:cs="Arial"/>
          <w:b/>
          <w:bCs/>
          <w:sz w:val="22"/>
          <w:szCs w:val="22"/>
        </w:rPr>
      </w:pPr>
      <w:r w:rsidRPr="0030358C">
        <w:rPr>
          <w:rFonts w:ascii="Arial" w:hAnsi="Arial" w:cs="Arial"/>
          <w:b/>
          <w:bCs/>
          <w:sz w:val="22"/>
          <w:szCs w:val="22"/>
        </w:rPr>
        <w:t>a) přiřadí se hodnota specifického emisního limitu odpovídající každému jednotlivému palivu a znečišťující látce v závislosti na celkovém jmenovitém tepelném příkonu spalovacích stacionárních zdrojů,</w:t>
      </w:r>
    </w:p>
    <w:p w14:paraId="00A0CD07" w14:textId="77777777" w:rsidR="006945AD" w:rsidRPr="0030358C" w:rsidRDefault="00000000" w:rsidP="006945AD">
      <w:pPr>
        <w:widowControl w:val="0"/>
        <w:spacing w:before="60" w:line="300" w:lineRule="exact"/>
        <w:ind w:left="567" w:hanging="283"/>
        <w:jc w:val="both"/>
        <w:rPr>
          <w:rFonts w:ascii="Arial" w:hAnsi="Arial" w:cs="Arial"/>
          <w:b/>
          <w:bCs/>
          <w:sz w:val="22"/>
          <w:szCs w:val="22"/>
        </w:rPr>
      </w:pPr>
      <w:r w:rsidRPr="0030358C">
        <w:rPr>
          <w:rFonts w:ascii="Arial" w:hAnsi="Arial" w:cs="Arial"/>
          <w:b/>
          <w:bCs/>
          <w:sz w:val="22"/>
          <w:szCs w:val="22"/>
        </w:rPr>
        <w:t>b) následně se určí vážené hodnoty specifických emisních limitů podle jednotlivých druhů paliv, a to tak, že jednotlivé hodnoty specifických emisních limitů se vynásobí tepelným příkonem každého paliva a tento součin se vydělí součtem tepelných příkonů dodaných všemi palivy, a</w:t>
      </w:r>
    </w:p>
    <w:p w14:paraId="33E62E4E" w14:textId="77777777" w:rsidR="006945AD" w:rsidRPr="0030358C" w:rsidRDefault="00000000" w:rsidP="006945AD">
      <w:pPr>
        <w:widowControl w:val="0"/>
        <w:spacing w:before="60" w:line="300" w:lineRule="exact"/>
        <w:ind w:left="284"/>
        <w:jc w:val="both"/>
        <w:rPr>
          <w:rFonts w:ascii="Arial" w:hAnsi="Arial" w:cs="Arial"/>
          <w:b/>
          <w:bCs/>
          <w:sz w:val="22"/>
          <w:szCs w:val="22"/>
        </w:rPr>
      </w:pPr>
      <w:r w:rsidRPr="0030358C">
        <w:rPr>
          <w:rFonts w:ascii="Arial" w:hAnsi="Arial" w:cs="Arial"/>
          <w:b/>
          <w:bCs/>
          <w:sz w:val="22"/>
          <w:szCs w:val="22"/>
        </w:rPr>
        <w:t>c) sečtou se vážené hodnoty specifických emisních limitů pro jednotlivá paliva.</w:t>
      </w:r>
    </w:p>
    <w:p w14:paraId="208B38FC" w14:textId="77777777" w:rsidR="006945AD" w:rsidRPr="0030358C" w:rsidRDefault="00000000" w:rsidP="006945AD">
      <w:pPr>
        <w:widowControl w:val="0"/>
        <w:spacing w:before="60" w:line="300" w:lineRule="exact"/>
        <w:jc w:val="both"/>
        <w:rPr>
          <w:rFonts w:ascii="Arial" w:hAnsi="Arial" w:cs="Arial"/>
          <w:b/>
          <w:bCs/>
          <w:sz w:val="22"/>
          <w:szCs w:val="22"/>
        </w:rPr>
      </w:pPr>
      <w:r w:rsidRPr="0030358C">
        <w:rPr>
          <w:rFonts w:ascii="Arial" w:hAnsi="Arial" w:cs="Arial"/>
          <w:b/>
          <w:bCs/>
          <w:sz w:val="22"/>
          <w:szCs w:val="22"/>
        </w:rPr>
        <w:t>2. U spalovacího stacionárního zdroje spalujícího více druhů paliv, ve kterém se používají zbytky z destilace a zpracování ropy samostatně nebo s jinými druhy paliv pro vlastní spotřebu, platí bez ohledu na ustanovení bodu 1 požadavky na spalování paliva s nejvyšším specifickým emisním limitem, pokud během provozu stacionárního zdroje činí podíl, jímž přispívá toto palivo k souhrnu tepelných příkonů dodaných všemi palivy, alespoň 50 %. Je-li podíl tohoto paliva nižší než 50 %, stanoví se hodnota specifického emisního limitu na základě poměrného podílu tepelného příkonu zabezpečeného jednotlivými palivy na součtu tepelných příkonů všech paliv následujícím postupem:</w:t>
      </w:r>
    </w:p>
    <w:p w14:paraId="1815E7F0" w14:textId="77777777" w:rsidR="006945AD" w:rsidRPr="0030358C" w:rsidRDefault="00000000" w:rsidP="006945AD">
      <w:pPr>
        <w:widowControl w:val="0"/>
        <w:spacing w:before="60" w:line="300" w:lineRule="exact"/>
        <w:ind w:left="567" w:hanging="283"/>
        <w:jc w:val="both"/>
        <w:rPr>
          <w:rFonts w:ascii="Arial" w:hAnsi="Arial" w:cs="Arial"/>
          <w:b/>
          <w:bCs/>
          <w:sz w:val="22"/>
          <w:szCs w:val="22"/>
        </w:rPr>
      </w:pPr>
      <w:r w:rsidRPr="0030358C">
        <w:rPr>
          <w:rFonts w:ascii="Arial" w:hAnsi="Arial" w:cs="Arial"/>
          <w:b/>
          <w:bCs/>
          <w:sz w:val="22"/>
          <w:szCs w:val="22"/>
        </w:rPr>
        <w:t>a) přiřadí se hodnota specifického emisního limitu odpovídající každému jednotlivému palivu a odpovídající znečišťující látce v závislosti na celkovém jmenovitém tepelném příkonu spalovacích stacionárních zdrojů,</w:t>
      </w:r>
    </w:p>
    <w:p w14:paraId="1B6FAFDA" w14:textId="77777777" w:rsidR="006945AD" w:rsidRPr="0030358C" w:rsidRDefault="00000000" w:rsidP="006945AD">
      <w:pPr>
        <w:widowControl w:val="0"/>
        <w:spacing w:before="60" w:line="300" w:lineRule="exact"/>
        <w:ind w:left="567" w:hanging="283"/>
        <w:jc w:val="both"/>
        <w:rPr>
          <w:rFonts w:ascii="Arial" w:hAnsi="Arial" w:cs="Arial"/>
          <w:b/>
          <w:bCs/>
          <w:sz w:val="22"/>
          <w:szCs w:val="22"/>
        </w:rPr>
      </w:pPr>
      <w:r w:rsidRPr="0030358C">
        <w:rPr>
          <w:rFonts w:ascii="Arial" w:hAnsi="Arial" w:cs="Arial"/>
          <w:b/>
          <w:bCs/>
          <w:sz w:val="22"/>
          <w:szCs w:val="22"/>
        </w:rPr>
        <w:t>b) následně se vypočte hodnota specifického emisního limitu pro palivo s nejvyšší hodnotou specifického emisního limitu a v případě dvou druhů paliv se stejnou hodnotou specifického emisního limitu, palivo s vyšším tepelným příkonem (dále jen „směrodatné palivo“); tato hodnota se získá vynásobením hodnoty specifického emisního limitu příslušného paliva dvěma a od tohoto součinu se odečte hodnota specifického emisního limitu paliva s nejnižší hodnotou specifického emisního limitu,</w:t>
      </w:r>
    </w:p>
    <w:p w14:paraId="26BA0F3B" w14:textId="77777777" w:rsidR="006945AD" w:rsidRPr="0030358C" w:rsidRDefault="00000000" w:rsidP="006945AD">
      <w:pPr>
        <w:widowControl w:val="0"/>
        <w:spacing w:before="60" w:line="300" w:lineRule="exact"/>
        <w:ind w:left="567" w:hanging="283"/>
        <w:jc w:val="both"/>
        <w:rPr>
          <w:rFonts w:ascii="Arial" w:hAnsi="Arial" w:cs="Arial"/>
          <w:b/>
          <w:bCs/>
          <w:sz w:val="22"/>
          <w:szCs w:val="22"/>
        </w:rPr>
      </w:pPr>
      <w:r w:rsidRPr="0030358C">
        <w:rPr>
          <w:rFonts w:ascii="Arial" w:hAnsi="Arial" w:cs="Arial"/>
          <w:b/>
          <w:bCs/>
          <w:sz w:val="22"/>
          <w:szCs w:val="22"/>
        </w:rPr>
        <w:t>c) následně se určí vážené hodnoty specifických emisních limitů pro jednotlivá paliva, které se získají vynásobením vypočtené hodnoty specifického emisního limitu paliva tepelným příkonem směrodatného paliva, a další jednotlivé hodnoty specifických emisních limitů se vynásobí tepelným příkonem dodaným každým palivem a výsledek násobení se podělí součtem tepelných příkonů dodaných všemi palivy, a</w:t>
      </w:r>
    </w:p>
    <w:p w14:paraId="4AE72223" w14:textId="77777777" w:rsidR="006945AD" w:rsidRPr="0030358C" w:rsidRDefault="00000000" w:rsidP="006945AD">
      <w:pPr>
        <w:widowControl w:val="0"/>
        <w:spacing w:before="60" w:line="300" w:lineRule="exact"/>
        <w:ind w:left="567" w:hanging="283"/>
        <w:jc w:val="both"/>
        <w:rPr>
          <w:rFonts w:ascii="Arial" w:hAnsi="Arial" w:cs="Arial"/>
          <w:b/>
          <w:bCs/>
          <w:sz w:val="22"/>
          <w:szCs w:val="22"/>
        </w:rPr>
      </w:pPr>
      <w:r w:rsidRPr="0030358C">
        <w:rPr>
          <w:rFonts w:ascii="Arial" w:hAnsi="Arial" w:cs="Arial"/>
          <w:b/>
          <w:bCs/>
          <w:sz w:val="22"/>
          <w:szCs w:val="22"/>
        </w:rPr>
        <w:t>d) sečtou se vážené hodnoty specifických emisních limitů pro jednotlivá paliva.</w:t>
      </w:r>
    </w:p>
    <w:p w14:paraId="201576CA" w14:textId="77777777" w:rsidR="006945AD" w:rsidRPr="0030358C" w:rsidRDefault="00000000" w:rsidP="006945AD">
      <w:pPr>
        <w:widowControl w:val="0"/>
        <w:spacing w:before="120" w:line="300" w:lineRule="exact"/>
        <w:ind w:left="284"/>
        <w:jc w:val="both"/>
        <w:rPr>
          <w:rFonts w:ascii="Arial" w:hAnsi="Arial" w:cs="Arial"/>
          <w:b/>
          <w:bCs/>
          <w:color w:val="000000"/>
          <w:sz w:val="22"/>
          <w:szCs w:val="22"/>
          <w:lang w:eastAsia="cs-CZ"/>
        </w:rPr>
      </w:pPr>
      <w:r w:rsidRPr="0030358C">
        <w:rPr>
          <w:rFonts w:ascii="Arial" w:hAnsi="Arial" w:cs="Arial"/>
          <w:b/>
          <w:bCs/>
          <w:sz w:val="22"/>
          <w:szCs w:val="22"/>
        </w:rPr>
        <w:t xml:space="preserve">Ustanovení tohoto bodu nelze použít u stacionárních zdrojů o celkovém jmenovitém tepelném příkonu nižším než 50 MW a dále u stacionárních zdrojů, pro něž byla podána kompletní žádost o povolení provozu 7. ledna 2013 nebo později nebo které byly uvedeny do provozu po 7. lednu 2014 bez ohledu na datum podání žádosti o povolení provozu; </w:t>
      </w:r>
      <w:r w:rsidRPr="0030358C">
        <w:rPr>
          <w:rFonts w:ascii="Arial" w:hAnsi="Arial" w:cs="Arial"/>
          <w:b/>
          <w:bCs/>
          <w:color w:val="000000"/>
          <w:sz w:val="22"/>
          <w:szCs w:val="22"/>
          <w:lang w:eastAsia="cs-CZ"/>
        </w:rPr>
        <w:t>u těchto zdrojů se postupuje podle bodu 1.</w:t>
      </w:r>
    </w:p>
    <w:p w14:paraId="727AEBE9" w14:textId="77777777" w:rsidR="006945AD" w:rsidRPr="0030358C" w:rsidRDefault="006945AD" w:rsidP="006945AD">
      <w:pPr>
        <w:widowControl w:val="0"/>
        <w:spacing w:before="120" w:line="300" w:lineRule="exact"/>
        <w:ind w:left="284"/>
        <w:jc w:val="both"/>
        <w:rPr>
          <w:rFonts w:ascii="Arial" w:hAnsi="Arial" w:cs="Arial"/>
          <w:b/>
          <w:bCs/>
          <w:sz w:val="22"/>
          <w:szCs w:val="22"/>
        </w:rPr>
      </w:pPr>
    </w:p>
    <w:p w14:paraId="70B94340" w14:textId="77777777" w:rsidR="006945AD" w:rsidRPr="0030358C" w:rsidRDefault="00000000" w:rsidP="006945AD">
      <w:pPr>
        <w:widowControl w:val="0"/>
        <w:spacing w:before="60" w:line="300" w:lineRule="exact"/>
        <w:jc w:val="both"/>
        <w:rPr>
          <w:rFonts w:ascii="Arial" w:hAnsi="Arial" w:cs="Arial"/>
          <w:b/>
          <w:bCs/>
          <w:sz w:val="22"/>
          <w:szCs w:val="22"/>
        </w:rPr>
      </w:pPr>
      <w:r w:rsidRPr="0030358C">
        <w:rPr>
          <w:rFonts w:ascii="Arial" w:hAnsi="Arial" w:cs="Arial"/>
          <w:b/>
          <w:bCs/>
          <w:sz w:val="22"/>
          <w:szCs w:val="22"/>
        </w:rPr>
        <w:t>3. Alternativně k bodu 2 lze pro oxid siřičitý použít následující průměrné hodnoty specifických emisních limitů</w:t>
      </w:r>
      <w:r w:rsidR="00626AC3" w:rsidRPr="0030358C">
        <w:rPr>
          <w:rFonts w:ascii="Arial" w:hAnsi="Arial" w:cs="Arial"/>
          <w:b/>
          <w:bCs/>
          <w:sz w:val="22"/>
          <w:szCs w:val="22"/>
        </w:rPr>
        <w:t xml:space="preserve">, </w:t>
      </w:r>
      <w:r w:rsidRPr="0030358C">
        <w:rPr>
          <w:rFonts w:ascii="Arial" w:hAnsi="Arial" w:cs="Arial"/>
          <w:b/>
          <w:bCs/>
          <w:sz w:val="22"/>
          <w:szCs w:val="22"/>
        </w:rPr>
        <w:t>bez ohledu na použitou kombinaci paliv:</w:t>
      </w:r>
    </w:p>
    <w:p w14:paraId="0E55E6F6" w14:textId="77777777" w:rsidR="006945AD" w:rsidRPr="0030358C" w:rsidRDefault="00000000" w:rsidP="006945AD">
      <w:pPr>
        <w:widowControl w:val="0"/>
        <w:spacing w:before="120" w:line="300" w:lineRule="exact"/>
        <w:ind w:left="568" w:hanging="284"/>
        <w:jc w:val="both"/>
        <w:rPr>
          <w:rFonts w:ascii="Arial" w:hAnsi="Arial" w:cs="Arial"/>
          <w:b/>
          <w:bCs/>
          <w:sz w:val="22"/>
          <w:szCs w:val="22"/>
        </w:rPr>
      </w:pPr>
      <w:r w:rsidRPr="0030358C">
        <w:rPr>
          <w:rFonts w:ascii="Arial" w:hAnsi="Arial" w:cs="Arial"/>
          <w:b/>
          <w:bCs/>
          <w:sz w:val="22"/>
          <w:szCs w:val="22"/>
        </w:rPr>
        <w:t>a) 1000 mg.m</w:t>
      </w:r>
      <w:r w:rsidRPr="0030358C">
        <w:rPr>
          <w:rFonts w:ascii="Arial" w:hAnsi="Arial" w:cs="Arial"/>
          <w:b/>
          <w:bCs/>
          <w:sz w:val="22"/>
          <w:szCs w:val="22"/>
          <w:vertAlign w:val="superscript"/>
        </w:rPr>
        <w:t>-3</w:t>
      </w:r>
      <w:r w:rsidRPr="0030358C">
        <w:rPr>
          <w:rFonts w:ascii="Arial" w:hAnsi="Arial" w:cs="Arial"/>
          <w:b/>
          <w:bCs/>
          <w:sz w:val="22"/>
          <w:szCs w:val="22"/>
        </w:rPr>
        <w:t xml:space="preserve"> pro spalovací stacionární zdroje v rámci rafinerie využívající zbytky z destilace a zpracování ropy samostatně nebo s jinými druhy paliv pro vlastní spotřebu, kterým bylo uděleno první povolení před 27. listopadem 2002 nebo jejichž provozovatel před tímto datem podal úplnou žádost o povolení a které byly uvedeny do provozu nejpozději 27. listopadu 2003</w:t>
      </w:r>
      <w:r w:rsidR="00A77F9C" w:rsidRPr="0030358C">
        <w:rPr>
          <w:rFonts w:ascii="Arial" w:hAnsi="Arial" w:cs="Arial"/>
          <w:b/>
          <w:bCs/>
          <w:sz w:val="22"/>
          <w:szCs w:val="22"/>
        </w:rPr>
        <w:t>,</w:t>
      </w:r>
      <w:r w:rsidRPr="0030358C">
        <w:rPr>
          <w:rFonts w:ascii="Arial" w:hAnsi="Arial" w:cs="Arial"/>
          <w:b/>
          <w:bCs/>
          <w:sz w:val="22"/>
          <w:szCs w:val="22"/>
        </w:rPr>
        <w:t xml:space="preserve"> nebo</w:t>
      </w:r>
    </w:p>
    <w:p w14:paraId="108A36D3" w14:textId="77777777" w:rsidR="006945AD" w:rsidRPr="0030358C" w:rsidRDefault="00000000" w:rsidP="006945AD">
      <w:pPr>
        <w:spacing w:before="120"/>
        <w:ind w:left="568" w:hanging="284"/>
        <w:jc w:val="both"/>
        <w:rPr>
          <w:rFonts w:ascii="Arial" w:hAnsi="Arial" w:cs="Arial"/>
          <w:b/>
          <w:bCs/>
          <w:sz w:val="22"/>
          <w:szCs w:val="22"/>
        </w:rPr>
      </w:pPr>
      <w:r w:rsidRPr="0030358C">
        <w:rPr>
          <w:rFonts w:ascii="Arial" w:hAnsi="Arial" w:cs="Arial"/>
          <w:b/>
          <w:bCs/>
          <w:sz w:val="22"/>
          <w:szCs w:val="22"/>
        </w:rPr>
        <w:t>b) 600 mg.m</w:t>
      </w:r>
      <w:r w:rsidRPr="0030358C">
        <w:rPr>
          <w:rFonts w:ascii="Arial" w:hAnsi="Arial" w:cs="Arial"/>
          <w:b/>
          <w:bCs/>
          <w:sz w:val="22"/>
          <w:szCs w:val="22"/>
          <w:vertAlign w:val="superscript"/>
        </w:rPr>
        <w:t>-3</w:t>
      </w:r>
      <w:r w:rsidRPr="0030358C">
        <w:rPr>
          <w:rFonts w:ascii="Arial" w:hAnsi="Arial" w:cs="Arial"/>
          <w:b/>
          <w:bCs/>
          <w:sz w:val="22"/>
          <w:szCs w:val="22"/>
        </w:rPr>
        <w:t xml:space="preserve"> pro ostatní spalovací stacionární zdroje v rámci rafinerie využívající zbytky z destilace a zpracování ropy samostatně nebo s jinými druhy paliv pro vlastní spotřebu.</w:t>
      </w:r>
    </w:p>
    <w:p w14:paraId="2165ECC2" w14:textId="77777777" w:rsidR="006945AD" w:rsidRPr="0030358C" w:rsidRDefault="006945AD" w:rsidP="006945AD">
      <w:pPr>
        <w:ind w:left="142"/>
        <w:jc w:val="both"/>
        <w:rPr>
          <w:rFonts w:ascii="Arial" w:hAnsi="Arial" w:cs="Arial"/>
          <w:b/>
          <w:bCs/>
          <w:sz w:val="22"/>
          <w:szCs w:val="22"/>
        </w:rPr>
      </w:pPr>
    </w:p>
    <w:p w14:paraId="5E38997A"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 xml:space="preserve">Tyto emisní limity jsou vztaženy na normální stavové podmínky a suchý plyn při referenčním obsahu kyslíku v odpadním plynu 6 % v případě pevných paliv a 3 % v případě kapalných a plynných paliv. </w:t>
      </w:r>
    </w:p>
    <w:p w14:paraId="3C64D6B4"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Ustanovení tohoto bodu nelze použít u plynových turbín a plynových motorů a dále u stacionárních zdrojů, pro něž byla podána kompletní žádost o povolení provozu 7. ledna 2013 nebo později nebo které byly uvedeny do provozu po 7. lednu 2014 bez ohledu na datum podání žádosti o povolení provozu.</w:t>
      </w:r>
    </w:p>
    <w:p w14:paraId="038D9B20"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Po 1. 1. 2025 nelze ustanovení tohoto bodu použít u stacionárních zdrojů o celkovém jmenovitém tepelném příkonu nižším než 5 MW a po 1. 1. 2030 u stacionárních zdrojů o celkovém jmenovitém tepelném příkonu od 5 MW do 50 MW.</w:t>
      </w:r>
    </w:p>
    <w:p w14:paraId="6A84C508" w14:textId="77777777" w:rsidR="006945AD" w:rsidRPr="0030358C" w:rsidRDefault="006945AD" w:rsidP="006945AD">
      <w:pPr>
        <w:rPr>
          <w:rFonts w:ascii="Arial" w:hAnsi="Arial" w:cs="Arial"/>
          <w:b/>
          <w:bCs/>
          <w:sz w:val="22"/>
          <w:szCs w:val="22"/>
        </w:rPr>
      </w:pPr>
    </w:p>
    <w:p w14:paraId="0287BCC5" w14:textId="77777777" w:rsidR="006945AD" w:rsidRPr="0030358C" w:rsidRDefault="00000000" w:rsidP="006945AD">
      <w:pPr>
        <w:widowControl w:val="0"/>
        <w:spacing w:before="60" w:line="300" w:lineRule="exact"/>
        <w:ind w:left="142"/>
        <w:jc w:val="center"/>
        <w:rPr>
          <w:rFonts w:ascii="Arial" w:hAnsi="Arial" w:cs="Arial"/>
          <w:b/>
          <w:bCs/>
          <w:sz w:val="22"/>
          <w:szCs w:val="22"/>
        </w:rPr>
      </w:pPr>
      <w:r w:rsidRPr="0030358C">
        <w:rPr>
          <w:rFonts w:ascii="Arial" w:hAnsi="Arial" w:cs="Arial"/>
          <w:b/>
          <w:bCs/>
          <w:sz w:val="22"/>
          <w:szCs w:val="22"/>
        </w:rPr>
        <w:t>Část IV</w:t>
      </w:r>
    </w:p>
    <w:p w14:paraId="2C618485" w14:textId="77777777" w:rsidR="006945AD" w:rsidRPr="0030358C" w:rsidRDefault="006945AD" w:rsidP="006945AD">
      <w:pPr>
        <w:widowControl w:val="0"/>
        <w:spacing w:before="60" w:line="300" w:lineRule="exact"/>
        <w:ind w:left="142"/>
        <w:jc w:val="center"/>
        <w:rPr>
          <w:rFonts w:ascii="Arial" w:hAnsi="Arial" w:cs="Arial"/>
          <w:b/>
          <w:bCs/>
          <w:sz w:val="22"/>
          <w:szCs w:val="22"/>
        </w:rPr>
      </w:pPr>
    </w:p>
    <w:p w14:paraId="3425A994" w14:textId="77777777" w:rsidR="006945AD" w:rsidRPr="0030358C" w:rsidRDefault="00000000" w:rsidP="006945AD">
      <w:pPr>
        <w:widowControl w:val="0"/>
        <w:spacing w:before="60" w:line="300" w:lineRule="exact"/>
        <w:ind w:left="142"/>
        <w:jc w:val="center"/>
        <w:rPr>
          <w:rFonts w:ascii="Arial" w:hAnsi="Arial" w:cs="Arial"/>
          <w:b/>
          <w:bCs/>
          <w:sz w:val="22"/>
          <w:szCs w:val="22"/>
        </w:rPr>
      </w:pPr>
      <w:r w:rsidRPr="0030358C">
        <w:rPr>
          <w:rFonts w:ascii="Arial" w:hAnsi="Arial" w:cs="Arial"/>
          <w:b/>
          <w:bCs/>
          <w:sz w:val="22"/>
          <w:szCs w:val="22"/>
        </w:rPr>
        <w:t>Minimální stupně odsíření pro spalovací stacionární zdroje o celkovém jmenovitém tepelném příkonu 50 MW a vyšším</w:t>
      </w:r>
    </w:p>
    <w:p w14:paraId="23E75348" w14:textId="77777777" w:rsidR="006945AD" w:rsidRPr="0030358C" w:rsidRDefault="006945AD" w:rsidP="006945AD">
      <w:pPr>
        <w:widowControl w:val="0"/>
        <w:spacing w:before="60" w:line="300" w:lineRule="exact"/>
        <w:ind w:left="142"/>
        <w:jc w:val="both"/>
        <w:rPr>
          <w:rFonts w:ascii="Arial" w:hAnsi="Arial" w:cs="Arial"/>
          <w:b/>
          <w:bCs/>
          <w:sz w:val="22"/>
          <w:szCs w:val="22"/>
        </w:rPr>
      </w:pPr>
    </w:p>
    <w:p w14:paraId="7C72B3B0"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 xml:space="preserve">Tabulka 1 - Minimální stupně odsíření pro spalovací stacionární zdroje, kterým bylo vydáno první povolení provozu, nebo obdobné povolení podle dřívějších právních předpisů, před 27. listopadem 2002 nebo pro něž byla podána kompletní žádost o první povolení provozu před tímto datem a byly uvedeny do provozu nejpozději 27. listopadu 2003 </w:t>
      </w:r>
    </w:p>
    <w:tbl>
      <w:tblPr>
        <w:tblStyle w:val="Mkatabulky"/>
        <w:tblW w:w="0" w:type="auto"/>
        <w:jc w:val="center"/>
        <w:tblLook w:val="04A0" w:firstRow="1" w:lastRow="0" w:firstColumn="1" w:lastColumn="0" w:noHBand="0" w:noVBand="1"/>
      </w:tblPr>
      <w:tblGrid>
        <w:gridCol w:w="3539"/>
        <w:gridCol w:w="2410"/>
      </w:tblGrid>
      <w:tr w:rsidR="00E40657" w14:paraId="357CDB64" w14:textId="77777777" w:rsidTr="00B15037">
        <w:trPr>
          <w:jc w:val="center"/>
        </w:trPr>
        <w:tc>
          <w:tcPr>
            <w:tcW w:w="3539" w:type="dxa"/>
          </w:tcPr>
          <w:p w14:paraId="57647287"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Celkový jmenovitý tepelný příkon</w:t>
            </w:r>
          </w:p>
        </w:tc>
        <w:tc>
          <w:tcPr>
            <w:tcW w:w="2410" w:type="dxa"/>
          </w:tcPr>
          <w:p w14:paraId="438A8E2B"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Stupeň odsíření [%]</w:t>
            </w:r>
          </w:p>
        </w:tc>
      </w:tr>
      <w:tr w:rsidR="00E40657" w14:paraId="42DE727B" w14:textId="77777777" w:rsidTr="00B15037">
        <w:trPr>
          <w:jc w:val="center"/>
        </w:trPr>
        <w:tc>
          <w:tcPr>
            <w:tcW w:w="3539" w:type="dxa"/>
          </w:tcPr>
          <w:p w14:paraId="11F96804"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50-100 MW</w:t>
            </w:r>
          </w:p>
        </w:tc>
        <w:tc>
          <w:tcPr>
            <w:tcW w:w="2410" w:type="dxa"/>
          </w:tcPr>
          <w:p w14:paraId="28182F61"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80</w:t>
            </w:r>
          </w:p>
        </w:tc>
      </w:tr>
      <w:tr w:rsidR="00E40657" w14:paraId="14F22056" w14:textId="77777777" w:rsidTr="00B15037">
        <w:trPr>
          <w:jc w:val="center"/>
        </w:trPr>
        <w:tc>
          <w:tcPr>
            <w:tcW w:w="3539" w:type="dxa"/>
          </w:tcPr>
          <w:p w14:paraId="6ADAB525"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&gt; 100-300 MW</w:t>
            </w:r>
          </w:p>
        </w:tc>
        <w:tc>
          <w:tcPr>
            <w:tcW w:w="2410" w:type="dxa"/>
          </w:tcPr>
          <w:p w14:paraId="63642BD3"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90</w:t>
            </w:r>
          </w:p>
        </w:tc>
      </w:tr>
      <w:tr w:rsidR="00E40657" w14:paraId="2B4918FD" w14:textId="77777777" w:rsidTr="00B15037">
        <w:trPr>
          <w:jc w:val="center"/>
        </w:trPr>
        <w:tc>
          <w:tcPr>
            <w:tcW w:w="3539" w:type="dxa"/>
          </w:tcPr>
          <w:p w14:paraId="27CF3F30"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&gt; 300 MW</w:t>
            </w:r>
          </w:p>
        </w:tc>
        <w:tc>
          <w:tcPr>
            <w:tcW w:w="2410" w:type="dxa"/>
          </w:tcPr>
          <w:p w14:paraId="54B7D3E7"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96</w:t>
            </w:r>
          </w:p>
        </w:tc>
      </w:tr>
    </w:tbl>
    <w:p w14:paraId="2E50741C"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 xml:space="preserve"> </w:t>
      </w:r>
    </w:p>
    <w:p w14:paraId="5F83139D"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 xml:space="preserve">Tabulka 2 - Minimální stupně odsíření pro spalovací stacionární zdroje, kterým bylo vydáno první povolení provozu, nebo obdobné povolení podle dřívějších právních předpisů, mezi 27. listopadu 2002 a 7. lednem 2013 nebo byly uvedeny do provozu mezi 27. listopadem 2003 a 7. lednem 2014 </w:t>
      </w:r>
    </w:p>
    <w:tbl>
      <w:tblPr>
        <w:tblStyle w:val="Mkatabulky"/>
        <w:tblW w:w="0" w:type="auto"/>
        <w:jc w:val="center"/>
        <w:tblLook w:val="04A0" w:firstRow="1" w:lastRow="0" w:firstColumn="1" w:lastColumn="0" w:noHBand="0" w:noVBand="1"/>
      </w:tblPr>
      <w:tblGrid>
        <w:gridCol w:w="3539"/>
        <w:gridCol w:w="2410"/>
      </w:tblGrid>
      <w:tr w:rsidR="00E40657" w14:paraId="05BDC6D0" w14:textId="77777777" w:rsidTr="00B15037">
        <w:trPr>
          <w:jc w:val="center"/>
        </w:trPr>
        <w:tc>
          <w:tcPr>
            <w:tcW w:w="3539" w:type="dxa"/>
          </w:tcPr>
          <w:p w14:paraId="429445C7"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lastRenderedPageBreak/>
              <w:t>Celkový jmenovitý tepelný příkon</w:t>
            </w:r>
          </w:p>
        </w:tc>
        <w:tc>
          <w:tcPr>
            <w:tcW w:w="2410" w:type="dxa"/>
          </w:tcPr>
          <w:p w14:paraId="4D45B1AB"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Stupeň odsíření [%]</w:t>
            </w:r>
          </w:p>
        </w:tc>
      </w:tr>
      <w:tr w:rsidR="00E40657" w14:paraId="347BAE00" w14:textId="77777777" w:rsidTr="00B15037">
        <w:trPr>
          <w:jc w:val="center"/>
        </w:trPr>
        <w:tc>
          <w:tcPr>
            <w:tcW w:w="3539" w:type="dxa"/>
          </w:tcPr>
          <w:p w14:paraId="5C80DD4C"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50-100 MW</w:t>
            </w:r>
          </w:p>
        </w:tc>
        <w:tc>
          <w:tcPr>
            <w:tcW w:w="2410" w:type="dxa"/>
          </w:tcPr>
          <w:p w14:paraId="56B68E3D"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92</w:t>
            </w:r>
          </w:p>
        </w:tc>
      </w:tr>
      <w:tr w:rsidR="00E40657" w14:paraId="5CA7D5F5" w14:textId="77777777" w:rsidTr="00B15037">
        <w:trPr>
          <w:jc w:val="center"/>
        </w:trPr>
        <w:tc>
          <w:tcPr>
            <w:tcW w:w="3539" w:type="dxa"/>
          </w:tcPr>
          <w:p w14:paraId="07CF08CD"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&gt; 100-300 MW</w:t>
            </w:r>
          </w:p>
        </w:tc>
        <w:tc>
          <w:tcPr>
            <w:tcW w:w="2410" w:type="dxa"/>
          </w:tcPr>
          <w:p w14:paraId="2C9148EF"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92</w:t>
            </w:r>
          </w:p>
        </w:tc>
      </w:tr>
      <w:tr w:rsidR="00E40657" w14:paraId="6D44F1D7" w14:textId="77777777" w:rsidTr="00B15037">
        <w:trPr>
          <w:jc w:val="center"/>
        </w:trPr>
        <w:tc>
          <w:tcPr>
            <w:tcW w:w="3539" w:type="dxa"/>
          </w:tcPr>
          <w:p w14:paraId="2DC80FBE"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&gt; 300 MW</w:t>
            </w:r>
          </w:p>
        </w:tc>
        <w:tc>
          <w:tcPr>
            <w:tcW w:w="2410" w:type="dxa"/>
          </w:tcPr>
          <w:p w14:paraId="6F10A989"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96</w:t>
            </w:r>
          </w:p>
        </w:tc>
      </w:tr>
    </w:tbl>
    <w:p w14:paraId="08FEB5BA"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 xml:space="preserve"> </w:t>
      </w:r>
    </w:p>
    <w:p w14:paraId="2E8E5459" w14:textId="77777777" w:rsidR="006945AD" w:rsidRPr="0030358C" w:rsidRDefault="00000000" w:rsidP="006945AD">
      <w:pPr>
        <w:widowControl w:val="0"/>
        <w:spacing w:before="60" w:line="300" w:lineRule="exact"/>
        <w:ind w:left="142"/>
        <w:jc w:val="both"/>
        <w:rPr>
          <w:rFonts w:ascii="Arial" w:hAnsi="Arial" w:cs="Arial"/>
          <w:b/>
          <w:bCs/>
          <w:sz w:val="22"/>
          <w:szCs w:val="22"/>
        </w:rPr>
      </w:pPr>
      <w:r w:rsidRPr="0030358C">
        <w:rPr>
          <w:rFonts w:ascii="Arial" w:hAnsi="Arial" w:cs="Arial"/>
          <w:b/>
          <w:bCs/>
          <w:sz w:val="22"/>
          <w:szCs w:val="22"/>
        </w:rPr>
        <w:t xml:space="preserve">Tabulka 3 - Minimální stupně odsíření pro spalovací stacionární zdroje, kterým bylo vydáno první povolení provozu, nebo obdobné povolení podle dřívějších právních předpisů, 7. ledna 2013 nebo později nebo byly uvedeny do provozu po 7. lednu 2014 </w:t>
      </w:r>
    </w:p>
    <w:tbl>
      <w:tblPr>
        <w:tblStyle w:val="Mkatabulky"/>
        <w:tblW w:w="0" w:type="auto"/>
        <w:jc w:val="center"/>
        <w:tblLook w:val="04A0" w:firstRow="1" w:lastRow="0" w:firstColumn="1" w:lastColumn="0" w:noHBand="0" w:noVBand="1"/>
      </w:tblPr>
      <w:tblGrid>
        <w:gridCol w:w="3539"/>
        <w:gridCol w:w="2410"/>
      </w:tblGrid>
      <w:tr w:rsidR="00E40657" w14:paraId="53B380A5" w14:textId="77777777" w:rsidTr="00B15037">
        <w:trPr>
          <w:jc w:val="center"/>
        </w:trPr>
        <w:tc>
          <w:tcPr>
            <w:tcW w:w="3539" w:type="dxa"/>
          </w:tcPr>
          <w:p w14:paraId="2546A184"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Celkový jmenovitý tepelný příkon</w:t>
            </w:r>
          </w:p>
        </w:tc>
        <w:tc>
          <w:tcPr>
            <w:tcW w:w="2410" w:type="dxa"/>
          </w:tcPr>
          <w:p w14:paraId="21AF0DDC"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Stupeň odsíření [%]</w:t>
            </w:r>
          </w:p>
        </w:tc>
      </w:tr>
      <w:tr w:rsidR="00E40657" w14:paraId="0291FE0A" w14:textId="77777777" w:rsidTr="00B15037">
        <w:trPr>
          <w:jc w:val="center"/>
        </w:trPr>
        <w:tc>
          <w:tcPr>
            <w:tcW w:w="3539" w:type="dxa"/>
          </w:tcPr>
          <w:p w14:paraId="285B1DF9"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50-100 MW</w:t>
            </w:r>
          </w:p>
        </w:tc>
        <w:tc>
          <w:tcPr>
            <w:tcW w:w="2410" w:type="dxa"/>
          </w:tcPr>
          <w:p w14:paraId="4A999FBD"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93</w:t>
            </w:r>
          </w:p>
        </w:tc>
      </w:tr>
      <w:tr w:rsidR="00E40657" w14:paraId="4C77C770" w14:textId="77777777" w:rsidTr="00B15037">
        <w:trPr>
          <w:jc w:val="center"/>
        </w:trPr>
        <w:tc>
          <w:tcPr>
            <w:tcW w:w="3539" w:type="dxa"/>
          </w:tcPr>
          <w:p w14:paraId="35CB7A15"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&gt; 100-300 MW</w:t>
            </w:r>
          </w:p>
        </w:tc>
        <w:tc>
          <w:tcPr>
            <w:tcW w:w="2410" w:type="dxa"/>
          </w:tcPr>
          <w:p w14:paraId="5A17572A"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93</w:t>
            </w:r>
          </w:p>
        </w:tc>
      </w:tr>
      <w:tr w:rsidR="00E40657" w14:paraId="266937F6" w14:textId="77777777" w:rsidTr="00B15037">
        <w:trPr>
          <w:jc w:val="center"/>
        </w:trPr>
        <w:tc>
          <w:tcPr>
            <w:tcW w:w="3539" w:type="dxa"/>
          </w:tcPr>
          <w:p w14:paraId="2A2B0415"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&gt; 300 MW</w:t>
            </w:r>
          </w:p>
        </w:tc>
        <w:tc>
          <w:tcPr>
            <w:tcW w:w="2410" w:type="dxa"/>
          </w:tcPr>
          <w:p w14:paraId="4F485ECA" w14:textId="77777777" w:rsidR="006945AD" w:rsidRPr="0030358C" w:rsidRDefault="00000000" w:rsidP="00B15037">
            <w:pPr>
              <w:widowControl w:val="0"/>
              <w:spacing w:before="60" w:line="300" w:lineRule="exact"/>
              <w:jc w:val="center"/>
              <w:rPr>
                <w:rFonts w:ascii="Arial" w:hAnsi="Arial" w:cs="Arial"/>
                <w:b/>
                <w:bCs/>
                <w:sz w:val="22"/>
                <w:szCs w:val="22"/>
              </w:rPr>
            </w:pPr>
            <w:r w:rsidRPr="0030358C">
              <w:rPr>
                <w:rFonts w:ascii="Arial" w:hAnsi="Arial" w:cs="Arial"/>
                <w:b/>
                <w:bCs/>
                <w:sz w:val="22"/>
                <w:szCs w:val="22"/>
              </w:rPr>
              <w:t>97</w:t>
            </w:r>
          </w:p>
        </w:tc>
      </w:tr>
    </w:tbl>
    <w:p w14:paraId="2D94A445" w14:textId="77777777" w:rsidR="00A77B3E" w:rsidRPr="0030358C" w:rsidRDefault="00000000" w:rsidP="005906DC">
      <w:pPr>
        <w:rPr>
          <w:rFonts w:ascii="Arial" w:hAnsi="Arial" w:cs="Arial"/>
          <w:sz w:val="22"/>
          <w:szCs w:val="22"/>
        </w:rPr>
      </w:pPr>
      <w:r w:rsidRPr="0030358C">
        <w:rPr>
          <w:rFonts w:ascii="Arial" w:hAnsi="Arial" w:cs="Arial"/>
          <w:b/>
          <w:bCs/>
          <w:sz w:val="22"/>
          <w:szCs w:val="22"/>
        </w:rPr>
        <w:t xml:space="preserve"> </w:t>
      </w:r>
      <w:r w:rsidRPr="0030358C">
        <w:rPr>
          <w:rFonts w:ascii="Arial" w:hAnsi="Arial" w:cs="Arial"/>
          <w:sz w:val="22"/>
          <w:szCs w:val="22"/>
        </w:rPr>
        <w:br w:type="page"/>
      </w:r>
      <w:bookmarkEnd w:id="43"/>
    </w:p>
    <w:bookmarkEnd w:id="44"/>
    <w:p w14:paraId="3A6EC4FB" w14:textId="77777777" w:rsidR="00A77B3E" w:rsidRPr="0030358C" w:rsidRDefault="00000000">
      <w:pPr>
        <w:pStyle w:val="42"/>
        <w:rPr>
          <w:rFonts w:ascii="Arial" w:hAnsi="Arial" w:cs="Arial"/>
          <w:sz w:val="22"/>
          <w:szCs w:val="22"/>
        </w:rPr>
      </w:pPr>
      <w:r w:rsidRPr="0030358C">
        <w:rPr>
          <w:rFonts w:ascii="Arial" w:hAnsi="Arial" w:cs="Arial"/>
          <w:sz w:val="22"/>
          <w:szCs w:val="22"/>
        </w:rPr>
        <w:lastRenderedPageBreak/>
        <w:t>Příloha č. 3    k vyhlášce č. 415/2012 Sb.</w:t>
      </w:r>
    </w:p>
    <w:p w14:paraId="4687A9D3" w14:textId="77777777" w:rsidR="00A77B3E" w:rsidRPr="0030358C" w:rsidRDefault="00000000">
      <w:pPr>
        <w:pStyle w:val="43"/>
        <w:rPr>
          <w:rFonts w:ascii="Arial" w:hAnsi="Arial" w:cs="Arial"/>
          <w:sz w:val="22"/>
          <w:szCs w:val="22"/>
        </w:rPr>
      </w:pPr>
      <w:r w:rsidRPr="0030358C">
        <w:rPr>
          <w:rFonts w:ascii="Arial" w:hAnsi="Arial" w:cs="Arial"/>
          <w:sz w:val="22"/>
          <w:szCs w:val="22"/>
        </w:rPr>
        <w:t>POŽADAVKY NA KVALITU PALIV A HLÁŠENÍ O KVALITĚ PALIVA</w:t>
      </w:r>
    </w:p>
    <w:p w14:paraId="5D8AD8EB" w14:textId="77777777" w:rsidR="00A77B3E" w:rsidRPr="0030358C" w:rsidRDefault="00000000">
      <w:pPr>
        <w:pStyle w:val="44"/>
        <w:rPr>
          <w:rFonts w:ascii="Arial" w:hAnsi="Arial" w:cs="Arial"/>
          <w:sz w:val="22"/>
          <w:szCs w:val="22"/>
        </w:rPr>
      </w:pPr>
      <w:r w:rsidRPr="0030358C">
        <w:rPr>
          <w:rFonts w:ascii="Arial" w:hAnsi="Arial" w:cs="Arial"/>
          <w:sz w:val="22"/>
          <w:szCs w:val="22"/>
        </w:rPr>
        <w:t>Část I</w:t>
      </w:r>
    </w:p>
    <w:p w14:paraId="32B0A456" w14:textId="77777777" w:rsidR="00A77B3E" w:rsidRPr="0030358C" w:rsidRDefault="00000000">
      <w:pPr>
        <w:pStyle w:val="8"/>
        <w:rPr>
          <w:rFonts w:ascii="Arial" w:hAnsi="Arial" w:cs="Arial"/>
          <w:sz w:val="22"/>
          <w:szCs w:val="22"/>
        </w:rPr>
      </w:pPr>
      <w:r w:rsidRPr="0030358C">
        <w:rPr>
          <w:rFonts w:ascii="Arial" w:hAnsi="Arial" w:cs="Arial"/>
          <w:sz w:val="22"/>
          <w:szCs w:val="22"/>
        </w:rPr>
        <w:t>Požadavky na kvalitu paliv</w:t>
      </w:r>
    </w:p>
    <w:p w14:paraId="3D9D3F79" w14:textId="77777777" w:rsidR="00A77B3E" w:rsidRPr="0030358C" w:rsidRDefault="00000000">
      <w:pPr>
        <w:pStyle w:val="16"/>
        <w:rPr>
          <w:rFonts w:ascii="Arial" w:hAnsi="Arial" w:cs="Arial"/>
          <w:sz w:val="22"/>
          <w:szCs w:val="22"/>
        </w:rPr>
      </w:pPr>
      <w:r w:rsidRPr="0030358C">
        <w:rPr>
          <w:rFonts w:ascii="Arial" w:hAnsi="Arial" w:cs="Arial"/>
          <w:sz w:val="22"/>
          <w:szCs w:val="22"/>
        </w:rPr>
        <w:t>Stanovené limitní hodnoty obsahu prvků a jejich sloučenin jsou vztaženy k hmotnosti daného prvku.</w:t>
      </w:r>
    </w:p>
    <w:p w14:paraId="5498E2B1" w14:textId="77777777" w:rsidR="00A77B3E" w:rsidRPr="0030358C" w:rsidRDefault="00000000">
      <w:pPr>
        <w:pStyle w:val="66"/>
        <w:rPr>
          <w:rFonts w:ascii="Arial" w:hAnsi="Arial" w:cs="Arial"/>
          <w:szCs w:val="22"/>
        </w:rPr>
      </w:pPr>
      <w:r w:rsidRPr="0030358C">
        <w:rPr>
          <w:rFonts w:ascii="Arial" w:hAnsi="Arial" w:cs="Arial"/>
          <w:szCs w:val="22"/>
        </w:rPr>
        <w:t>1.    Požadavky na kvalitu pevných paliv</w:t>
      </w:r>
    </w:p>
    <w:p w14:paraId="083D830F" w14:textId="77777777" w:rsidR="00A77B3E" w:rsidRPr="0030358C" w:rsidRDefault="00000000">
      <w:pPr>
        <w:pStyle w:val="67"/>
        <w:rPr>
          <w:rFonts w:ascii="Arial" w:hAnsi="Arial" w:cs="Arial"/>
          <w:szCs w:val="22"/>
        </w:rPr>
      </w:pPr>
      <w:r w:rsidRPr="0030358C">
        <w:rPr>
          <w:rFonts w:ascii="Arial" w:hAnsi="Arial" w:cs="Arial"/>
          <w:szCs w:val="22"/>
        </w:rPr>
        <w:t>1.1.    Požadavky na kvalitu uhlí a výlisky z uhlí pro spalovací stacionární zdroje o celkovém jmenovitém tepelném příkonu do 5 MW včetně</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870"/>
        <w:gridCol w:w="1280"/>
        <w:gridCol w:w="2698"/>
        <w:gridCol w:w="3022"/>
      </w:tblGrid>
      <w:tr w:rsidR="00E40657" w14:paraId="61ED9EFF"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3AD9995C"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Kvalitativní ukazatel</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8DD4021"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Jednotka</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AF2066E"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Limitní hodnoty dle celkového jmenovitého tepelného příkonu určeného spalovacího stacionárního zdroje</w:t>
            </w:r>
          </w:p>
        </w:tc>
      </w:tr>
      <w:tr w:rsidR="00E40657" w14:paraId="282EE759" w14:textId="77777777">
        <w:tc>
          <w:tcPr>
            <w:tcW w:w="0" w:type="auto"/>
            <w:vMerge/>
            <w:tcBorders>
              <w:left w:val="single" w:sz="12" w:space="0" w:color="000000"/>
              <w:bottom w:val="single" w:sz="12" w:space="0" w:color="000000"/>
              <w:right w:val="single" w:sz="12" w:space="0" w:color="000000"/>
            </w:tcBorders>
            <w:vAlign w:val="center"/>
            <w:hideMark/>
          </w:tcPr>
          <w:p w14:paraId="73F99259" w14:textId="77777777" w:rsidR="00A77B3E" w:rsidRPr="0030358C" w:rsidRDefault="00A77B3E">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487047E2"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6828424"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 0,3 MW</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142728"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&gt; 0,3-5 MW</w:t>
            </w:r>
          </w:p>
        </w:tc>
      </w:tr>
      <w:tr w:rsidR="00E40657" w14:paraId="3B8818F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A6E158E"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Voda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C3DA25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hm.</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38A589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33</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D76A44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35</w:t>
            </w:r>
          </w:p>
        </w:tc>
      </w:tr>
      <w:tr w:rsidR="00E40657" w14:paraId="656F23F5" w14:textId="77777777">
        <w:tc>
          <w:tcPr>
            <w:tcW w:w="0" w:type="auto"/>
            <w:gridSpan w:val="4"/>
            <w:tcBorders>
              <w:top w:val="single" w:sz="3" w:space="0" w:color="000000"/>
              <w:bottom w:val="single" w:sz="3" w:space="0" w:color="000000"/>
            </w:tcBorders>
            <w:tcMar>
              <w:top w:w="85" w:type="dxa"/>
              <w:left w:w="157" w:type="dxa"/>
              <w:bottom w:w="85" w:type="dxa"/>
              <w:right w:w="157" w:type="dxa"/>
            </w:tcMar>
            <w:vAlign w:val="center"/>
            <w:hideMark/>
          </w:tcPr>
          <w:p w14:paraId="6F31D2C1"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Kvalitativní ukazatel v bezvodém stavu</w:t>
            </w:r>
          </w:p>
        </w:tc>
      </w:tr>
      <w:tr w:rsidR="00E40657" w14:paraId="0D33349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3C352EE"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Výhřevnost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51680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MJ∙kg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0FA56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&gt;15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84A809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&gt;15</w:t>
            </w:r>
          </w:p>
        </w:tc>
      </w:tr>
      <w:tr w:rsidR="00E40657" w14:paraId="1B1FFB5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0752647"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popela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94A25B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hm.</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95D8F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13</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BB147E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20</w:t>
            </w:r>
          </w:p>
        </w:tc>
      </w:tr>
      <w:tr w:rsidR="00E40657" w14:paraId="20E99BB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4F9096D"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Měrná sirnatost</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0EB5A8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g∙MJ</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FC2B1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0,65</w:t>
            </w:r>
            <w:r w:rsidRPr="0030358C">
              <w:rPr>
                <w:rFonts w:ascii="Arial" w:hAnsi="Arial" w:cs="Arial"/>
                <w:sz w:val="22"/>
                <w:szCs w:val="22"/>
              </w:rPr>
              <w:br/>
              <w:t>&lt; 0,5</w:t>
            </w:r>
            <w:r w:rsidRPr="0030358C">
              <w:rPr>
                <w:rFonts w:ascii="Arial" w:hAnsi="Arial" w:cs="Arial"/>
                <w:sz w:val="22"/>
                <w:szCs w:val="22"/>
                <w:vertAlign w:val="superscript"/>
              </w:rPr>
              <w:t>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80E8AA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0,75</w:t>
            </w:r>
            <w:r w:rsidRPr="0030358C">
              <w:rPr>
                <w:rFonts w:ascii="Arial" w:hAnsi="Arial" w:cs="Arial"/>
                <w:sz w:val="22"/>
                <w:szCs w:val="22"/>
              </w:rPr>
              <w:br/>
              <w:t>&lt; 0,5</w:t>
            </w:r>
            <w:r w:rsidRPr="0030358C">
              <w:rPr>
                <w:rFonts w:ascii="Arial" w:hAnsi="Arial" w:cs="Arial"/>
                <w:sz w:val="22"/>
                <w:szCs w:val="22"/>
                <w:vertAlign w:val="superscript"/>
              </w:rPr>
              <w:t>2)</w:t>
            </w:r>
          </w:p>
        </w:tc>
      </w:tr>
      <w:tr w:rsidR="00E40657" w14:paraId="62252BB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D073856"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Podsítná frakce</w:t>
            </w:r>
            <w:hyperlink w:history="1">
              <w:r w:rsidR="00A77B3E" w:rsidRPr="0030358C">
                <w:rPr>
                  <w:rFonts w:ascii="Arial" w:hAnsi="Arial" w:cs="Arial"/>
                  <w:sz w:val="22"/>
                  <w:szCs w:val="22"/>
                  <w:vertAlign w:val="superscript"/>
                </w:rPr>
                <w:t>3</w:t>
              </w:r>
              <w:r w:rsidR="00A77B3E" w:rsidRPr="0030358C">
                <w:rPr>
                  <w:rFonts w:ascii="Arial" w:hAnsi="Arial" w:cs="Arial"/>
                  <w:sz w:val="22"/>
                  <w:szCs w:val="22"/>
                </w:rPr>
                <w:t>)</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908FCF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DD01F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1A06A9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50FEB3BB"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70B1307"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prachu</w:t>
            </w:r>
            <w:hyperlink w:history="1">
              <w:r w:rsidR="00A77B3E" w:rsidRPr="0030358C">
                <w:rPr>
                  <w:rFonts w:ascii="Arial" w:hAnsi="Arial" w:cs="Arial"/>
                  <w:sz w:val="22"/>
                  <w:szCs w:val="22"/>
                  <w:vertAlign w:val="superscript"/>
                </w:rPr>
                <w:t>4</w:t>
              </w:r>
              <w:r w:rsidR="00A77B3E" w:rsidRPr="0030358C">
                <w:rPr>
                  <w:rFonts w:ascii="Arial" w:hAnsi="Arial" w:cs="Arial"/>
                  <w:sz w:val="22"/>
                  <w:szCs w:val="22"/>
                </w:rPr>
                <w:t>)</w:t>
              </w:r>
            </w:hyperlink>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EE5BD9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EA6759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10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2F8E1E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bl>
    <w:p w14:paraId="5641E6EC" w14:textId="77777777" w:rsidR="00A77B3E" w:rsidRPr="0030358C" w:rsidRDefault="00A77B3E">
      <w:pPr>
        <w:pStyle w:val="59"/>
        <w:rPr>
          <w:rFonts w:ascii="Arial" w:hAnsi="Arial" w:cs="Arial"/>
          <w:sz w:val="22"/>
          <w:szCs w:val="22"/>
        </w:rPr>
      </w:pPr>
    </w:p>
    <w:p w14:paraId="3944CB58"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Vysvětlivky:</w:t>
      </w:r>
    </w:p>
    <w:p w14:paraId="1F39C01E" w14:textId="77777777" w:rsidR="00A77B3E" w:rsidRPr="0030358C" w:rsidRDefault="00000000">
      <w:pPr>
        <w:pStyle w:val="61"/>
        <w:rPr>
          <w:rFonts w:ascii="Arial" w:hAnsi="Arial" w:cs="Arial"/>
          <w:sz w:val="22"/>
          <w:szCs w:val="22"/>
        </w:rPr>
      </w:pPr>
      <w:r w:rsidRPr="0030358C">
        <w:rPr>
          <w:rFonts w:ascii="Arial" w:hAnsi="Arial" w:cs="Arial"/>
          <w:sz w:val="22"/>
          <w:szCs w:val="22"/>
        </w:rPr>
        <w:t>1)    Měrnou sirnatostí se rozumí celkový obsah síry v původním stavu, vztažený k výhřevnosti spalovaného paliva v původním stavu, vyjádřený v g.MJ</w:t>
      </w:r>
      <w:r w:rsidRPr="0030358C">
        <w:rPr>
          <w:rFonts w:ascii="Arial" w:hAnsi="Arial" w:cs="Arial"/>
          <w:sz w:val="22"/>
          <w:szCs w:val="22"/>
          <w:vertAlign w:val="superscript"/>
        </w:rPr>
        <w:t>-1</w:t>
      </w:r>
    </w:p>
    <w:p w14:paraId="058C0DE0" w14:textId="77777777" w:rsidR="00A77B3E" w:rsidRPr="0030358C" w:rsidRDefault="00000000">
      <w:pPr>
        <w:pStyle w:val="61"/>
        <w:rPr>
          <w:rFonts w:ascii="Arial" w:hAnsi="Arial" w:cs="Arial"/>
          <w:sz w:val="22"/>
          <w:szCs w:val="22"/>
        </w:rPr>
      </w:pPr>
      <w:r w:rsidRPr="0030358C">
        <w:rPr>
          <w:rFonts w:ascii="Arial" w:hAnsi="Arial" w:cs="Arial"/>
          <w:sz w:val="22"/>
          <w:szCs w:val="22"/>
        </w:rPr>
        <w:t>2)    Vztahuje se pouze na výlisky z uhlí.</w:t>
      </w:r>
    </w:p>
    <w:p w14:paraId="68FD0F15" w14:textId="77777777" w:rsidR="00A77B3E" w:rsidRPr="0030358C" w:rsidRDefault="00000000">
      <w:pPr>
        <w:pStyle w:val="61"/>
        <w:rPr>
          <w:rFonts w:ascii="Arial" w:hAnsi="Arial" w:cs="Arial"/>
          <w:sz w:val="22"/>
          <w:szCs w:val="22"/>
        </w:rPr>
      </w:pPr>
      <w:r w:rsidRPr="0030358C">
        <w:rPr>
          <w:rFonts w:ascii="Arial" w:hAnsi="Arial" w:cs="Arial"/>
          <w:sz w:val="22"/>
          <w:szCs w:val="22"/>
        </w:rPr>
        <w:t>3)    Podíl zrna, který při třídicí zkoušce proséváním dle určených technických norem propadne sítem s otvory o rozměru rovném spodní hranici velikosti zrna, specifický pro danou sortu paliva, vyjádřený v hmotnostních procentech z navážky vzorku.</w:t>
      </w:r>
    </w:p>
    <w:p w14:paraId="4F38881F" w14:textId="77777777" w:rsidR="00A77B3E" w:rsidRPr="0030358C" w:rsidRDefault="00000000">
      <w:pPr>
        <w:pStyle w:val="62"/>
        <w:rPr>
          <w:rFonts w:ascii="Arial" w:hAnsi="Arial" w:cs="Arial"/>
          <w:sz w:val="22"/>
          <w:szCs w:val="22"/>
        </w:rPr>
      </w:pPr>
      <w:r w:rsidRPr="0030358C">
        <w:rPr>
          <w:rFonts w:ascii="Arial" w:hAnsi="Arial" w:cs="Arial"/>
          <w:sz w:val="22"/>
          <w:szCs w:val="22"/>
        </w:rPr>
        <w:t>4)    Podíl frakce s velikostí zrn 0 - 10 mm v podsítné frakci, vyjádřený v hmotnostních procentech z navážky vzorku.</w:t>
      </w:r>
    </w:p>
    <w:p w14:paraId="46CAF1E4" w14:textId="77777777" w:rsidR="00A77B3E" w:rsidRPr="0030358C" w:rsidRDefault="00000000">
      <w:pPr>
        <w:pStyle w:val="57"/>
        <w:rPr>
          <w:rFonts w:ascii="Arial" w:hAnsi="Arial" w:cs="Arial"/>
          <w:szCs w:val="22"/>
        </w:rPr>
      </w:pPr>
      <w:r w:rsidRPr="0030358C">
        <w:rPr>
          <w:rFonts w:ascii="Arial" w:hAnsi="Arial" w:cs="Arial"/>
          <w:szCs w:val="22"/>
        </w:rPr>
        <w:t xml:space="preserve">1.2.    Požadavky na kvalitu výlisků z biomasy podle </w:t>
      </w:r>
      <w:hyperlink w:history="1">
        <w:r w:rsidR="00A77B3E" w:rsidRPr="0030358C">
          <w:rPr>
            <w:rFonts w:ascii="Arial" w:hAnsi="Arial" w:cs="Arial"/>
            <w:szCs w:val="22"/>
          </w:rPr>
          <w:t>§ 2 písm. a)</w:t>
        </w:r>
      </w:hyperlink>
      <w:r w:rsidRPr="0030358C">
        <w:rPr>
          <w:rFonts w:ascii="Arial" w:hAnsi="Arial" w:cs="Arial"/>
          <w:szCs w:val="22"/>
        </w:rPr>
        <w:t xml:space="preserve"> pro spalovací stacionární zdroje o celkovém jmenovitém tepelném příkonu do 5 MW včetně</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2274"/>
        <w:gridCol w:w="1280"/>
        <w:gridCol w:w="2511"/>
        <w:gridCol w:w="2805"/>
      </w:tblGrid>
      <w:tr w:rsidR="00E40657" w14:paraId="29B275EF"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2AE8F7E"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Kvalitativní ukazatel</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2DC3C28B"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Jednotka</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A0B2C62"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Limitní hodnoty dle celkového jmenovitého příkonu určeného spalovacího stacionárního zdroje</w:t>
            </w:r>
          </w:p>
        </w:tc>
      </w:tr>
      <w:tr w:rsidR="00E40657" w14:paraId="6AC140DA" w14:textId="77777777">
        <w:tc>
          <w:tcPr>
            <w:tcW w:w="0" w:type="auto"/>
            <w:vMerge/>
            <w:tcBorders>
              <w:left w:val="single" w:sz="12" w:space="0" w:color="000000"/>
              <w:bottom w:val="single" w:sz="12" w:space="0" w:color="000000"/>
              <w:right w:val="single" w:sz="12" w:space="0" w:color="000000"/>
            </w:tcBorders>
            <w:vAlign w:val="center"/>
            <w:hideMark/>
          </w:tcPr>
          <w:p w14:paraId="3E630C7E" w14:textId="77777777" w:rsidR="00A77B3E" w:rsidRPr="0030358C" w:rsidRDefault="00A77B3E">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78E3203A"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C5844D6"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 0,3 MW</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15591A6"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&gt; 0,3-5 MW</w:t>
            </w:r>
          </w:p>
        </w:tc>
      </w:tr>
      <w:tr w:rsidR="00E40657" w14:paraId="3630F0F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2E1EA34"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Voda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E27BC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hm.</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B40FB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CCB816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20</w:t>
            </w:r>
          </w:p>
        </w:tc>
      </w:tr>
      <w:tr w:rsidR="00E40657" w14:paraId="792432EF" w14:textId="77777777">
        <w:tc>
          <w:tcPr>
            <w:tcW w:w="0" w:type="auto"/>
            <w:gridSpan w:val="4"/>
            <w:tcBorders>
              <w:top w:val="single" w:sz="3" w:space="0" w:color="000000"/>
              <w:bottom w:val="single" w:sz="3" w:space="0" w:color="000000"/>
            </w:tcBorders>
            <w:tcMar>
              <w:top w:w="85" w:type="dxa"/>
              <w:left w:w="157" w:type="dxa"/>
              <w:bottom w:w="85" w:type="dxa"/>
              <w:right w:w="157" w:type="dxa"/>
            </w:tcMar>
            <w:vAlign w:val="center"/>
            <w:hideMark/>
          </w:tcPr>
          <w:p w14:paraId="0E9805D3"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Kvalitativní ukazatel v bezvodém stavu</w:t>
            </w:r>
          </w:p>
        </w:tc>
      </w:tr>
      <w:tr w:rsidR="00E40657" w14:paraId="6CE695E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CC2FF5E"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Výhřevnost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FCBC5C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MJ.kg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6FADF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&gt;15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272104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&gt;13</w:t>
            </w:r>
          </w:p>
        </w:tc>
      </w:tr>
      <w:tr w:rsidR="00E40657" w14:paraId="76F573D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511CEA1"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popela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730F63D"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hm.</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C6376C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ECF6F8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25</w:t>
            </w:r>
          </w:p>
        </w:tc>
      </w:tr>
      <w:tr w:rsidR="00E40657" w14:paraId="64E4DDE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169E023"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chlóru a jeho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5C8814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13224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10 000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11605A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10 000</w:t>
            </w:r>
          </w:p>
        </w:tc>
      </w:tr>
      <w:tr w:rsidR="00E40657" w14:paraId="6C4C864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B21736E"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arsenu a jeho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56299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87400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8B03E2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10</w:t>
            </w:r>
          </w:p>
        </w:tc>
      </w:tr>
      <w:tr w:rsidR="00E40657" w14:paraId="1C70B90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EC82929"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kadmia a jeho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DFDBF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A05826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1,05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069230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1,5</w:t>
            </w:r>
          </w:p>
        </w:tc>
      </w:tr>
      <w:tr w:rsidR="00E40657" w14:paraId="7B2E05E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B761476"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rtuti a jejích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FBB61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84F47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0,05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1A3FD0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0,05</w:t>
            </w:r>
          </w:p>
        </w:tc>
      </w:tr>
      <w:tr w:rsidR="00E40657" w14:paraId="27C17384"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FA53008"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Obsah olova a jeho sloučenin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F3076E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14E472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30C3E5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&lt; 10</w:t>
            </w:r>
          </w:p>
        </w:tc>
      </w:tr>
    </w:tbl>
    <w:p w14:paraId="437960DA" w14:textId="77777777" w:rsidR="00A77B3E" w:rsidRPr="0030358C" w:rsidRDefault="00A77B3E">
      <w:pPr>
        <w:pStyle w:val="59"/>
        <w:rPr>
          <w:rFonts w:ascii="Arial" w:hAnsi="Arial" w:cs="Arial"/>
          <w:sz w:val="22"/>
          <w:szCs w:val="22"/>
        </w:rPr>
      </w:pPr>
    </w:p>
    <w:p w14:paraId="22855321" w14:textId="77777777" w:rsidR="00A77B3E" w:rsidRPr="0030358C" w:rsidRDefault="00000000">
      <w:pPr>
        <w:pStyle w:val="46"/>
        <w:rPr>
          <w:rFonts w:ascii="Arial" w:hAnsi="Arial" w:cs="Arial"/>
          <w:szCs w:val="22"/>
        </w:rPr>
      </w:pPr>
      <w:r w:rsidRPr="0030358C">
        <w:rPr>
          <w:rFonts w:ascii="Arial" w:hAnsi="Arial" w:cs="Arial"/>
          <w:szCs w:val="22"/>
        </w:rPr>
        <w:t>2.    Požadavky na kvalitu kapalných paliv</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69"/>
        <w:gridCol w:w="1280"/>
        <w:gridCol w:w="1964"/>
      </w:tblGrid>
      <w:tr w:rsidR="00E40657" w14:paraId="485F1899"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FD2DAD9"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Kvalitativní ukazatel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722AA13"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Jednotka</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7E35C77"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Limitní hodnoty</w:t>
            </w:r>
          </w:p>
        </w:tc>
      </w:tr>
      <w:tr w:rsidR="00E40657" w14:paraId="3A61FA3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33F777C"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Voda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D7719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 hm.</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82E7C4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2</w:t>
            </w:r>
            <w:r w:rsidRPr="0030358C">
              <w:rPr>
                <w:rFonts w:ascii="Arial" w:hAnsi="Arial" w:cs="Arial"/>
                <w:sz w:val="22"/>
                <w:szCs w:val="22"/>
                <w:vertAlign w:val="superscript"/>
              </w:rPr>
              <w:t>1)</w:t>
            </w:r>
          </w:p>
        </w:tc>
      </w:tr>
      <w:tr w:rsidR="00E40657" w14:paraId="4C398457" w14:textId="77777777">
        <w:tc>
          <w:tcPr>
            <w:tcW w:w="0" w:type="auto"/>
            <w:gridSpan w:val="3"/>
            <w:tcBorders>
              <w:top w:val="single" w:sz="3" w:space="0" w:color="000000"/>
              <w:bottom w:val="single" w:sz="3" w:space="0" w:color="000000"/>
            </w:tcBorders>
            <w:tcMar>
              <w:top w:w="85" w:type="dxa"/>
              <w:left w:w="157" w:type="dxa"/>
              <w:bottom w:w="85" w:type="dxa"/>
              <w:right w:w="157" w:type="dxa"/>
            </w:tcMar>
            <w:vAlign w:val="center"/>
            <w:hideMark/>
          </w:tcPr>
          <w:p w14:paraId="5BC9150D"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Kvalitativní ukazatel v bezvodém stavu</w:t>
            </w:r>
          </w:p>
        </w:tc>
      </w:tr>
      <w:tr w:rsidR="00E40657" w14:paraId="4F4B716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596D7AB"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Výhřevnost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6DCA1B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MJ∙kg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9341D0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32</w:t>
            </w:r>
            <w:r w:rsidRPr="0030358C">
              <w:rPr>
                <w:rFonts w:ascii="Arial" w:hAnsi="Arial" w:cs="Arial"/>
                <w:sz w:val="22"/>
                <w:szCs w:val="22"/>
                <w:vertAlign w:val="superscript"/>
              </w:rPr>
              <w:t>1)</w:t>
            </w:r>
          </w:p>
        </w:tc>
      </w:tr>
      <w:tr w:rsidR="00E40657" w14:paraId="47FB0E8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C4B96E1"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síry a jejích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E7EA4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 hm.</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12F2D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0,1</w:t>
            </w:r>
            <w:r w:rsidRPr="0030358C">
              <w:rPr>
                <w:rFonts w:ascii="Arial" w:hAnsi="Arial" w:cs="Arial"/>
                <w:sz w:val="22"/>
                <w:szCs w:val="22"/>
                <w:vertAlign w:val="superscript"/>
              </w:rPr>
              <w:t>2)</w:t>
            </w:r>
          </w:p>
        </w:tc>
      </w:tr>
      <w:tr w:rsidR="00E40657" w14:paraId="72AB00C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5692484"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chlóru a jeho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AA9CC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54CE99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300</w:t>
            </w:r>
          </w:p>
        </w:tc>
      </w:tr>
      <w:tr w:rsidR="00E40657" w14:paraId="5324D94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549BCD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arsenu a jeho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8DE695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77BCAE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10</w:t>
            </w:r>
          </w:p>
        </w:tc>
      </w:tr>
      <w:tr w:rsidR="00E40657" w14:paraId="00EAEC5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7AFC026"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kadmia a jeho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C6B3F5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96A5FD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0,3</w:t>
            </w:r>
          </w:p>
        </w:tc>
      </w:tr>
      <w:tr w:rsidR="00E40657" w14:paraId="34357E7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F7A3CA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rtuti a jejích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F755AC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427C17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0,05</w:t>
            </w:r>
          </w:p>
        </w:tc>
      </w:tr>
      <w:tr w:rsidR="00E40657" w14:paraId="50FFFC5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340A64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olova a jeho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376A2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2F01FC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25</w:t>
            </w:r>
          </w:p>
        </w:tc>
      </w:tr>
      <w:tr w:rsidR="00E40657" w14:paraId="2CC244D5"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77FA64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polychlorovaných bifenylů a jejich sloučenin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71A4C5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mg∙kg</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6EF133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5</w:t>
            </w:r>
          </w:p>
        </w:tc>
      </w:tr>
    </w:tbl>
    <w:p w14:paraId="33D77D44" w14:textId="77777777" w:rsidR="00A77B3E" w:rsidRPr="0030358C" w:rsidRDefault="00A77B3E">
      <w:pPr>
        <w:pStyle w:val="47"/>
        <w:rPr>
          <w:rFonts w:ascii="Arial" w:hAnsi="Arial" w:cs="Arial"/>
          <w:sz w:val="22"/>
          <w:szCs w:val="22"/>
        </w:rPr>
      </w:pPr>
    </w:p>
    <w:p w14:paraId="6CED6408" w14:textId="77777777" w:rsidR="00A77B3E" w:rsidRPr="0030358C" w:rsidRDefault="00000000">
      <w:pPr>
        <w:pStyle w:val="47"/>
        <w:rPr>
          <w:rFonts w:ascii="Arial" w:hAnsi="Arial" w:cs="Arial"/>
          <w:sz w:val="22"/>
          <w:szCs w:val="22"/>
        </w:rPr>
      </w:pPr>
      <w:r w:rsidRPr="0030358C">
        <w:rPr>
          <w:rFonts w:ascii="Arial" w:hAnsi="Arial" w:cs="Arial"/>
          <w:sz w:val="22"/>
          <w:szCs w:val="22"/>
        </w:rPr>
        <w:t>Vysvětlivky:</w:t>
      </w:r>
    </w:p>
    <w:p w14:paraId="6A2367F0" w14:textId="77777777" w:rsidR="00A77B3E" w:rsidRPr="0030358C" w:rsidRDefault="00000000">
      <w:pPr>
        <w:pStyle w:val="68"/>
        <w:rPr>
          <w:rFonts w:ascii="Arial" w:hAnsi="Arial" w:cs="Arial"/>
          <w:sz w:val="22"/>
          <w:szCs w:val="22"/>
        </w:rPr>
      </w:pPr>
      <w:r w:rsidRPr="0030358C">
        <w:rPr>
          <w:rFonts w:ascii="Arial" w:hAnsi="Arial" w:cs="Arial"/>
          <w:sz w:val="22"/>
          <w:szCs w:val="22"/>
        </w:rPr>
        <w:t>1)    Vztahuje se pouze na paliva pro spalovací stacionární zdroje o celkovém jmenovitém tepelném příkonu do 5 MW.</w:t>
      </w:r>
    </w:p>
    <w:p w14:paraId="6B5744B7" w14:textId="77777777" w:rsidR="00A77B3E" w:rsidRPr="0030358C" w:rsidRDefault="00000000">
      <w:pPr>
        <w:pStyle w:val="69"/>
        <w:rPr>
          <w:rFonts w:ascii="Arial" w:hAnsi="Arial" w:cs="Arial"/>
          <w:sz w:val="22"/>
          <w:szCs w:val="22"/>
        </w:rPr>
      </w:pPr>
      <w:r w:rsidRPr="0030358C">
        <w:rPr>
          <w:rFonts w:ascii="Arial" w:hAnsi="Arial" w:cs="Arial"/>
          <w:sz w:val="22"/>
          <w:szCs w:val="22"/>
        </w:rPr>
        <w:lastRenderedPageBreak/>
        <w:t>2)    Nevztahuje se na těžký topný olej, u nějž nesmí maximální obsah síry a jejích sloučenin překročit 1 % hm. Tento požadavek se nevztahuje na těžký topný olej spalovaný</w:t>
      </w:r>
    </w:p>
    <w:p w14:paraId="0DF41B37" w14:textId="77777777" w:rsidR="00A77B3E" w:rsidRPr="0030358C" w:rsidRDefault="00000000">
      <w:pPr>
        <w:pStyle w:val="63"/>
        <w:rPr>
          <w:rFonts w:ascii="Arial" w:hAnsi="Arial" w:cs="Arial"/>
          <w:sz w:val="22"/>
          <w:szCs w:val="22"/>
        </w:rPr>
      </w:pPr>
      <w:r w:rsidRPr="0030358C">
        <w:rPr>
          <w:rFonts w:ascii="Arial" w:hAnsi="Arial" w:cs="Arial"/>
          <w:sz w:val="22"/>
          <w:szCs w:val="22"/>
        </w:rPr>
        <w:t>a)    ve spalovacích stacionárních zdrojích o celkovém jmenovitém tepelném příkonu 50 MW a vyšším,</w:t>
      </w:r>
    </w:p>
    <w:p w14:paraId="68C4D4D6" w14:textId="77777777" w:rsidR="00A77B3E" w:rsidRPr="0030358C" w:rsidRDefault="00000000">
      <w:pPr>
        <w:pStyle w:val="64"/>
        <w:rPr>
          <w:rFonts w:ascii="Arial" w:hAnsi="Arial" w:cs="Arial"/>
          <w:sz w:val="22"/>
          <w:szCs w:val="22"/>
        </w:rPr>
      </w:pPr>
      <w:r w:rsidRPr="0030358C">
        <w:rPr>
          <w:rFonts w:ascii="Arial" w:hAnsi="Arial" w:cs="Arial"/>
          <w:sz w:val="22"/>
          <w:szCs w:val="22"/>
        </w:rPr>
        <w:t xml:space="preserve">b)    v rafineriích, pokud měsíční průměr emisí oxidu siřičitého ze všech spalovacích stacionárních zdrojů v rafinerii s výjimkou spalovacích stacionárních zdrojů spadajících pod </w:t>
      </w:r>
      <w:hyperlink w:history="1">
        <w:r w:rsidR="00A77B3E" w:rsidRPr="0030358C">
          <w:rPr>
            <w:rFonts w:ascii="Arial" w:hAnsi="Arial" w:cs="Arial"/>
            <w:sz w:val="22"/>
            <w:szCs w:val="22"/>
          </w:rPr>
          <w:t>písmeno a)</w:t>
        </w:r>
      </w:hyperlink>
      <w:r w:rsidRPr="0030358C">
        <w:rPr>
          <w:rFonts w:ascii="Arial" w:hAnsi="Arial" w:cs="Arial"/>
          <w:sz w:val="22"/>
          <w:szCs w:val="22"/>
        </w:rPr>
        <w:t>, bez ohledu na druh paliva nebo kombinace používaných paliv, nepřekročí 1700 mg/m</w:t>
      </w:r>
      <w:r w:rsidRPr="0030358C">
        <w:rPr>
          <w:rFonts w:ascii="Arial" w:hAnsi="Arial" w:cs="Arial"/>
          <w:sz w:val="22"/>
          <w:szCs w:val="22"/>
          <w:vertAlign w:val="superscript"/>
        </w:rPr>
        <w:t>3</w:t>
      </w:r>
      <w:r w:rsidRPr="0030358C">
        <w:rPr>
          <w:rFonts w:ascii="Arial" w:hAnsi="Arial" w:cs="Arial"/>
          <w:sz w:val="22"/>
          <w:szCs w:val="22"/>
        </w:rPr>
        <w:t xml:space="preserve"> a tato podmínka je stanovena v povolení provozu</w:t>
      </w:r>
    </w:p>
    <w:p w14:paraId="6225F6FF" w14:textId="77777777" w:rsidR="00A77B3E" w:rsidRPr="0030358C" w:rsidRDefault="00000000">
      <w:pPr>
        <w:pStyle w:val="65"/>
        <w:rPr>
          <w:rFonts w:ascii="Arial" w:hAnsi="Arial" w:cs="Arial"/>
          <w:sz w:val="22"/>
          <w:szCs w:val="22"/>
        </w:rPr>
      </w:pPr>
      <w:r w:rsidRPr="0030358C">
        <w:rPr>
          <w:rFonts w:ascii="Arial" w:hAnsi="Arial" w:cs="Arial"/>
          <w:sz w:val="22"/>
          <w:szCs w:val="22"/>
        </w:rPr>
        <w:t>c)    v ostatních stacionárních zdrojích, pokud emisní limit pro oxid siřičitý stanovený pro ně v povolení provozu nepřekročí 1700 mg.m</w:t>
      </w:r>
      <w:r w:rsidRPr="0030358C">
        <w:rPr>
          <w:rFonts w:ascii="Arial" w:hAnsi="Arial" w:cs="Arial"/>
          <w:sz w:val="22"/>
          <w:szCs w:val="22"/>
          <w:vertAlign w:val="superscript"/>
        </w:rPr>
        <w:t>-3</w:t>
      </w:r>
      <w:r w:rsidRPr="0030358C">
        <w:rPr>
          <w:rFonts w:ascii="Arial" w:hAnsi="Arial" w:cs="Arial"/>
          <w:sz w:val="22"/>
          <w:szCs w:val="22"/>
        </w:rPr>
        <w:t xml:space="preserve"> při obsahu kyslíku ve spalinách 3 % objemová, vztaženo na suchý plyn.</w:t>
      </w:r>
    </w:p>
    <w:p w14:paraId="65818BFF" w14:textId="77777777" w:rsidR="00A77B3E" w:rsidRPr="0030358C" w:rsidRDefault="00000000">
      <w:pPr>
        <w:pStyle w:val="46"/>
        <w:rPr>
          <w:rFonts w:ascii="Arial" w:hAnsi="Arial" w:cs="Arial"/>
          <w:szCs w:val="22"/>
        </w:rPr>
      </w:pPr>
      <w:r w:rsidRPr="0030358C">
        <w:rPr>
          <w:rFonts w:ascii="Arial" w:hAnsi="Arial" w:cs="Arial"/>
          <w:szCs w:val="22"/>
        </w:rPr>
        <w:t>3.    Požadavky na kvalitu plynných paliv pro stacionární zdroje o celkovém jmenovitém tepelném příkonu do 5 MW včetně s výjimkou zemního a degazačního plynu</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374"/>
        <w:gridCol w:w="1280"/>
        <w:gridCol w:w="1964"/>
      </w:tblGrid>
      <w:tr w:rsidR="00E40657" w14:paraId="423E0DAF"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5E49D0A"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Kvalitativní ukazatel v bezvodém stavu</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E695596"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Jednotka</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A0523DF"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Limitní hodnoty</w:t>
            </w:r>
          </w:p>
        </w:tc>
      </w:tr>
      <w:tr w:rsidR="00E40657" w14:paraId="270BDB7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19FCD16"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síry a jejích sloučenin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A8BAF0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mg∙m</w:t>
            </w:r>
            <w:r w:rsidRPr="0030358C">
              <w:rPr>
                <w:rFonts w:ascii="Arial" w:hAnsi="Arial" w:cs="Arial"/>
                <w:sz w:val="22"/>
                <w:szCs w:val="22"/>
                <w:vertAlign w:val="superscript"/>
              </w:rPr>
              <w:t>-3</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BC6071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1 000</w:t>
            </w:r>
            <w:r w:rsidRPr="0030358C">
              <w:rPr>
                <w:rFonts w:ascii="Arial" w:hAnsi="Arial" w:cs="Arial"/>
                <w:sz w:val="22"/>
                <w:szCs w:val="22"/>
                <w:vertAlign w:val="superscript"/>
              </w:rPr>
              <w:t>1)</w:t>
            </w:r>
          </w:p>
        </w:tc>
      </w:tr>
      <w:tr w:rsidR="00E40657" w14:paraId="01FA0CB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CF069A3"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Obsah chlóru a jeho sloučenin</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E11452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mg∙m</w:t>
            </w:r>
            <w:r w:rsidRPr="0030358C">
              <w:rPr>
                <w:rFonts w:ascii="Arial" w:hAnsi="Arial" w:cs="Arial"/>
                <w:sz w:val="22"/>
                <w:szCs w:val="22"/>
                <w:vertAlign w:val="superscript"/>
              </w:rPr>
              <w:t>-3</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79749E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&lt; 50</w:t>
            </w:r>
          </w:p>
        </w:tc>
      </w:tr>
    </w:tbl>
    <w:p w14:paraId="70C58E95" w14:textId="77777777" w:rsidR="00A77B3E" w:rsidRPr="0030358C" w:rsidRDefault="00A77B3E">
      <w:pPr>
        <w:pStyle w:val="47"/>
        <w:rPr>
          <w:rFonts w:ascii="Arial" w:hAnsi="Arial" w:cs="Arial"/>
          <w:sz w:val="22"/>
          <w:szCs w:val="22"/>
        </w:rPr>
      </w:pPr>
    </w:p>
    <w:p w14:paraId="65FBD161"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089C72B3" w14:textId="77777777" w:rsidR="00A77B3E" w:rsidRPr="0030358C" w:rsidRDefault="00000000">
      <w:pPr>
        <w:pStyle w:val="69"/>
        <w:rPr>
          <w:rFonts w:ascii="Arial" w:hAnsi="Arial" w:cs="Arial"/>
          <w:sz w:val="22"/>
          <w:szCs w:val="22"/>
        </w:rPr>
      </w:pPr>
      <w:r w:rsidRPr="0030358C">
        <w:rPr>
          <w:rFonts w:ascii="Arial" w:hAnsi="Arial" w:cs="Arial"/>
          <w:sz w:val="22"/>
          <w:szCs w:val="22"/>
        </w:rPr>
        <w:t>1)    Vyjádřeno jako čtvrtletní průměr z minimálně 3 v čase rovnoměrně odebraných vzorků.</w:t>
      </w:r>
    </w:p>
    <w:p w14:paraId="74E8E530" w14:textId="77777777" w:rsidR="00A77B3E" w:rsidRPr="0030358C" w:rsidRDefault="00000000">
      <w:pPr>
        <w:pStyle w:val="44"/>
        <w:rPr>
          <w:rFonts w:ascii="Arial" w:hAnsi="Arial" w:cs="Arial"/>
          <w:sz w:val="22"/>
          <w:szCs w:val="22"/>
        </w:rPr>
      </w:pPr>
      <w:r w:rsidRPr="0030358C">
        <w:rPr>
          <w:rFonts w:ascii="Arial" w:hAnsi="Arial" w:cs="Arial"/>
          <w:sz w:val="22"/>
          <w:szCs w:val="22"/>
        </w:rPr>
        <w:t>Část II</w:t>
      </w:r>
    </w:p>
    <w:p w14:paraId="25AD4A11" w14:textId="77777777" w:rsidR="00A77B3E" w:rsidRPr="0030358C" w:rsidRDefault="00000000">
      <w:pPr>
        <w:pStyle w:val="8"/>
        <w:rPr>
          <w:rFonts w:ascii="Arial" w:hAnsi="Arial" w:cs="Arial"/>
          <w:sz w:val="22"/>
          <w:szCs w:val="22"/>
        </w:rPr>
      </w:pPr>
      <w:r w:rsidRPr="0030358C">
        <w:rPr>
          <w:rFonts w:ascii="Arial" w:hAnsi="Arial" w:cs="Arial"/>
          <w:sz w:val="22"/>
          <w:szCs w:val="22"/>
        </w:rPr>
        <w:t>Náležitosti hlášení o kvalitě paliva</w:t>
      </w:r>
    </w:p>
    <w:p w14:paraId="03FF29BF" w14:textId="77777777" w:rsidR="00A77B3E" w:rsidRPr="0030358C" w:rsidRDefault="00000000">
      <w:pPr>
        <w:pStyle w:val="70"/>
        <w:rPr>
          <w:rFonts w:ascii="Arial" w:hAnsi="Arial" w:cs="Arial"/>
          <w:sz w:val="22"/>
          <w:szCs w:val="22"/>
        </w:rPr>
      </w:pPr>
      <w:r>
        <w:rPr>
          <w:rFonts w:ascii="Arial" w:hAnsi="Arial" w:cs="Arial"/>
          <w:sz w:val="22"/>
          <w:szCs w:val="22"/>
        </w:rPr>
        <w:object w:dxaOrig="9075" w:dyaOrig="12675" w14:anchorId="64861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33.75pt" o:ole="">
            <v:imagedata r:id="rId10" o:title=""/>
          </v:shape>
          <o:OLEObject Type="Embed" ProgID="AcroExch.Document.2020" ShapeID="_x0000_i1025" DrawAspect="Content" ObjectID="_1802850265" r:id="rId11"/>
        </w:object>
      </w:r>
    </w:p>
    <w:p w14:paraId="6EF1475F" w14:textId="77777777" w:rsidR="00A77B3E" w:rsidRPr="0030358C" w:rsidRDefault="00A77B3E">
      <w:pPr>
        <w:pStyle w:val="1"/>
        <w:rPr>
          <w:rFonts w:ascii="Arial" w:hAnsi="Arial" w:cs="Arial"/>
          <w:sz w:val="22"/>
          <w:szCs w:val="22"/>
        </w:rPr>
      </w:pPr>
    </w:p>
    <w:p w14:paraId="394BF030" w14:textId="77777777" w:rsidR="00A77B3E" w:rsidRPr="0030358C" w:rsidRDefault="00000000">
      <w:pPr>
        <w:pStyle w:val="42"/>
        <w:rPr>
          <w:rFonts w:ascii="Arial" w:hAnsi="Arial" w:cs="Arial"/>
          <w:sz w:val="22"/>
          <w:szCs w:val="22"/>
        </w:rPr>
      </w:pPr>
      <w:r w:rsidRPr="0030358C">
        <w:rPr>
          <w:rFonts w:ascii="Arial" w:hAnsi="Arial" w:cs="Arial"/>
          <w:sz w:val="22"/>
          <w:szCs w:val="22"/>
        </w:rPr>
        <w:t>Příloha č. 4    k vyhlášce č. 415/2012 Sb.</w:t>
      </w:r>
    </w:p>
    <w:p w14:paraId="314A31D6" w14:textId="77777777" w:rsidR="00A77B3E" w:rsidRPr="0030358C" w:rsidRDefault="00000000">
      <w:pPr>
        <w:pStyle w:val="43"/>
        <w:rPr>
          <w:rFonts w:ascii="Arial" w:hAnsi="Arial" w:cs="Arial"/>
          <w:sz w:val="22"/>
          <w:szCs w:val="22"/>
        </w:rPr>
      </w:pPr>
      <w:r w:rsidRPr="0030358C">
        <w:rPr>
          <w:rFonts w:ascii="Arial" w:hAnsi="Arial" w:cs="Arial"/>
          <w:sz w:val="22"/>
          <w:szCs w:val="22"/>
        </w:rPr>
        <w:lastRenderedPageBreak/>
        <w:t>PODMÍNKY PROVOZU PRO STACIONÁRNÍ ZDROJE TEPELNĚ ZPRACOVÁVAJÍCÍ ODPAD</w:t>
      </w:r>
    </w:p>
    <w:p w14:paraId="0666B4C4" w14:textId="77777777" w:rsidR="00A77B3E" w:rsidRPr="0030358C" w:rsidRDefault="00000000">
      <w:pPr>
        <w:pStyle w:val="44"/>
        <w:rPr>
          <w:rFonts w:ascii="Arial" w:hAnsi="Arial" w:cs="Arial"/>
          <w:sz w:val="22"/>
          <w:szCs w:val="22"/>
        </w:rPr>
      </w:pPr>
      <w:r w:rsidRPr="0030358C">
        <w:rPr>
          <w:rFonts w:ascii="Arial" w:hAnsi="Arial" w:cs="Arial"/>
          <w:sz w:val="22"/>
          <w:szCs w:val="22"/>
        </w:rPr>
        <w:t>Část I</w:t>
      </w:r>
    </w:p>
    <w:p w14:paraId="2D316466" w14:textId="77777777" w:rsidR="00A77B3E" w:rsidRPr="0030358C" w:rsidRDefault="00000000">
      <w:pPr>
        <w:pStyle w:val="8"/>
        <w:rPr>
          <w:rFonts w:ascii="Arial" w:hAnsi="Arial" w:cs="Arial"/>
          <w:sz w:val="22"/>
          <w:szCs w:val="22"/>
        </w:rPr>
      </w:pPr>
      <w:r w:rsidRPr="0030358C">
        <w:rPr>
          <w:rFonts w:ascii="Arial" w:hAnsi="Arial" w:cs="Arial"/>
          <w:sz w:val="22"/>
          <w:szCs w:val="22"/>
        </w:rPr>
        <w:t>Specifické emisní limity</w:t>
      </w:r>
    </w:p>
    <w:p w14:paraId="5AE56270" w14:textId="77777777" w:rsidR="00A77B3E" w:rsidRPr="0030358C" w:rsidRDefault="00000000">
      <w:pPr>
        <w:pStyle w:val="46"/>
        <w:rPr>
          <w:rFonts w:ascii="Arial" w:hAnsi="Arial" w:cs="Arial"/>
          <w:szCs w:val="22"/>
        </w:rPr>
      </w:pPr>
      <w:r w:rsidRPr="0030358C">
        <w:rPr>
          <w:rFonts w:ascii="Arial" w:hAnsi="Arial" w:cs="Arial"/>
          <w:szCs w:val="22"/>
        </w:rPr>
        <w:t>1.    Specifické emisní limity pro spalovny odpadu</w:t>
      </w:r>
    </w:p>
    <w:p w14:paraId="2CFE442C" w14:textId="77777777" w:rsidR="00A77B3E" w:rsidRPr="0030358C" w:rsidRDefault="00000000">
      <w:pPr>
        <w:pStyle w:val="47"/>
        <w:rPr>
          <w:rFonts w:ascii="Arial" w:hAnsi="Arial" w:cs="Arial"/>
          <w:sz w:val="22"/>
          <w:szCs w:val="22"/>
        </w:rPr>
      </w:pPr>
      <w:r w:rsidRPr="0030358C">
        <w:rPr>
          <w:rFonts w:ascii="Arial" w:hAnsi="Arial" w:cs="Arial"/>
          <w:sz w:val="22"/>
          <w:szCs w:val="22"/>
        </w:rPr>
        <w:t>Emisní limity pro spalovny odpadu jsou vztaženy k celkové jmenovité kapacitě a na normální stavové podmínky a suchý plyn při referenčním obsahu kyslíku v odpadním plynu 11 %. Pro spalování odpadních olejů jsou emisní limity vztaženy k referenčnímu obsahu kyslíku v odpadním plynu 3 %. V případě jednorázového měření emisí látek uvedených v tabulce 1.1. se za emisní limit považují hodnoty denních průměrů.</w:t>
      </w:r>
    </w:p>
    <w:p w14:paraId="318A0B86" w14:textId="77777777" w:rsidR="00A77B3E" w:rsidRPr="0030358C" w:rsidRDefault="00000000">
      <w:pPr>
        <w:pStyle w:val="57"/>
        <w:rPr>
          <w:rFonts w:ascii="Arial" w:hAnsi="Arial" w:cs="Arial"/>
          <w:szCs w:val="22"/>
        </w:rPr>
      </w:pPr>
      <w:r w:rsidRPr="0030358C">
        <w:rPr>
          <w:rFonts w:ascii="Arial" w:hAnsi="Arial" w:cs="Arial"/>
          <w:szCs w:val="22"/>
        </w:rPr>
        <w:t>1.1.    Emisní limity pro znečišťující látky zjišťované primárně kontinuálním měřením</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2120"/>
        <w:gridCol w:w="1745"/>
        <w:gridCol w:w="1149"/>
        <w:gridCol w:w="1427"/>
        <w:gridCol w:w="2417"/>
      </w:tblGrid>
      <w:tr w:rsidR="00E40657" w14:paraId="46B3D98D"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7E8EEB8"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Znečišťující látka</w:t>
            </w:r>
          </w:p>
        </w:tc>
        <w:tc>
          <w:tcPr>
            <w:tcW w:w="0" w:type="auto"/>
            <w:gridSpan w:val="4"/>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E1AD6EB"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r w:rsidRPr="0030358C">
              <w:rPr>
                <w:rFonts w:ascii="Arial" w:hAnsi="Arial" w:cs="Arial"/>
                <w:b/>
                <w:bCs/>
                <w:sz w:val="22"/>
                <w:szCs w:val="22"/>
                <w:vertAlign w:val="superscript"/>
              </w:rPr>
              <w:t>1)</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6018ECFA" w14:textId="77777777">
        <w:tc>
          <w:tcPr>
            <w:tcW w:w="0" w:type="auto"/>
            <w:vMerge/>
            <w:tcBorders>
              <w:left w:val="single" w:sz="12" w:space="0" w:color="000000"/>
              <w:right w:val="single" w:sz="12" w:space="0" w:color="000000"/>
            </w:tcBorders>
            <w:vAlign w:val="center"/>
            <w:hideMark/>
          </w:tcPr>
          <w:p w14:paraId="7CADCA70" w14:textId="77777777" w:rsidR="00A77B3E" w:rsidRPr="0030358C" w:rsidRDefault="00A77B3E">
            <w:pPr>
              <w:overflowPunct w:val="0"/>
              <w:rPr>
                <w:rFonts w:ascii="Arial" w:hAnsi="Arial" w:cs="Arial"/>
                <w:b/>
                <w:bCs/>
                <w:sz w:val="22"/>
                <w:szCs w:val="22"/>
              </w:rPr>
            </w:pP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323C312F"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Denní průměr</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A37B3B6"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Půlhodinové průměry</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5F62C93"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10 minutový průměr</w:t>
            </w:r>
          </w:p>
        </w:tc>
      </w:tr>
      <w:tr w:rsidR="00E40657" w14:paraId="123EA3BD" w14:textId="77777777">
        <w:tc>
          <w:tcPr>
            <w:tcW w:w="0" w:type="auto"/>
            <w:vMerge/>
            <w:tcBorders>
              <w:left w:val="single" w:sz="12" w:space="0" w:color="000000"/>
              <w:bottom w:val="single" w:sz="12" w:space="0" w:color="000000"/>
              <w:right w:val="single" w:sz="12" w:space="0" w:color="000000"/>
            </w:tcBorders>
            <w:vAlign w:val="center"/>
            <w:hideMark/>
          </w:tcPr>
          <w:p w14:paraId="37480A0A" w14:textId="77777777" w:rsidR="00A77B3E" w:rsidRPr="0030358C" w:rsidRDefault="00A77B3E">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61B5E597"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A35C865"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97%</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C558BCE"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100 %</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8E131C2"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95%</w:t>
            </w:r>
          </w:p>
        </w:tc>
      </w:tr>
      <w:tr w:rsidR="00E40657" w14:paraId="4641C4A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81C4F59"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TZL</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11CB9F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616E7C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C6E68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487BBF0" w14:textId="77777777" w:rsidR="00A77B3E" w:rsidRPr="0030358C" w:rsidRDefault="00A77B3E">
            <w:pPr>
              <w:pStyle w:val="59"/>
              <w:overflowPunct w:val="0"/>
              <w:ind w:left="0"/>
              <w:jc w:val="center"/>
              <w:rPr>
                <w:rFonts w:ascii="Arial" w:hAnsi="Arial" w:cs="Arial"/>
                <w:sz w:val="22"/>
                <w:szCs w:val="22"/>
              </w:rPr>
            </w:pPr>
          </w:p>
        </w:tc>
      </w:tr>
      <w:tr w:rsidR="00E40657" w14:paraId="1AF0E26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422D632"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NO</w:t>
            </w:r>
            <w:r w:rsidRPr="0030358C">
              <w:rPr>
                <w:rFonts w:ascii="Arial" w:hAnsi="Arial" w:cs="Arial"/>
                <w:sz w:val="22"/>
                <w:szCs w:val="22"/>
                <w:vertAlign w:val="subscript"/>
              </w:rPr>
              <w:t>x</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80229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400</w:t>
            </w:r>
            <w:r w:rsidRPr="0030358C">
              <w:rPr>
                <w:rFonts w:ascii="Arial" w:hAnsi="Arial" w:cs="Arial"/>
                <w:sz w:val="22"/>
                <w:szCs w:val="22"/>
                <w:vertAlign w:val="superscript"/>
              </w:rPr>
              <w:t>2)</w:t>
            </w:r>
            <w:r w:rsidRPr="0030358C">
              <w:rPr>
                <w:rFonts w:ascii="Arial" w:hAnsi="Arial" w:cs="Arial"/>
                <w:sz w:val="22"/>
                <w:szCs w:val="22"/>
              </w:rPr>
              <w:b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9BBE04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990E4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400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5C613C3" w14:textId="77777777" w:rsidR="00A77B3E" w:rsidRPr="0030358C" w:rsidRDefault="00A77B3E">
            <w:pPr>
              <w:pStyle w:val="59"/>
              <w:overflowPunct w:val="0"/>
              <w:ind w:left="0"/>
              <w:jc w:val="center"/>
              <w:rPr>
                <w:rFonts w:ascii="Arial" w:hAnsi="Arial" w:cs="Arial"/>
                <w:sz w:val="22"/>
                <w:szCs w:val="22"/>
              </w:rPr>
            </w:pPr>
          </w:p>
        </w:tc>
      </w:tr>
      <w:tr w:rsidR="00E40657" w14:paraId="71695A3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629621B"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SO</w:t>
            </w:r>
            <w:r w:rsidRPr="0030358C">
              <w:rPr>
                <w:rFonts w:ascii="Arial" w:hAnsi="Arial" w:cs="Arial"/>
                <w:sz w:val="22"/>
                <w:szCs w:val="22"/>
                <w:vertAlign w:val="subscript"/>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A5687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A69CF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DF83F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3D79B30" w14:textId="77777777" w:rsidR="00A77B3E" w:rsidRPr="0030358C" w:rsidRDefault="00A77B3E">
            <w:pPr>
              <w:pStyle w:val="59"/>
              <w:overflowPunct w:val="0"/>
              <w:ind w:left="0"/>
              <w:jc w:val="center"/>
              <w:rPr>
                <w:rFonts w:ascii="Arial" w:hAnsi="Arial" w:cs="Arial"/>
                <w:sz w:val="22"/>
                <w:szCs w:val="22"/>
              </w:rPr>
            </w:pPr>
          </w:p>
        </w:tc>
      </w:tr>
      <w:tr w:rsidR="00E40657" w14:paraId="50785A7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1B64797"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TOC</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8E56FCD"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4FF06B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6B2062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6A203CB" w14:textId="77777777" w:rsidR="00A77B3E" w:rsidRPr="0030358C" w:rsidRDefault="00A77B3E">
            <w:pPr>
              <w:pStyle w:val="59"/>
              <w:overflowPunct w:val="0"/>
              <w:ind w:left="0"/>
              <w:jc w:val="center"/>
              <w:rPr>
                <w:rFonts w:ascii="Arial" w:hAnsi="Arial" w:cs="Arial"/>
                <w:sz w:val="22"/>
                <w:szCs w:val="22"/>
              </w:rPr>
            </w:pPr>
          </w:p>
        </w:tc>
      </w:tr>
      <w:tr w:rsidR="00E40657" w14:paraId="7E79CE8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4343BC9"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HCl</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E667B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2574D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400B0D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60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98C8291" w14:textId="77777777" w:rsidR="00A77B3E" w:rsidRPr="0030358C" w:rsidRDefault="00A77B3E">
            <w:pPr>
              <w:pStyle w:val="59"/>
              <w:overflowPunct w:val="0"/>
              <w:ind w:left="0"/>
              <w:jc w:val="center"/>
              <w:rPr>
                <w:rFonts w:ascii="Arial" w:hAnsi="Arial" w:cs="Arial"/>
                <w:sz w:val="22"/>
                <w:szCs w:val="22"/>
              </w:rPr>
            </w:pPr>
          </w:p>
        </w:tc>
      </w:tr>
      <w:tr w:rsidR="00E40657" w14:paraId="055921E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1F46FA1"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HF</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96B26A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B723E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E9D83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4</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019B59D" w14:textId="77777777" w:rsidR="00A77B3E" w:rsidRPr="0030358C" w:rsidRDefault="00A77B3E">
            <w:pPr>
              <w:pStyle w:val="59"/>
              <w:overflowPunct w:val="0"/>
              <w:ind w:left="0"/>
              <w:jc w:val="center"/>
              <w:rPr>
                <w:rFonts w:ascii="Arial" w:hAnsi="Arial" w:cs="Arial"/>
                <w:sz w:val="22"/>
                <w:szCs w:val="22"/>
              </w:rPr>
            </w:pPr>
          </w:p>
        </w:tc>
      </w:tr>
      <w:tr w:rsidR="00E40657" w14:paraId="367036FE"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775600C"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CO</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CF285B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F01E4F9" w14:textId="77777777" w:rsidR="00A77B3E" w:rsidRPr="0030358C" w:rsidRDefault="00A77B3E">
            <w:pPr>
              <w:pStyle w:val="59"/>
              <w:overflowPunct w:val="0"/>
              <w:ind w:left="0"/>
              <w:jc w:val="center"/>
              <w:rPr>
                <w:rFonts w:ascii="Arial" w:hAnsi="Arial" w:cs="Arial"/>
                <w:sz w:val="22"/>
                <w:szCs w:val="22"/>
              </w:rPr>
            </w:pP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6BA169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100</w:t>
            </w:r>
            <w:r w:rsidRPr="0030358C">
              <w:rPr>
                <w:rFonts w:ascii="Arial" w:hAnsi="Arial" w:cs="Arial"/>
                <w:sz w:val="22"/>
                <w:szCs w:val="22"/>
                <w:vertAlign w:val="superscript"/>
              </w:rPr>
              <w:t>3)</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C00D17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150</w:t>
            </w:r>
            <w:r w:rsidRPr="0030358C">
              <w:rPr>
                <w:rFonts w:ascii="Arial" w:hAnsi="Arial" w:cs="Arial"/>
                <w:sz w:val="22"/>
                <w:szCs w:val="22"/>
                <w:vertAlign w:val="superscript"/>
              </w:rPr>
              <w:t>3)</w:t>
            </w:r>
          </w:p>
        </w:tc>
      </w:tr>
    </w:tbl>
    <w:p w14:paraId="09FA7EAD" w14:textId="77777777" w:rsidR="00A77B3E" w:rsidRPr="0030358C" w:rsidRDefault="00A77B3E">
      <w:pPr>
        <w:pStyle w:val="59"/>
        <w:rPr>
          <w:rFonts w:ascii="Arial" w:hAnsi="Arial" w:cs="Arial"/>
          <w:sz w:val="22"/>
          <w:szCs w:val="22"/>
        </w:rPr>
      </w:pPr>
    </w:p>
    <w:p w14:paraId="69DA6280" w14:textId="77777777" w:rsidR="00A77B3E" w:rsidRPr="0030358C" w:rsidRDefault="00000000" w:rsidP="001B6F37">
      <w:pPr>
        <w:pStyle w:val="59"/>
        <w:ind w:left="0"/>
        <w:rPr>
          <w:rFonts w:ascii="Arial" w:hAnsi="Arial" w:cs="Arial"/>
          <w:sz w:val="22"/>
          <w:szCs w:val="22"/>
        </w:rPr>
      </w:pPr>
      <w:r w:rsidRPr="0030358C">
        <w:rPr>
          <w:rFonts w:ascii="Arial" w:hAnsi="Arial" w:cs="Arial"/>
          <w:sz w:val="22"/>
          <w:szCs w:val="22"/>
        </w:rPr>
        <w:t>Vysvětlivky:</w:t>
      </w:r>
    </w:p>
    <w:p w14:paraId="7A01B66B" w14:textId="77777777" w:rsidR="00A77B3E" w:rsidRPr="0030358C" w:rsidRDefault="00000000" w:rsidP="001B6F37">
      <w:pPr>
        <w:pStyle w:val="71"/>
        <w:ind w:left="0"/>
        <w:rPr>
          <w:rFonts w:ascii="Arial" w:hAnsi="Arial" w:cs="Arial"/>
          <w:sz w:val="22"/>
          <w:szCs w:val="22"/>
        </w:rPr>
      </w:pPr>
      <w:r w:rsidRPr="0030358C">
        <w:rPr>
          <w:rFonts w:ascii="Arial" w:hAnsi="Arial" w:cs="Arial"/>
          <w:sz w:val="22"/>
          <w:szCs w:val="22"/>
        </w:rPr>
        <w:t>1)    V případě poruchy nesmí být za žádných okolností překročeny specifické emisní limity pro celkový organický uhlík a oxid uhelnatý stanovené podle této tabulky a koncentrace tuhých znečišťujících látek 150 mg.m</w:t>
      </w:r>
      <w:r w:rsidRPr="0030358C">
        <w:rPr>
          <w:rFonts w:ascii="Arial" w:hAnsi="Arial" w:cs="Arial"/>
          <w:sz w:val="22"/>
          <w:szCs w:val="22"/>
          <w:vertAlign w:val="superscript"/>
        </w:rPr>
        <w:t>-3</w:t>
      </w:r>
      <w:r w:rsidRPr="0030358C">
        <w:rPr>
          <w:rFonts w:ascii="Arial" w:hAnsi="Arial" w:cs="Arial"/>
          <w:sz w:val="22"/>
          <w:szCs w:val="22"/>
        </w:rPr>
        <w:t>, vyjádřené jako průměrné půlhodinové hodnoty.</w:t>
      </w:r>
    </w:p>
    <w:p w14:paraId="2EC0129F" w14:textId="77777777" w:rsidR="00A77B3E" w:rsidRPr="0030358C" w:rsidRDefault="00000000" w:rsidP="001B6F37">
      <w:pPr>
        <w:pStyle w:val="61"/>
        <w:ind w:left="0"/>
        <w:rPr>
          <w:rFonts w:ascii="Arial" w:hAnsi="Arial" w:cs="Arial"/>
          <w:sz w:val="22"/>
          <w:szCs w:val="22"/>
        </w:rPr>
      </w:pPr>
      <w:r w:rsidRPr="0030358C">
        <w:rPr>
          <w:rFonts w:ascii="Arial" w:hAnsi="Arial" w:cs="Arial"/>
          <w:sz w:val="22"/>
          <w:szCs w:val="22"/>
        </w:rPr>
        <w:t>2)    Vztahuje se pouze na stacionární zdroje tepelně zpracovávající odpad o celkové jmenovité kapacitě nižší než 6 t.h</w:t>
      </w:r>
      <w:r w:rsidRPr="0030358C">
        <w:rPr>
          <w:rFonts w:ascii="Arial" w:hAnsi="Arial" w:cs="Arial"/>
          <w:sz w:val="22"/>
          <w:szCs w:val="22"/>
          <w:vertAlign w:val="superscript"/>
        </w:rPr>
        <w:t>-1</w:t>
      </w:r>
      <w:r w:rsidRPr="0030358C">
        <w:rPr>
          <w:rFonts w:ascii="Arial" w:hAnsi="Arial" w:cs="Arial"/>
          <w:sz w:val="22"/>
          <w:szCs w:val="22"/>
        </w:rPr>
        <w:t xml:space="preserve"> povolené pro tepelné zpracování odpadu před 28. prosincem 2002 a uvedené do provozu nejpozději 28. prosince 2003 nebo pokud provozovatel podal úplnou žádost o povolení před 28. prosincem 2002 za podmínky že stacionární zdroj byl uveden do provozu nejpozději 28. prosince 2004. Na tyto stacionární zdroje se nevztahuje povinnost plnit půlhodinové průměry koncentrací NOx.</w:t>
      </w:r>
    </w:p>
    <w:p w14:paraId="19971908" w14:textId="77777777" w:rsidR="00A77B3E" w:rsidRPr="0030358C" w:rsidRDefault="00000000" w:rsidP="001B6F37">
      <w:pPr>
        <w:pStyle w:val="62"/>
        <w:ind w:left="0"/>
        <w:rPr>
          <w:rFonts w:ascii="Arial" w:hAnsi="Arial" w:cs="Arial"/>
          <w:sz w:val="22"/>
          <w:szCs w:val="22"/>
        </w:rPr>
      </w:pPr>
      <w:r w:rsidRPr="0030358C">
        <w:rPr>
          <w:rFonts w:ascii="Arial" w:hAnsi="Arial" w:cs="Arial"/>
          <w:sz w:val="22"/>
          <w:szCs w:val="22"/>
        </w:rPr>
        <w:t>3)    Pro spalovny odpadu s fluidním ložem může příslušný orgán povolit výjimky z emisních limitů pro CO, pokud v povolení provozu současně stanoví emisní limit vyjádřený jako průměrná hodinová hodnota nejvýše 100 mg.m</w:t>
      </w:r>
      <w:r w:rsidRPr="0030358C">
        <w:rPr>
          <w:rFonts w:ascii="Arial" w:hAnsi="Arial" w:cs="Arial"/>
          <w:sz w:val="22"/>
          <w:szCs w:val="22"/>
          <w:vertAlign w:val="superscript"/>
        </w:rPr>
        <w:t>-3</w:t>
      </w:r>
      <w:r w:rsidRPr="0030358C">
        <w:rPr>
          <w:rFonts w:ascii="Arial" w:hAnsi="Arial" w:cs="Arial"/>
          <w:sz w:val="22"/>
          <w:szCs w:val="22"/>
        </w:rPr>
        <w:t>.</w:t>
      </w:r>
    </w:p>
    <w:p w14:paraId="54A81562" w14:textId="77777777" w:rsidR="00A77B3E" w:rsidRPr="0030358C" w:rsidRDefault="00000000" w:rsidP="001B6F37">
      <w:pPr>
        <w:pStyle w:val="57"/>
        <w:ind w:left="340"/>
        <w:rPr>
          <w:rFonts w:ascii="Arial" w:hAnsi="Arial" w:cs="Arial"/>
          <w:szCs w:val="22"/>
        </w:rPr>
      </w:pPr>
      <w:r w:rsidRPr="0030358C">
        <w:rPr>
          <w:rFonts w:ascii="Arial" w:hAnsi="Arial" w:cs="Arial"/>
          <w:szCs w:val="22"/>
        </w:rPr>
        <w:t>1.2.    Emisní limity pro znečišťující látky zjišťované primárně jednorázovým měřením</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428"/>
        <w:gridCol w:w="1797"/>
      </w:tblGrid>
      <w:tr w:rsidR="00E40657" w14:paraId="7C106ADF"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F492366"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Znečišťující látky</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3DFCEE1"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738A6A2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CE0E4C0"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lastRenderedPageBreak/>
              <w:t>Cd+Tl a jejich sloučeniny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AB4576A"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0,05 mg.m</w:t>
            </w:r>
            <w:r w:rsidRPr="0030358C">
              <w:rPr>
                <w:rFonts w:ascii="Arial" w:hAnsi="Arial" w:cs="Arial"/>
                <w:sz w:val="22"/>
                <w:szCs w:val="22"/>
                <w:vertAlign w:val="superscript"/>
              </w:rPr>
              <w:t>-3</w:t>
            </w:r>
          </w:p>
        </w:tc>
      </w:tr>
      <w:tr w:rsidR="00E40657" w14:paraId="6EDBCEE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01742B2"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Hg a její sloučeniny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7666920"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0,05 mg.m</w:t>
            </w:r>
            <w:r w:rsidRPr="0030358C">
              <w:rPr>
                <w:rFonts w:ascii="Arial" w:hAnsi="Arial" w:cs="Arial"/>
                <w:sz w:val="22"/>
                <w:szCs w:val="22"/>
                <w:vertAlign w:val="superscript"/>
              </w:rPr>
              <w:t>-3</w:t>
            </w:r>
          </w:p>
        </w:tc>
      </w:tr>
      <w:tr w:rsidR="00E40657" w14:paraId="6D5383C2"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19CA147"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Sb+As+Pb+Cr+Co+Cu+Mn+Ni+V a jejich sloučeniny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0E3C6EE"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0,5 mg.m</w:t>
            </w:r>
            <w:r w:rsidRPr="0030358C">
              <w:rPr>
                <w:rFonts w:ascii="Arial" w:hAnsi="Arial" w:cs="Arial"/>
                <w:sz w:val="22"/>
                <w:szCs w:val="22"/>
                <w:vertAlign w:val="superscript"/>
              </w:rPr>
              <w:t>-3</w:t>
            </w:r>
          </w:p>
        </w:tc>
      </w:tr>
      <w:tr w:rsidR="00E40657" w14:paraId="5265316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7F2930D"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PCDD/F</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0003103"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0,1 ng TEQ.m</w:t>
            </w:r>
            <w:r w:rsidRPr="0030358C">
              <w:rPr>
                <w:rFonts w:ascii="Arial" w:hAnsi="Arial" w:cs="Arial"/>
                <w:sz w:val="22"/>
                <w:szCs w:val="22"/>
                <w:vertAlign w:val="superscript"/>
              </w:rPr>
              <w:t>-3</w:t>
            </w:r>
          </w:p>
        </w:tc>
      </w:tr>
    </w:tbl>
    <w:p w14:paraId="0F2448A8" w14:textId="77777777" w:rsidR="00A77B3E" w:rsidRPr="0030358C" w:rsidRDefault="00A77B3E">
      <w:pPr>
        <w:pStyle w:val="59"/>
        <w:rPr>
          <w:rFonts w:ascii="Arial" w:hAnsi="Arial" w:cs="Arial"/>
          <w:sz w:val="22"/>
          <w:szCs w:val="22"/>
        </w:rPr>
      </w:pPr>
    </w:p>
    <w:p w14:paraId="7E041684" w14:textId="77777777" w:rsidR="00A77B3E" w:rsidRPr="0030358C" w:rsidRDefault="00000000">
      <w:pPr>
        <w:pStyle w:val="66"/>
        <w:rPr>
          <w:rFonts w:ascii="Arial" w:hAnsi="Arial" w:cs="Arial"/>
          <w:szCs w:val="22"/>
        </w:rPr>
      </w:pPr>
      <w:r w:rsidRPr="0030358C">
        <w:rPr>
          <w:rFonts w:ascii="Arial" w:hAnsi="Arial" w:cs="Arial"/>
          <w:szCs w:val="22"/>
        </w:rPr>
        <w:t xml:space="preserve">2.    Specifické emisní limity pro stacionární zdroje tepelně zpracovávající odpad </w:t>
      </w:r>
      <w:r w:rsidRPr="0030358C">
        <w:rPr>
          <w:rFonts w:ascii="Arial" w:hAnsi="Arial" w:cs="Arial"/>
          <w:strike/>
          <w:szCs w:val="22"/>
        </w:rPr>
        <w:t>společně s palivem</w:t>
      </w:r>
      <w:r w:rsidRPr="0030358C">
        <w:rPr>
          <w:rFonts w:ascii="Arial" w:hAnsi="Arial" w:cs="Arial"/>
          <w:szCs w:val="22"/>
        </w:rPr>
        <w:t>, jiné než spalovny odpadu</w:t>
      </w:r>
    </w:p>
    <w:p w14:paraId="7DE0BCB6" w14:textId="77777777" w:rsidR="00A77B3E" w:rsidRPr="0030358C" w:rsidRDefault="00000000" w:rsidP="001B6F37">
      <w:pPr>
        <w:pStyle w:val="67"/>
        <w:ind w:left="623"/>
        <w:rPr>
          <w:rFonts w:ascii="Arial" w:hAnsi="Arial" w:cs="Arial"/>
          <w:szCs w:val="22"/>
        </w:rPr>
      </w:pPr>
      <w:r w:rsidRPr="0030358C">
        <w:rPr>
          <w:rFonts w:ascii="Arial" w:hAnsi="Arial" w:cs="Arial"/>
          <w:szCs w:val="22"/>
        </w:rPr>
        <w:t>2.1.    Specifické emisní limity pro cementářské pece tepelně zpracovávající odpad společně s palivem</w:t>
      </w:r>
    </w:p>
    <w:p w14:paraId="31B48E93" w14:textId="77777777" w:rsidR="00A77B3E" w:rsidRPr="0030358C" w:rsidRDefault="00000000" w:rsidP="001B6F37">
      <w:pPr>
        <w:pStyle w:val="59"/>
        <w:ind w:left="623"/>
        <w:rPr>
          <w:rFonts w:ascii="Arial" w:hAnsi="Arial" w:cs="Arial"/>
          <w:sz w:val="22"/>
          <w:szCs w:val="22"/>
        </w:rPr>
      </w:pPr>
      <w:r w:rsidRPr="0030358C">
        <w:rPr>
          <w:rFonts w:ascii="Arial" w:hAnsi="Arial" w:cs="Arial"/>
          <w:sz w:val="22"/>
          <w:szCs w:val="22"/>
        </w:rPr>
        <w:t xml:space="preserve">Emisní limity se vztahují na normální stavové podmínky, suchý plyn a referenční obsah kyslíku 10 % a představují v případě kontinuálního měření průměrnou denní hodnotu. Dále jsou uplatněny emisní limity pro těžké kovy a PCDD/F jako v </w:t>
      </w:r>
      <w:hyperlink w:history="1">
        <w:r w:rsidR="00A77B3E" w:rsidRPr="0030358C">
          <w:rPr>
            <w:rFonts w:ascii="Arial" w:hAnsi="Arial" w:cs="Arial"/>
            <w:sz w:val="22"/>
            <w:szCs w:val="22"/>
          </w:rPr>
          <w:t>bodu 1.2 části I</w:t>
        </w:r>
      </w:hyperlink>
      <w:r w:rsidRPr="0030358C">
        <w:rPr>
          <w:rFonts w:ascii="Arial" w:hAnsi="Arial" w:cs="Arial"/>
          <w:sz w:val="22"/>
          <w:szCs w:val="22"/>
        </w:rPr>
        <w:t xml:space="preserve"> této přílohy.</w:t>
      </w:r>
    </w:p>
    <w:p w14:paraId="76CE6C00" w14:textId="77777777" w:rsidR="00D804A3" w:rsidRPr="0030358C" w:rsidRDefault="00D804A3" w:rsidP="001B6F37">
      <w:pPr>
        <w:pStyle w:val="59"/>
        <w:ind w:left="623"/>
        <w:rPr>
          <w:rFonts w:ascii="Arial" w:hAnsi="Arial" w:cs="Arial"/>
          <w:sz w:val="22"/>
          <w:szCs w:val="22"/>
        </w:rPr>
      </w:pPr>
    </w:p>
    <w:tbl>
      <w:tblPr>
        <w:tblStyle w:val="data-tisk-na-sirku"/>
        <w:tblW w:w="9030"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528"/>
        <w:gridCol w:w="4502"/>
      </w:tblGrid>
      <w:tr w:rsidR="00E40657" w14:paraId="36C10166" w14:textId="77777777" w:rsidTr="00760B1A">
        <w:trPr>
          <w:trHeight w:val="324"/>
        </w:trPr>
        <w:tc>
          <w:tcPr>
            <w:tcW w:w="4528"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8122A98"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Znečišťující látka</w:t>
            </w:r>
          </w:p>
        </w:tc>
        <w:tc>
          <w:tcPr>
            <w:tcW w:w="4502"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BF8E6F5"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43EC7622" w14:textId="77777777" w:rsidTr="00760B1A">
        <w:trPr>
          <w:trHeight w:val="324"/>
        </w:trPr>
        <w:tc>
          <w:tcPr>
            <w:tcW w:w="452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55F68F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TZL</w:t>
            </w:r>
          </w:p>
        </w:tc>
        <w:tc>
          <w:tcPr>
            <w:tcW w:w="450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84AAD7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30</w:t>
            </w:r>
          </w:p>
        </w:tc>
      </w:tr>
      <w:tr w:rsidR="00E40657" w14:paraId="211B8EA4" w14:textId="77777777" w:rsidTr="00760B1A">
        <w:trPr>
          <w:trHeight w:val="341"/>
        </w:trPr>
        <w:tc>
          <w:tcPr>
            <w:tcW w:w="452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17CC50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NO</w:t>
            </w:r>
            <w:r w:rsidRPr="0030358C">
              <w:rPr>
                <w:rFonts w:ascii="Arial" w:hAnsi="Arial" w:cs="Arial"/>
                <w:sz w:val="22"/>
                <w:szCs w:val="22"/>
                <w:vertAlign w:val="subscript"/>
              </w:rPr>
              <w:t>x</w:t>
            </w:r>
          </w:p>
        </w:tc>
        <w:tc>
          <w:tcPr>
            <w:tcW w:w="450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A9F6CB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500</w:t>
            </w:r>
          </w:p>
        </w:tc>
      </w:tr>
      <w:tr w:rsidR="00E40657" w14:paraId="1595BD50" w14:textId="77777777" w:rsidTr="00760B1A">
        <w:trPr>
          <w:trHeight w:val="324"/>
        </w:trPr>
        <w:tc>
          <w:tcPr>
            <w:tcW w:w="452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93BE659"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SO</w:t>
            </w:r>
            <w:r w:rsidRPr="0030358C">
              <w:rPr>
                <w:rFonts w:ascii="Arial" w:hAnsi="Arial" w:cs="Arial"/>
                <w:sz w:val="22"/>
                <w:szCs w:val="22"/>
                <w:vertAlign w:val="subscript"/>
              </w:rPr>
              <w:t>2</w:t>
            </w:r>
          </w:p>
        </w:tc>
        <w:tc>
          <w:tcPr>
            <w:tcW w:w="450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A00A3B9"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r w:rsidRPr="0030358C">
              <w:rPr>
                <w:rFonts w:ascii="Arial" w:hAnsi="Arial" w:cs="Arial"/>
                <w:sz w:val="22"/>
                <w:szCs w:val="22"/>
                <w:vertAlign w:val="superscript"/>
              </w:rPr>
              <w:t>1),</w:t>
            </w:r>
            <w:r w:rsidRPr="0030358C">
              <w:rPr>
                <w:rFonts w:ascii="Arial" w:hAnsi="Arial" w:cs="Arial"/>
                <w:sz w:val="22"/>
                <w:szCs w:val="22"/>
              </w:rPr>
              <w:t xml:space="preserve"> </w:t>
            </w:r>
            <w:r w:rsidRPr="0030358C">
              <w:rPr>
                <w:rFonts w:ascii="Arial" w:hAnsi="Arial" w:cs="Arial"/>
                <w:sz w:val="22"/>
                <w:szCs w:val="22"/>
                <w:vertAlign w:val="superscript"/>
              </w:rPr>
              <w:t>2)</w:t>
            </w:r>
          </w:p>
        </w:tc>
      </w:tr>
      <w:tr w:rsidR="00E40657" w14:paraId="2F2A4B5E" w14:textId="77777777" w:rsidTr="00760B1A">
        <w:trPr>
          <w:trHeight w:val="341"/>
        </w:trPr>
        <w:tc>
          <w:tcPr>
            <w:tcW w:w="452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C8C560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TOC</w:t>
            </w:r>
          </w:p>
        </w:tc>
        <w:tc>
          <w:tcPr>
            <w:tcW w:w="450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ECCBAE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r w:rsidRPr="0030358C">
              <w:rPr>
                <w:rFonts w:ascii="Arial" w:hAnsi="Arial" w:cs="Arial"/>
                <w:sz w:val="22"/>
                <w:szCs w:val="22"/>
                <w:vertAlign w:val="superscript"/>
              </w:rPr>
              <w:t>1)</w:t>
            </w:r>
          </w:p>
        </w:tc>
      </w:tr>
      <w:tr w:rsidR="00E40657" w14:paraId="4811E929" w14:textId="77777777" w:rsidTr="00760B1A">
        <w:trPr>
          <w:trHeight w:val="324"/>
        </w:trPr>
        <w:tc>
          <w:tcPr>
            <w:tcW w:w="452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49A11C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HCl</w:t>
            </w:r>
          </w:p>
        </w:tc>
        <w:tc>
          <w:tcPr>
            <w:tcW w:w="450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5A8640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r>
      <w:tr w:rsidR="00E40657" w14:paraId="3BC753CA" w14:textId="77777777" w:rsidTr="00760B1A">
        <w:trPr>
          <w:trHeight w:val="341"/>
        </w:trPr>
        <w:tc>
          <w:tcPr>
            <w:tcW w:w="4528" w:type="dxa"/>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22A9F7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HF</w:t>
            </w:r>
          </w:p>
        </w:tc>
        <w:tc>
          <w:tcPr>
            <w:tcW w:w="4502"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8345C5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w:t>
            </w:r>
          </w:p>
        </w:tc>
      </w:tr>
    </w:tbl>
    <w:p w14:paraId="68E65295" w14:textId="77777777" w:rsidR="00A77B3E" w:rsidRPr="0030358C" w:rsidRDefault="00A77B3E">
      <w:pPr>
        <w:pStyle w:val="59"/>
        <w:rPr>
          <w:rFonts w:ascii="Arial" w:hAnsi="Arial" w:cs="Arial"/>
          <w:sz w:val="22"/>
          <w:szCs w:val="22"/>
        </w:rPr>
      </w:pPr>
    </w:p>
    <w:p w14:paraId="66FB150A" w14:textId="77777777" w:rsidR="00A77B3E" w:rsidRPr="0030358C" w:rsidRDefault="00000000" w:rsidP="001B6F37">
      <w:pPr>
        <w:pStyle w:val="60"/>
        <w:ind w:left="0"/>
        <w:rPr>
          <w:rFonts w:ascii="Arial" w:hAnsi="Arial" w:cs="Arial"/>
          <w:sz w:val="22"/>
          <w:szCs w:val="22"/>
        </w:rPr>
      </w:pPr>
      <w:r w:rsidRPr="0030358C">
        <w:rPr>
          <w:rFonts w:ascii="Arial" w:hAnsi="Arial" w:cs="Arial"/>
          <w:sz w:val="22"/>
          <w:szCs w:val="22"/>
        </w:rPr>
        <w:t>Vysvětlivky:</w:t>
      </w:r>
    </w:p>
    <w:p w14:paraId="49630496" w14:textId="77777777" w:rsidR="00A77B3E" w:rsidRPr="0030358C" w:rsidRDefault="00000000" w:rsidP="001B6F37">
      <w:pPr>
        <w:pStyle w:val="61"/>
        <w:ind w:left="0"/>
        <w:rPr>
          <w:rFonts w:ascii="Arial" w:hAnsi="Arial" w:cs="Arial"/>
          <w:sz w:val="22"/>
          <w:szCs w:val="22"/>
        </w:rPr>
      </w:pPr>
      <w:r w:rsidRPr="0030358C">
        <w:rPr>
          <w:rFonts w:ascii="Arial" w:hAnsi="Arial" w:cs="Arial"/>
          <w:sz w:val="22"/>
          <w:szCs w:val="22"/>
        </w:rPr>
        <w:t>1)    V případě, že emise oxidu siřičitého nebo celkového organického uhlíku nevznikají tepelným zpracováním odpadu, může krajský úřad udělit výjimky z emisních limitů stanovených pro tyto znečišťující látky.</w:t>
      </w:r>
    </w:p>
    <w:p w14:paraId="76B3D42B" w14:textId="77777777" w:rsidR="00A77B3E" w:rsidRPr="0030358C" w:rsidRDefault="00000000" w:rsidP="001B6F37">
      <w:pPr>
        <w:pStyle w:val="62"/>
        <w:ind w:left="0"/>
        <w:rPr>
          <w:rFonts w:ascii="Arial" w:hAnsi="Arial" w:cs="Arial"/>
          <w:sz w:val="22"/>
          <w:szCs w:val="22"/>
        </w:rPr>
      </w:pPr>
      <w:r w:rsidRPr="0030358C">
        <w:rPr>
          <w:rFonts w:ascii="Arial" w:hAnsi="Arial" w:cs="Arial"/>
          <w:sz w:val="22"/>
          <w:szCs w:val="22"/>
        </w:rPr>
        <w:t xml:space="preserve">2)    Při stanovení emisního limitu pro oxid siřičitý vychází krajský úřad z emisního limitu uvedeného v bodě 4.1.2 </w:t>
      </w:r>
      <w:hyperlink w:history="1">
        <w:r w:rsidR="00A77B3E" w:rsidRPr="0030358C">
          <w:rPr>
            <w:rFonts w:ascii="Arial" w:hAnsi="Arial" w:cs="Arial"/>
            <w:sz w:val="22"/>
            <w:szCs w:val="22"/>
          </w:rPr>
          <w:t>přílohy č. 8</w:t>
        </w:r>
      </w:hyperlink>
      <w:r w:rsidRPr="0030358C">
        <w:rPr>
          <w:rFonts w:ascii="Arial" w:hAnsi="Arial" w:cs="Arial"/>
          <w:sz w:val="22"/>
          <w:szCs w:val="22"/>
        </w:rPr>
        <w:t xml:space="preserve"> k této vyhlášce.</w:t>
      </w:r>
    </w:p>
    <w:p w14:paraId="6BDF621D" w14:textId="77777777" w:rsidR="00A77B3E" w:rsidRPr="0030358C" w:rsidRDefault="00000000" w:rsidP="001B6F37">
      <w:pPr>
        <w:pStyle w:val="57"/>
        <w:ind w:left="340"/>
        <w:rPr>
          <w:rFonts w:ascii="Arial" w:hAnsi="Arial" w:cs="Arial"/>
          <w:strike/>
          <w:szCs w:val="22"/>
        </w:rPr>
      </w:pPr>
      <w:r w:rsidRPr="0030358C">
        <w:rPr>
          <w:rFonts w:ascii="Arial" w:hAnsi="Arial" w:cs="Arial"/>
          <w:szCs w:val="22"/>
        </w:rPr>
        <w:t xml:space="preserve">2.2.    </w:t>
      </w:r>
      <w:r w:rsidRPr="0030358C">
        <w:rPr>
          <w:rFonts w:ascii="Arial" w:hAnsi="Arial" w:cs="Arial"/>
          <w:strike/>
          <w:szCs w:val="22"/>
        </w:rPr>
        <w:t>Specifické emisní limity pro stacionární zdroje tepelně zpracovávající odpad společně s palivem jiné než spalovny odpadu a cementářské rotační pece</w:t>
      </w:r>
    </w:p>
    <w:p w14:paraId="73C3F356" w14:textId="77777777" w:rsidR="004E0CA1" w:rsidRPr="0030358C" w:rsidRDefault="00000000" w:rsidP="004E0CA1">
      <w:pPr>
        <w:pStyle w:val="57"/>
        <w:ind w:left="340" w:firstLine="0"/>
        <w:rPr>
          <w:rFonts w:ascii="Arial" w:hAnsi="Arial" w:cs="Arial"/>
          <w:b/>
          <w:bCs/>
          <w:strike/>
          <w:szCs w:val="22"/>
        </w:rPr>
      </w:pPr>
      <w:bookmarkStart w:id="46" w:name="_Hlk184892271"/>
      <w:r w:rsidRPr="0030358C">
        <w:rPr>
          <w:rFonts w:ascii="Arial" w:hAnsi="Arial" w:cs="Arial"/>
          <w:b/>
          <w:bCs/>
          <w:szCs w:val="22"/>
        </w:rPr>
        <w:t>Specifické emisní limity pro spalovací stacionární zdroje zařazené do kódu 1.1</w:t>
      </w:r>
      <w:r w:rsidR="00027C3A" w:rsidRPr="0030358C">
        <w:rPr>
          <w:rFonts w:ascii="Arial" w:hAnsi="Arial" w:cs="Arial"/>
          <w:b/>
          <w:bCs/>
          <w:szCs w:val="22"/>
        </w:rPr>
        <w:t>.</w:t>
      </w:r>
      <w:r w:rsidRPr="0030358C">
        <w:rPr>
          <w:rFonts w:ascii="Arial" w:hAnsi="Arial" w:cs="Arial"/>
          <w:b/>
          <w:bCs/>
          <w:szCs w:val="22"/>
        </w:rPr>
        <w:t xml:space="preserve"> až 1.4</w:t>
      </w:r>
      <w:r w:rsidR="00027C3A" w:rsidRPr="0030358C">
        <w:rPr>
          <w:rFonts w:ascii="Arial" w:hAnsi="Arial" w:cs="Arial"/>
          <w:b/>
          <w:bCs/>
          <w:szCs w:val="22"/>
        </w:rPr>
        <w:t>.</w:t>
      </w:r>
      <w:r w:rsidRPr="0030358C">
        <w:rPr>
          <w:rFonts w:ascii="Arial" w:hAnsi="Arial" w:cs="Arial"/>
          <w:b/>
          <w:bCs/>
          <w:szCs w:val="22"/>
        </w:rPr>
        <w:t xml:space="preserve"> přílohy č. 2 zákona tepelně zpracovávající odpad</w:t>
      </w:r>
    </w:p>
    <w:bookmarkEnd w:id="46"/>
    <w:p w14:paraId="3F5B0D5F" w14:textId="77777777" w:rsidR="00A77B3E" w:rsidRPr="0030358C" w:rsidRDefault="00000000" w:rsidP="001B6F37">
      <w:pPr>
        <w:pStyle w:val="60"/>
        <w:ind w:left="340"/>
        <w:rPr>
          <w:rFonts w:ascii="Arial" w:hAnsi="Arial" w:cs="Arial"/>
          <w:sz w:val="22"/>
          <w:szCs w:val="22"/>
        </w:rPr>
      </w:pPr>
      <w:r w:rsidRPr="0030358C">
        <w:rPr>
          <w:rFonts w:ascii="Arial" w:hAnsi="Arial" w:cs="Arial"/>
          <w:sz w:val="22"/>
          <w:szCs w:val="22"/>
        </w:rPr>
        <w:t>Specifické emisní limity pro spalovací stacionární zdroje jsou vztaženy k celkovému jmenovitému tepelnému příkonu a na normální stavové podmínky, suchý plyn, pro pevná paliva jsou vztaženy k vypočtenému referenčnímu obsahu kyslíku.</w:t>
      </w:r>
    </w:p>
    <w:p w14:paraId="231CDB57" w14:textId="77777777" w:rsidR="00A77B3E" w:rsidRPr="0030358C" w:rsidRDefault="00000000" w:rsidP="001B6F37">
      <w:pPr>
        <w:pStyle w:val="72"/>
        <w:ind w:left="340"/>
        <w:rPr>
          <w:rFonts w:ascii="Arial" w:hAnsi="Arial" w:cs="Arial"/>
          <w:sz w:val="22"/>
          <w:szCs w:val="22"/>
        </w:rPr>
      </w:pPr>
      <w:r w:rsidRPr="0030358C">
        <w:rPr>
          <w:rFonts w:ascii="Arial" w:hAnsi="Arial" w:cs="Arial"/>
          <w:sz w:val="22"/>
          <w:szCs w:val="22"/>
        </w:rPr>
        <w:t>Emisní limity stanovené jako denní průměry pro TZL, NO</w:t>
      </w:r>
      <w:r w:rsidRPr="0030358C">
        <w:rPr>
          <w:rFonts w:ascii="Arial" w:hAnsi="Arial" w:cs="Arial"/>
          <w:sz w:val="22"/>
          <w:szCs w:val="22"/>
          <w:vertAlign w:val="subscript"/>
        </w:rPr>
        <w:t>x</w:t>
      </w:r>
      <w:r w:rsidRPr="0030358C">
        <w:rPr>
          <w:rFonts w:ascii="Arial" w:hAnsi="Arial" w:cs="Arial"/>
          <w:sz w:val="22"/>
          <w:szCs w:val="22"/>
        </w:rPr>
        <w:t>, SO</w:t>
      </w:r>
      <w:r w:rsidRPr="0030358C">
        <w:rPr>
          <w:rFonts w:ascii="Arial" w:hAnsi="Arial" w:cs="Arial"/>
          <w:sz w:val="22"/>
          <w:szCs w:val="22"/>
          <w:vertAlign w:val="subscript"/>
        </w:rPr>
        <w:t>2</w:t>
      </w:r>
      <w:r w:rsidRPr="0030358C">
        <w:rPr>
          <w:rFonts w:ascii="Arial" w:hAnsi="Arial" w:cs="Arial"/>
          <w:sz w:val="22"/>
          <w:szCs w:val="22"/>
        </w:rPr>
        <w:t>, TOC, HCl a HF pro tepelné zpracování odpadu společně s palivem se vypočtou podle následujícího vzorce:</w:t>
      </w:r>
    </w:p>
    <w:p w14:paraId="25176CAD" w14:textId="77777777" w:rsidR="00A77B3E" w:rsidRPr="0030358C" w:rsidRDefault="00000000">
      <w:pPr>
        <w:pStyle w:val="59"/>
        <w:rPr>
          <w:rFonts w:ascii="Arial" w:hAnsi="Arial" w:cs="Arial"/>
          <w:sz w:val="22"/>
          <w:szCs w:val="22"/>
        </w:rPr>
      </w:pPr>
      <m:oMathPara>
        <m:oMathParaPr>
          <m:jc m:val="left"/>
        </m:oMathParaPr>
        <m:oMath>
          <m:f>
            <m:fPr>
              <m:ctrlPr>
                <w:rPr>
                  <w:rFonts w:ascii="Cambria Math" w:hAnsi="Cambria Math" w:cs="Arial"/>
                  <w:sz w:val="22"/>
                  <w:szCs w:val="22"/>
                </w:rPr>
              </m:ctrlPr>
            </m:fPr>
            <m:num>
              <m:r>
                <w:rPr>
                  <w:rFonts w:ascii="Cambria Math" w:eastAsia="Cambria Math" w:hAnsi="Cambria Math" w:cs="Arial"/>
                  <w:sz w:val="22"/>
                  <w:szCs w:val="22"/>
                </w:rPr>
                <m:t>(</m:t>
              </m:r>
              <m:sSub>
                <m:sSubPr>
                  <m:ctrlPr>
                    <w:rPr>
                      <w:rFonts w:ascii="Cambria Math" w:hAnsi="Cambria Math" w:cs="Arial"/>
                      <w:sz w:val="22"/>
                      <w:szCs w:val="22"/>
                    </w:rPr>
                  </m:ctrlPr>
                </m:sSubPr>
                <m:e>
                  <m:r>
                    <w:rPr>
                      <w:rFonts w:ascii="Cambria Math" w:eastAsia="Cambria Math" w:hAnsi="Cambria Math" w:cs="Arial"/>
                      <w:sz w:val="22"/>
                      <w:szCs w:val="22"/>
                    </w:rPr>
                    <m:t>V</m:t>
                  </m:r>
                </m:e>
                <m:sub>
                  <m:r>
                    <w:rPr>
                      <w:rFonts w:ascii="Cambria Math" w:eastAsia="Cambria Math" w:hAnsi="Cambria Math" w:cs="Arial"/>
                      <w:sz w:val="22"/>
                      <w:szCs w:val="22"/>
                    </w:rPr>
                    <m:t>odpad</m:t>
                  </m:r>
                </m:sub>
              </m:sSub>
              <m:r>
                <w:rPr>
                  <w:rFonts w:ascii="Cambria Math" w:eastAsia="Cambria Math" w:hAnsi="Cambria Math" w:cs="Arial"/>
                  <w:sz w:val="22"/>
                  <w:szCs w:val="22"/>
                </w:rPr>
                <m:t>×</m:t>
              </m:r>
              <m:sSub>
                <m:sSubPr>
                  <m:ctrlPr>
                    <w:rPr>
                      <w:rFonts w:ascii="Cambria Math" w:hAnsi="Cambria Math" w:cs="Arial"/>
                      <w:sz w:val="22"/>
                      <w:szCs w:val="22"/>
                    </w:rPr>
                  </m:ctrlPr>
                </m:sSubPr>
                <m:e>
                  <m:r>
                    <w:rPr>
                      <w:rFonts w:ascii="Cambria Math" w:eastAsia="Cambria Math" w:hAnsi="Cambria Math" w:cs="Arial"/>
                      <w:sz w:val="22"/>
                      <w:szCs w:val="22"/>
                    </w:rPr>
                    <m:t>C</m:t>
                  </m:r>
                </m:e>
                <m:sub>
                  <m:r>
                    <w:rPr>
                      <w:rFonts w:ascii="Cambria Math" w:eastAsia="Cambria Math" w:hAnsi="Cambria Math" w:cs="Arial"/>
                      <w:sz w:val="22"/>
                      <w:szCs w:val="22"/>
                    </w:rPr>
                    <m:t>odpad</m:t>
                  </m:r>
                </m:sub>
              </m:sSub>
              <m:r>
                <w:rPr>
                  <w:rFonts w:ascii="Cambria Math" w:eastAsia="Cambria Math" w:hAnsi="Cambria Math" w:cs="Arial"/>
                  <w:sz w:val="22"/>
                  <w:szCs w:val="22"/>
                </w:rPr>
                <m:t>)+</m:t>
              </m:r>
              <m:d>
                <m:dPr>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eastAsia="Cambria Math" w:hAnsi="Cambria Math" w:cs="Arial"/>
                          <w:sz w:val="22"/>
                          <w:szCs w:val="22"/>
                        </w:rPr>
                        <m:t>V</m:t>
                      </m:r>
                    </m:e>
                    <m:sub>
                      <m:r>
                        <w:rPr>
                          <w:rFonts w:ascii="Cambria Math" w:eastAsia="Cambria Math" w:hAnsi="Cambria Math" w:cs="Arial"/>
                          <w:sz w:val="22"/>
                          <w:szCs w:val="22"/>
                        </w:rPr>
                        <m:t>proc</m:t>
                      </m:r>
                    </m:sub>
                  </m:sSub>
                  <m:r>
                    <w:rPr>
                      <w:rFonts w:ascii="Cambria Math" w:eastAsia="Cambria Math" w:hAnsi="Cambria Math" w:cs="Arial"/>
                      <w:sz w:val="22"/>
                      <w:szCs w:val="22"/>
                    </w:rPr>
                    <m:t>×</m:t>
                  </m:r>
                  <m:sSub>
                    <m:sSubPr>
                      <m:ctrlPr>
                        <w:rPr>
                          <w:rFonts w:ascii="Cambria Math" w:hAnsi="Cambria Math" w:cs="Arial"/>
                          <w:sz w:val="22"/>
                          <w:szCs w:val="22"/>
                        </w:rPr>
                      </m:ctrlPr>
                    </m:sSubPr>
                    <m:e>
                      <m:r>
                        <w:rPr>
                          <w:rFonts w:ascii="Cambria Math" w:eastAsia="Cambria Math" w:hAnsi="Cambria Math" w:cs="Arial"/>
                          <w:sz w:val="22"/>
                          <w:szCs w:val="22"/>
                        </w:rPr>
                        <m:t>C</m:t>
                      </m:r>
                    </m:e>
                    <m:sub>
                      <m:r>
                        <w:rPr>
                          <w:rFonts w:ascii="Cambria Math" w:eastAsia="Cambria Math" w:hAnsi="Cambria Math" w:cs="Arial"/>
                          <w:sz w:val="22"/>
                          <w:szCs w:val="22"/>
                        </w:rPr>
                        <m:t>proc</m:t>
                      </m:r>
                    </m:sub>
                  </m:sSub>
                </m:e>
              </m:d>
            </m:num>
            <m:den>
              <m:sSub>
                <m:sSubPr>
                  <m:ctrlPr>
                    <w:rPr>
                      <w:rFonts w:ascii="Cambria Math" w:hAnsi="Cambria Math" w:cs="Arial"/>
                      <w:sz w:val="22"/>
                      <w:szCs w:val="22"/>
                    </w:rPr>
                  </m:ctrlPr>
                </m:sSubPr>
                <m:e>
                  <m:r>
                    <w:rPr>
                      <w:rFonts w:ascii="Cambria Math" w:eastAsia="Cambria Math" w:hAnsi="Cambria Math" w:cs="Arial"/>
                      <w:sz w:val="22"/>
                      <w:szCs w:val="22"/>
                    </w:rPr>
                    <m:t>V</m:t>
                  </m:r>
                </m:e>
                <m:sub>
                  <m:r>
                    <w:rPr>
                      <w:rFonts w:ascii="Cambria Math" w:eastAsia="Cambria Math" w:hAnsi="Cambria Math" w:cs="Arial"/>
                      <w:sz w:val="22"/>
                      <w:szCs w:val="22"/>
                    </w:rPr>
                    <m:t>odpad</m:t>
                  </m:r>
                </m:sub>
              </m:sSub>
              <m:r>
                <w:rPr>
                  <w:rFonts w:ascii="Cambria Math" w:eastAsia="Cambria Math" w:hAnsi="Cambria Math" w:cs="Arial"/>
                  <w:sz w:val="22"/>
                  <w:szCs w:val="22"/>
                </w:rPr>
                <m:t>+</m:t>
              </m:r>
              <m:sSub>
                <m:sSubPr>
                  <m:ctrlPr>
                    <w:rPr>
                      <w:rFonts w:ascii="Cambria Math" w:hAnsi="Cambria Math" w:cs="Arial"/>
                      <w:sz w:val="22"/>
                      <w:szCs w:val="22"/>
                    </w:rPr>
                  </m:ctrlPr>
                </m:sSubPr>
                <m:e>
                  <m:r>
                    <w:rPr>
                      <w:rFonts w:ascii="Cambria Math" w:eastAsia="Cambria Math" w:hAnsi="Cambria Math" w:cs="Arial"/>
                      <w:sz w:val="22"/>
                      <w:szCs w:val="22"/>
                    </w:rPr>
                    <m:t>V</m:t>
                  </m:r>
                </m:e>
                <m:sub>
                  <m:r>
                    <w:rPr>
                      <w:rFonts w:ascii="Cambria Math" w:eastAsia="Cambria Math" w:hAnsi="Cambria Math" w:cs="Arial"/>
                      <w:sz w:val="22"/>
                      <w:szCs w:val="22"/>
                    </w:rPr>
                    <m:t>proc</m:t>
                  </m:r>
                </m:sub>
              </m:sSub>
            </m:den>
          </m:f>
          <m:r>
            <w:rPr>
              <w:rFonts w:ascii="Cambria Math" w:eastAsia="Cambria Math" w:hAnsi="Cambria Math" w:cs="Arial"/>
              <w:sz w:val="22"/>
              <w:szCs w:val="22"/>
            </w:rPr>
            <m:t>=C</m:t>
          </m:r>
        </m:oMath>
      </m:oMathPara>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852"/>
        <w:gridCol w:w="8018"/>
      </w:tblGrid>
      <w:tr w:rsidR="00E40657" w14:paraId="0F0D6838" w14:textId="77777777">
        <w:tc>
          <w:tcPr>
            <w:tcW w:w="0" w:type="auto"/>
            <w:tcBorders>
              <w:top w:val="single" w:sz="12" w:space="0" w:color="000000"/>
              <w:bottom w:val="single" w:sz="3" w:space="0" w:color="000000"/>
              <w:right w:val="single" w:sz="3" w:space="0" w:color="000000"/>
            </w:tcBorders>
            <w:tcMar>
              <w:top w:w="85" w:type="dxa"/>
              <w:left w:w="157" w:type="dxa"/>
              <w:bottom w:w="85" w:type="dxa"/>
              <w:right w:w="146" w:type="dxa"/>
            </w:tcMar>
            <w:hideMark/>
          </w:tcPr>
          <w:p w14:paraId="0EB0FB0C"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lastRenderedPageBreak/>
              <w:t>V</w:t>
            </w:r>
            <w:r w:rsidRPr="0030358C">
              <w:rPr>
                <w:rFonts w:ascii="Arial" w:hAnsi="Arial" w:cs="Arial"/>
                <w:sz w:val="22"/>
                <w:szCs w:val="22"/>
                <w:vertAlign w:val="subscript"/>
              </w:rPr>
              <w:t>odpad</w:t>
            </w:r>
          </w:p>
        </w:tc>
        <w:tc>
          <w:tcPr>
            <w:tcW w:w="0" w:type="auto"/>
            <w:tcBorders>
              <w:top w:val="single" w:sz="12" w:space="0" w:color="000000"/>
              <w:left w:val="single" w:sz="3" w:space="0" w:color="000000"/>
              <w:bottom w:val="single" w:sz="3" w:space="0" w:color="000000"/>
            </w:tcBorders>
            <w:tcMar>
              <w:top w:w="85" w:type="dxa"/>
              <w:left w:w="146" w:type="dxa"/>
              <w:bottom w:w="85" w:type="dxa"/>
              <w:right w:w="157" w:type="dxa"/>
            </w:tcMar>
            <w:vAlign w:val="center"/>
            <w:hideMark/>
          </w:tcPr>
          <w:p w14:paraId="369BB8CD"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Objem odpadního plynu vzniklého tepelným zpracováním pouze odpadu, stanovený podle odpadu s nejnižší výhřevností specifikovaného v povolení a přepočtený na příslušné podmínky stanovené v této vyhlášce.</w:t>
            </w:r>
            <w:r w:rsidRPr="0030358C">
              <w:rPr>
                <w:rFonts w:ascii="Arial" w:hAnsi="Arial" w:cs="Arial"/>
                <w:sz w:val="22"/>
                <w:szCs w:val="22"/>
              </w:rPr>
              <w:br/>
            </w:r>
            <w:r w:rsidRPr="0030358C">
              <w:rPr>
                <w:rFonts w:ascii="Arial" w:hAnsi="Arial" w:cs="Arial"/>
                <w:sz w:val="22"/>
                <w:szCs w:val="22"/>
              </w:rPr>
              <w:br/>
              <w:t>Jestliže je teplo uvolňované při tepelném zpracování nebezpečného odpadu nižší než 10 % celkového tepla uvolňovaného v tomto zařízení, vypočte se hodnota V</w:t>
            </w:r>
            <w:r w:rsidRPr="0030358C">
              <w:rPr>
                <w:rFonts w:ascii="Arial" w:hAnsi="Arial" w:cs="Arial"/>
                <w:sz w:val="22"/>
                <w:szCs w:val="22"/>
                <w:vertAlign w:val="subscript"/>
              </w:rPr>
              <w:t>odpad</w:t>
            </w:r>
            <w:r w:rsidRPr="0030358C">
              <w:rPr>
                <w:rFonts w:ascii="Arial" w:hAnsi="Arial" w:cs="Arial"/>
                <w:sz w:val="22"/>
                <w:szCs w:val="22"/>
              </w:rPr>
              <w:t xml:space="preserve"> z (teoretického) množství odpadu, jehož spálením by se dosáhlo 10 % uvolněného tepla při stanovené hodnotě celkového uvolňovaného tepla.</w:t>
            </w:r>
          </w:p>
        </w:tc>
      </w:tr>
      <w:tr w:rsidR="00E40657" w14:paraId="2016097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hideMark/>
          </w:tcPr>
          <w:p w14:paraId="1063D45C"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C</w:t>
            </w:r>
            <w:r w:rsidRPr="0030358C">
              <w:rPr>
                <w:rFonts w:ascii="Arial" w:hAnsi="Arial" w:cs="Arial"/>
                <w:sz w:val="22"/>
                <w:szCs w:val="22"/>
                <w:vertAlign w:val="subscript"/>
              </w:rPr>
              <w:t>odpad</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0D680BF"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 xml:space="preserve">Emisní limity stanovené v </w:t>
            </w:r>
            <w:hyperlink w:history="1">
              <w:r w:rsidR="00A77B3E" w:rsidRPr="0030358C">
                <w:rPr>
                  <w:rFonts w:ascii="Arial" w:hAnsi="Arial" w:cs="Arial"/>
                  <w:sz w:val="22"/>
                  <w:szCs w:val="22"/>
                </w:rPr>
                <w:t>bodě 1</w:t>
              </w:r>
            </w:hyperlink>
            <w:r w:rsidRPr="0030358C">
              <w:rPr>
                <w:rFonts w:ascii="Arial" w:hAnsi="Arial" w:cs="Arial"/>
                <w:sz w:val="22"/>
                <w:szCs w:val="22"/>
              </w:rPr>
              <w:t xml:space="preserve"> této přílohy.</w:t>
            </w:r>
          </w:p>
        </w:tc>
      </w:tr>
      <w:tr w:rsidR="00E40657" w14:paraId="0FCE65B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hideMark/>
          </w:tcPr>
          <w:p w14:paraId="0876BBAF"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V</w:t>
            </w:r>
            <w:r w:rsidRPr="0030358C">
              <w:rPr>
                <w:rFonts w:ascii="Arial" w:hAnsi="Arial" w:cs="Arial"/>
                <w:sz w:val="22"/>
                <w:szCs w:val="22"/>
                <w:vertAlign w:val="subscript"/>
              </w:rPr>
              <w:t>proc</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0ACFB0" w14:textId="77777777" w:rsidR="00E06027"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Objem odpadního plynu vznikajícího ve stacionárním zdroji spalováním povolených paliv, stanovený na základě referenčního obsahu kyslíku, na který musí být emise přepočteny v souladu s touto vyhláškou. Pokud pro daný druh stacionárního zdroje není referenční obsah kyslíku stanoven, použije se skutečný obsah kyslíku v odpadním plynu nezředěný přídavkem vzduchu, který je pro vlastní proces nadbytečný.</w:t>
            </w:r>
          </w:p>
        </w:tc>
      </w:tr>
      <w:tr w:rsidR="00E40657" w14:paraId="4AF2F95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hideMark/>
          </w:tcPr>
          <w:p w14:paraId="7C21AC1E"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C</w:t>
            </w:r>
            <w:r w:rsidRPr="0030358C">
              <w:rPr>
                <w:rFonts w:ascii="Arial" w:hAnsi="Arial" w:cs="Arial"/>
                <w:sz w:val="22"/>
                <w:szCs w:val="22"/>
                <w:vertAlign w:val="subscript"/>
              </w:rPr>
              <w:t>proc</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2D4FE66" w14:textId="77777777" w:rsidR="00A77B3E" w:rsidRPr="0030358C" w:rsidRDefault="00000000">
            <w:pPr>
              <w:pStyle w:val="59"/>
              <w:overflowPunct w:val="0"/>
              <w:ind w:left="0"/>
              <w:jc w:val="left"/>
              <w:rPr>
                <w:rFonts w:ascii="Arial" w:hAnsi="Arial" w:cs="Arial"/>
                <w:strike/>
                <w:sz w:val="22"/>
                <w:szCs w:val="22"/>
              </w:rPr>
            </w:pPr>
            <w:bookmarkStart w:id="47" w:name="_Hlk181366390"/>
            <w:r w:rsidRPr="0030358C">
              <w:rPr>
                <w:rFonts w:ascii="Arial" w:hAnsi="Arial" w:cs="Arial"/>
                <w:strike/>
                <w:sz w:val="22"/>
                <w:szCs w:val="22"/>
              </w:rPr>
              <w:t>Emisní limity stanovené v této části, nebo pokud tyto hodnoty neexistují, emisní limity stanovené touto vyhláškou pro spalování paliv, případně stanovených v povolení provozu. Jestliže pro některé průmyslové činnosti tyto emisní limity nejsou stanoveny, použijí se skutečné hmotnostní koncentrace.</w:t>
            </w:r>
          </w:p>
          <w:p w14:paraId="30306081" w14:textId="77777777" w:rsidR="00E06027" w:rsidRPr="0030358C" w:rsidRDefault="00000000" w:rsidP="00E06027">
            <w:pPr>
              <w:pBdr>
                <w:top w:val="nil"/>
                <w:left w:val="nil"/>
                <w:bottom w:val="nil"/>
                <w:right w:val="nil"/>
              </w:pBdr>
              <w:tabs>
                <w:tab w:val="left" w:pos="1276"/>
              </w:tabs>
              <w:jc w:val="both"/>
              <w:rPr>
                <w:rFonts w:ascii="Arial" w:hAnsi="Arial" w:cs="Arial"/>
                <w:b/>
                <w:bCs/>
                <w:sz w:val="22"/>
                <w:szCs w:val="22"/>
                <w:highlight w:val="white"/>
              </w:rPr>
            </w:pPr>
            <w:r w:rsidRPr="0030358C">
              <w:rPr>
                <w:rFonts w:ascii="Arial" w:hAnsi="Arial" w:cs="Arial"/>
                <w:b/>
                <w:bCs/>
                <w:sz w:val="22"/>
                <w:szCs w:val="22"/>
                <w:highlight w:val="white"/>
              </w:rPr>
              <w:t xml:space="preserve">Emisní limity stanovené v této části, emisní limity stanovené touto vyhláškou pro spalování paliv nebo stanovené v povolení provozu. Použije se vždy ten ze stanovených emisních limitů, jehož hodnota je nižší. Jestliže pro některé průmyslové činnosti tyto emisní limity nejsou stanoveny, použijí se skutečné hmotnostní koncentrace. </w:t>
            </w:r>
            <w:bookmarkEnd w:id="47"/>
          </w:p>
        </w:tc>
      </w:tr>
      <w:tr w:rsidR="00E40657" w14:paraId="12CFDB55"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hideMark/>
          </w:tcPr>
          <w:p w14:paraId="6654A5EB"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C</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86E195D"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Emisní limity při referenčním obsahu kyslíku stanoveném v této příloze, nebo pokud takové hodnoty neexistují, emisní limity, kterými se nahradí emisní limity stanovené ve specifických přílohách této vyhlášky. Celkový obsah kyslíku, kterým se nahradí obsah kyslíku pro přepočtení, se vypočte na základě výše uvedeného obsahu kyslíku s respektováním parciálních objemů.</w:t>
            </w:r>
          </w:p>
        </w:tc>
      </w:tr>
    </w:tbl>
    <w:p w14:paraId="4B1DF77D" w14:textId="77777777" w:rsidR="00A77B3E" w:rsidRPr="0030358C" w:rsidRDefault="00A77B3E">
      <w:pPr>
        <w:pStyle w:val="59"/>
        <w:rPr>
          <w:rFonts w:ascii="Arial" w:hAnsi="Arial" w:cs="Arial"/>
          <w:sz w:val="22"/>
          <w:szCs w:val="22"/>
        </w:rPr>
      </w:pPr>
    </w:p>
    <w:p w14:paraId="57AC454F" w14:textId="77777777" w:rsidR="00A77B3E" w:rsidRPr="0030358C" w:rsidRDefault="00000000" w:rsidP="001B6F37">
      <w:pPr>
        <w:pStyle w:val="59"/>
        <w:ind w:left="0"/>
        <w:rPr>
          <w:rFonts w:ascii="Arial" w:hAnsi="Arial" w:cs="Arial"/>
          <w:sz w:val="22"/>
          <w:szCs w:val="22"/>
        </w:rPr>
      </w:pPr>
      <w:r w:rsidRPr="0030358C">
        <w:rPr>
          <w:rFonts w:ascii="Arial" w:hAnsi="Arial" w:cs="Arial"/>
          <w:sz w:val="22"/>
          <w:szCs w:val="22"/>
        </w:rPr>
        <w:t xml:space="preserve">U spalovacích stacionárních zdrojů se dále uplatní emisní limity pro těžké kovy a PCDD/F jako v </w:t>
      </w:r>
      <w:hyperlink w:history="1">
        <w:r w:rsidR="00A77B3E" w:rsidRPr="0030358C">
          <w:rPr>
            <w:rFonts w:ascii="Arial" w:hAnsi="Arial" w:cs="Arial"/>
            <w:sz w:val="22"/>
            <w:szCs w:val="22"/>
          </w:rPr>
          <w:t>bodu 1.2 části I</w:t>
        </w:r>
      </w:hyperlink>
      <w:r w:rsidRPr="0030358C">
        <w:rPr>
          <w:rFonts w:ascii="Arial" w:hAnsi="Arial" w:cs="Arial"/>
          <w:sz w:val="22"/>
          <w:szCs w:val="22"/>
        </w:rPr>
        <w:t xml:space="preserve"> této přílohy, vztažené na normální stavové podmínky, suchý plyn a referenční obsah kyslíku 6 % v případě spalování pevných paliv a 3 % v případě spalování kapalných paliv.</w:t>
      </w:r>
    </w:p>
    <w:p w14:paraId="06EBCBCF" w14:textId="77777777" w:rsidR="00A77B3E" w:rsidRPr="0030358C" w:rsidRDefault="00000000" w:rsidP="001B6F37">
      <w:pPr>
        <w:pStyle w:val="73"/>
        <w:ind w:left="340"/>
        <w:rPr>
          <w:rFonts w:ascii="Arial" w:hAnsi="Arial" w:cs="Arial"/>
          <w:strike/>
          <w:szCs w:val="22"/>
        </w:rPr>
      </w:pPr>
      <w:r w:rsidRPr="0030358C">
        <w:rPr>
          <w:rFonts w:ascii="Arial" w:hAnsi="Arial" w:cs="Arial"/>
          <w:strike/>
          <w:szCs w:val="22"/>
        </w:rPr>
        <w:t>2.2.1.    Hodnoty C</w:t>
      </w:r>
      <w:r w:rsidRPr="0030358C">
        <w:rPr>
          <w:rFonts w:ascii="Arial" w:hAnsi="Arial" w:cs="Arial"/>
          <w:strike/>
          <w:szCs w:val="22"/>
          <w:vertAlign w:val="subscript"/>
        </w:rPr>
        <w:t>proc</w:t>
      </w:r>
      <w:r w:rsidRPr="0030358C">
        <w:rPr>
          <w:rFonts w:ascii="Arial" w:hAnsi="Arial" w:cs="Arial"/>
          <w:strike/>
          <w:szCs w:val="22"/>
        </w:rPr>
        <w:t>, vyjádřené jako denní průměrné hodnoty, pro spalovací stacionární zdroje s výjimkou plynových turbín a plynových motorů platné do 31. prosince 2015</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017"/>
        <w:gridCol w:w="644"/>
        <w:gridCol w:w="654"/>
        <w:gridCol w:w="650"/>
        <w:gridCol w:w="644"/>
        <w:gridCol w:w="654"/>
        <w:gridCol w:w="650"/>
        <w:gridCol w:w="705"/>
        <w:gridCol w:w="654"/>
        <w:gridCol w:w="650"/>
        <w:gridCol w:w="644"/>
        <w:gridCol w:w="654"/>
        <w:gridCol w:w="650"/>
      </w:tblGrid>
      <w:tr w:rsidR="00E40657" w14:paraId="6890BF13"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EF66B17"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E770F3E"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Emisní limity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359A7519" w14:textId="77777777">
        <w:tc>
          <w:tcPr>
            <w:tcW w:w="0" w:type="auto"/>
            <w:vMerge/>
            <w:tcBorders>
              <w:left w:val="single" w:sz="12" w:space="0" w:color="000000"/>
              <w:right w:val="single" w:sz="12" w:space="0" w:color="000000"/>
            </w:tcBorders>
            <w:vAlign w:val="center"/>
            <w:hideMark/>
          </w:tcPr>
          <w:p w14:paraId="13FF17FE" w14:textId="77777777" w:rsidR="00A77B3E" w:rsidRPr="0030358C" w:rsidRDefault="00A77B3E">
            <w:pPr>
              <w:overflowPunct w:val="0"/>
              <w:rPr>
                <w:rFonts w:ascii="Arial" w:hAnsi="Arial" w:cs="Arial"/>
                <w:b/>
                <w:bCs/>
                <w:strike/>
                <w:sz w:val="22"/>
                <w:szCs w:val="22"/>
              </w:rPr>
            </w:pP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C4827D1"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&lt; 50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72C4DC6"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50-100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B07E65"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&gt; 100-300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2EDBDE3"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&gt; 300 MW</w:t>
            </w:r>
          </w:p>
        </w:tc>
      </w:tr>
      <w:tr w:rsidR="00E40657" w14:paraId="48BFC7CA" w14:textId="77777777">
        <w:tc>
          <w:tcPr>
            <w:tcW w:w="0" w:type="auto"/>
            <w:vMerge/>
            <w:tcBorders>
              <w:left w:val="single" w:sz="12" w:space="0" w:color="000000"/>
              <w:bottom w:val="single" w:sz="12" w:space="0" w:color="000000"/>
              <w:right w:val="single" w:sz="12" w:space="0" w:color="000000"/>
            </w:tcBorders>
            <w:vAlign w:val="center"/>
            <w:hideMark/>
          </w:tcPr>
          <w:p w14:paraId="018B0C70"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E68DBAF"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7C0AEDB"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600C42D"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672CA2B"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CC28299"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D192383"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8744336"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F435AA9"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5FA02C0"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348553E"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SO</w:t>
            </w:r>
            <w:r w:rsidRPr="0030358C">
              <w:rPr>
                <w:rFonts w:ascii="Arial" w:hAnsi="Arial" w:cs="Arial"/>
                <w:b/>
                <w:bCs/>
                <w:strike/>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8FB0F07"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NO</w:t>
            </w:r>
            <w:r w:rsidRPr="0030358C">
              <w:rPr>
                <w:rFonts w:ascii="Arial" w:hAnsi="Arial" w:cs="Arial"/>
                <w:b/>
                <w:bCs/>
                <w:strike/>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27C61C7" w14:textId="77777777" w:rsidR="00A77B3E" w:rsidRPr="0030358C" w:rsidRDefault="00000000">
            <w:pPr>
              <w:pStyle w:val="74"/>
              <w:overflowPunct w:val="0"/>
              <w:ind w:left="0"/>
              <w:jc w:val="center"/>
              <w:rPr>
                <w:rFonts w:ascii="Arial" w:hAnsi="Arial" w:cs="Arial"/>
                <w:b/>
                <w:bCs/>
                <w:strike/>
                <w:sz w:val="22"/>
                <w:szCs w:val="22"/>
              </w:rPr>
            </w:pPr>
            <w:r w:rsidRPr="0030358C">
              <w:rPr>
                <w:rFonts w:ascii="Arial" w:hAnsi="Arial" w:cs="Arial"/>
                <w:b/>
                <w:bCs/>
                <w:strike/>
                <w:sz w:val="22"/>
                <w:szCs w:val="22"/>
              </w:rPr>
              <w:t>TZL</w:t>
            </w:r>
          </w:p>
        </w:tc>
      </w:tr>
      <w:tr w:rsidR="00E40657" w14:paraId="1665B5B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0606894" w14:textId="77777777" w:rsidR="00A77B3E" w:rsidRPr="0030358C" w:rsidRDefault="00000000">
            <w:pPr>
              <w:pStyle w:val="74"/>
              <w:overflowPunct w:val="0"/>
              <w:ind w:left="0"/>
              <w:jc w:val="left"/>
              <w:rPr>
                <w:rFonts w:ascii="Arial" w:hAnsi="Arial" w:cs="Arial"/>
                <w:strike/>
                <w:sz w:val="22"/>
                <w:szCs w:val="22"/>
              </w:rPr>
            </w:pPr>
            <w:r w:rsidRPr="0030358C">
              <w:rPr>
                <w:rFonts w:ascii="Arial" w:hAnsi="Arial" w:cs="Arial"/>
                <w:strike/>
                <w:sz w:val="22"/>
                <w:szCs w:val="22"/>
              </w:rPr>
              <w:t>Pevné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98A13A"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6DEF09"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B78009F"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BCA355"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850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D2F057"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75AE1C5"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49403D4"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D63BDDE"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677F664"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3344732"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9C4685"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14A31D0"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30</w:t>
            </w:r>
          </w:p>
        </w:tc>
      </w:tr>
      <w:tr w:rsidR="00E40657" w14:paraId="0BDE7E0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6F89C9F" w14:textId="77777777" w:rsidR="00A77B3E" w:rsidRPr="0030358C" w:rsidRDefault="00000000">
            <w:pPr>
              <w:pStyle w:val="74"/>
              <w:overflowPunct w:val="0"/>
              <w:ind w:left="0"/>
              <w:jc w:val="left"/>
              <w:rPr>
                <w:rFonts w:ascii="Arial" w:hAnsi="Arial" w:cs="Arial"/>
                <w:strike/>
                <w:sz w:val="22"/>
                <w:szCs w:val="22"/>
              </w:rPr>
            </w:pPr>
            <w:r w:rsidRPr="0030358C">
              <w:rPr>
                <w:rFonts w:ascii="Arial" w:hAnsi="Arial" w:cs="Arial"/>
                <w:strike/>
                <w:sz w:val="22"/>
                <w:szCs w:val="22"/>
              </w:rPr>
              <w:lastRenderedPageBreak/>
              <w:t xml:space="preserve">Biomasa podle </w:t>
            </w:r>
            <w:hyperlink w:history="1">
              <w:r w:rsidR="00A77B3E" w:rsidRPr="0030358C">
                <w:rPr>
                  <w:rFonts w:ascii="Arial" w:hAnsi="Arial" w:cs="Arial"/>
                  <w:strike/>
                  <w:sz w:val="22"/>
                  <w:szCs w:val="22"/>
                </w:rPr>
                <w:t>§ 2 písm. a)</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9D6A20" w14:textId="77777777" w:rsidR="00A77B3E" w:rsidRPr="0030358C" w:rsidRDefault="00A77B3E">
            <w:pPr>
              <w:pStyle w:val="74"/>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3FD0E11" w14:textId="77777777" w:rsidR="00A77B3E" w:rsidRPr="0030358C" w:rsidRDefault="00A77B3E">
            <w:pPr>
              <w:pStyle w:val="74"/>
              <w:overflowPunct w:val="0"/>
              <w:ind w:left="0"/>
              <w:jc w:val="center"/>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115DBF"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B462B60"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FAC431"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84535C2"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22C48E4"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F51E82"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1A0263C"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7E7B0CE"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767C9E"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2979291"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30</w:t>
            </w:r>
          </w:p>
        </w:tc>
      </w:tr>
      <w:tr w:rsidR="00E40657" w14:paraId="5FA68117"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19477C1" w14:textId="77777777" w:rsidR="00A77B3E" w:rsidRPr="0030358C" w:rsidRDefault="00000000">
            <w:pPr>
              <w:pStyle w:val="74"/>
              <w:overflowPunct w:val="0"/>
              <w:ind w:left="0"/>
              <w:jc w:val="left"/>
              <w:rPr>
                <w:rFonts w:ascii="Arial" w:hAnsi="Arial" w:cs="Arial"/>
                <w:strike/>
                <w:sz w:val="22"/>
                <w:szCs w:val="22"/>
              </w:rPr>
            </w:pPr>
            <w:r w:rsidRPr="0030358C">
              <w:rPr>
                <w:rFonts w:ascii="Arial" w:hAnsi="Arial" w:cs="Arial"/>
                <w:strike/>
                <w:sz w:val="22"/>
                <w:szCs w:val="22"/>
              </w:rPr>
              <w:t>Kapalné palivo</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7C308F5"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03B989D"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95A914E"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285481C"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850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E2C2DCB"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400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FE5937F"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558454D"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400-200</w:t>
            </w:r>
            <w:r w:rsidRPr="0030358C">
              <w:rPr>
                <w:rFonts w:ascii="Arial" w:hAnsi="Arial" w:cs="Arial"/>
                <w:strike/>
                <w:sz w:val="22"/>
                <w:szCs w:val="22"/>
                <w:vertAlign w:val="superscript"/>
              </w:rPr>
              <w:t>1)</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66796D5"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F122685"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65C9E8D"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A3B3FB8"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200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E084E09" w14:textId="77777777" w:rsidR="00A77B3E" w:rsidRPr="0030358C" w:rsidRDefault="00000000">
            <w:pPr>
              <w:pStyle w:val="74"/>
              <w:overflowPunct w:val="0"/>
              <w:ind w:left="0"/>
              <w:jc w:val="center"/>
              <w:rPr>
                <w:rFonts w:ascii="Arial" w:hAnsi="Arial" w:cs="Arial"/>
                <w:strike/>
                <w:sz w:val="22"/>
                <w:szCs w:val="22"/>
              </w:rPr>
            </w:pPr>
            <w:r w:rsidRPr="0030358C">
              <w:rPr>
                <w:rFonts w:ascii="Arial" w:hAnsi="Arial" w:cs="Arial"/>
                <w:strike/>
                <w:sz w:val="22"/>
                <w:szCs w:val="22"/>
              </w:rPr>
              <w:t>30</w:t>
            </w:r>
          </w:p>
        </w:tc>
      </w:tr>
    </w:tbl>
    <w:p w14:paraId="11B336AF" w14:textId="77777777" w:rsidR="00A77B3E" w:rsidRPr="0030358C" w:rsidRDefault="00A77B3E">
      <w:pPr>
        <w:pStyle w:val="74"/>
        <w:rPr>
          <w:rFonts w:ascii="Arial" w:hAnsi="Arial" w:cs="Arial"/>
          <w:strike/>
          <w:sz w:val="22"/>
          <w:szCs w:val="22"/>
        </w:rPr>
      </w:pPr>
    </w:p>
    <w:p w14:paraId="23459D8F" w14:textId="77777777" w:rsidR="00A77B3E" w:rsidRPr="0030358C" w:rsidRDefault="00000000" w:rsidP="00800437">
      <w:pPr>
        <w:pStyle w:val="74"/>
        <w:ind w:left="720"/>
        <w:rPr>
          <w:rFonts w:ascii="Arial" w:hAnsi="Arial" w:cs="Arial"/>
          <w:strike/>
          <w:sz w:val="22"/>
          <w:szCs w:val="22"/>
        </w:rPr>
      </w:pPr>
      <w:r w:rsidRPr="0030358C">
        <w:rPr>
          <w:rFonts w:ascii="Arial" w:hAnsi="Arial" w:cs="Arial"/>
          <w:strike/>
          <w:sz w:val="22"/>
          <w:szCs w:val="22"/>
        </w:rPr>
        <w:t>Vysvětlivka: 1) Hodnota C</w:t>
      </w:r>
      <w:r w:rsidRPr="0030358C">
        <w:rPr>
          <w:rFonts w:ascii="Arial" w:hAnsi="Arial" w:cs="Arial"/>
          <w:strike/>
          <w:sz w:val="22"/>
          <w:szCs w:val="22"/>
          <w:vertAlign w:val="subscript"/>
        </w:rPr>
        <w:t>proc</w:t>
      </w:r>
      <w:r w:rsidRPr="0030358C">
        <w:rPr>
          <w:rFonts w:ascii="Arial" w:hAnsi="Arial" w:cs="Arial"/>
          <w:strike/>
          <w:sz w:val="22"/>
          <w:szCs w:val="22"/>
        </w:rPr>
        <w:t xml:space="preserve"> je stanovena v tomto rozmezí lineárním poklesem tak, že se rovná 500 - P, kdy P je celkový jmenovitý tepelný příkon spalovacích stacionárních zdrojů v MW.</w:t>
      </w:r>
    </w:p>
    <w:p w14:paraId="40BA4374" w14:textId="77777777" w:rsidR="00A77B3E" w:rsidRPr="0030358C" w:rsidRDefault="00000000" w:rsidP="00800437">
      <w:pPr>
        <w:pStyle w:val="75"/>
        <w:ind w:left="720"/>
        <w:rPr>
          <w:rFonts w:ascii="Arial" w:hAnsi="Arial" w:cs="Arial"/>
          <w:strike/>
          <w:sz w:val="22"/>
          <w:szCs w:val="22"/>
        </w:rPr>
      </w:pPr>
      <w:r w:rsidRPr="0030358C">
        <w:rPr>
          <w:rFonts w:ascii="Arial" w:hAnsi="Arial" w:cs="Arial"/>
          <w:strike/>
          <w:sz w:val="22"/>
          <w:szCs w:val="22"/>
        </w:rPr>
        <w:t>Hodnota C</w:t>
      </w:r>
      <w:r w:rsidRPr="0030358C">
        <w:rPr>
          <w:rFonts w:ascii="Arial" w:hAnsi="Arial" w:cs="Arial"/>
          <w:strike/>
          <w:sz w:val="22"/>
          <w:szCs w:val="22"/>
          <w:vertAlign w:val="subscript"/>
        </w:rPr>
        <w:t>proc</w:t>
      </w:r>
      <w:r w:rsidRPr="0030358C">
        <w:rPr>
          <w:rFonts w:ascii="Arial" w:hAnsi="Arial" w:cs="Arial"/>
          <w:strike/>
          <w:sz w:val="22"/>
          <w:szCs w:val="22"/>
        </w:rPr>
        <w:t xml:space="preserve"> pro HCl je stanovena v případě spalovacích stacionárních zdrojů ve výši 50 mg.m</w:t>
      </w:r>
      <w:r w:rsidRPr="0030358C">
        <w:rPr>
          <w:rFonts w:ascii="Arial" w:hAnsi="Arial" w:cs="Arial"/>
          <w:strike/>
          <w:sz w:val="22"/>
          <w:szCs w:val="22"/>
          <w:vertAlign w:val="superscript"/>
        </w:rPr>
        <w:t>-3</w:t>
      </w:r>
      <w:r w:rsidRPr="0030358C">
        <w:rPr>
          <w:rFonts w:ascii="Arial" w:hAnsi="Arial" w:cs="Arial"/>
          <w:strike/>
          <w:sz w:val="22"/>
          <w:szCs w:val="22"/>
        </w:rPr>
        <w:t>.</w:t>
      </w:r>
    </w:p>
    <w:p w14:paraId="44BA7E13" w14:textId="77777777" w:rsidR="00A77B3E" w:rsidRPr="0030358C" w:rsidRDefault="00000000" w:rsidP="00800437">
      <w:pPr>
        <w:pStyle w:val="76"/>
        <w:ind w:left="720"/>
        <w:rPr>
          <w:rFonts w:ascii="Arial" w:hAnsi="Arial" w:cs="Arial"/>
          <w:strike/>
          <w:sz w:val="22"/>
          <w:szCs w:val="22"/>
        </w:rPr>
      </w:pPr>
      <w:r w:rsidRPr="0030358C">
        <w:rPr>
          <w:rFonts w:ascii="Arial" w:hAnsi="Arial" w:cs="Arial"/>
          <w:strike/>
          <w:sz w:val="22"/>
          <w:szCs w:val="22"/>
        </w:rPr>
        <w:t>Hodnoty C</w:t>
      </w:r>
      <w:r w:rsidRPr="0030358C">
        <w:rPr>
          <w:rFonts w:ascii="Arial" w:hAnsi="Arial" w:cs="Arial"/>
          <w:strike/>
          <w:sz w:val="22"/>
          <w:szCs w:val="22"/>
          <w:vertAlign w:val="subscript"/>
        </w:rPr>
        <w:t>proc</w:t>
      </w:r>
      <w:r w:rsidRPr="0030358C">
        <w:rPr>
          <w:rFonts w:ascii="Arial" w:hAnsi="Arial" w:cs="Arial"/>
          <w:strike/>
          <w:sz w:val="22"/>
          <w:szCs w:val="22"/>
        </w:rPr>
        <w:t xml:space="preserve"> jsou vztaženy na normální stavové podmínky, suchý plyn a referenční obsah kyslíku 6 % v případě spalování pevných paliv a 3 % v případě spalování kapalných paliv.</w:t>
      </w:r>
    </w:p>
    <w:p w14:paraId="41837CF0" w14:textId="77777777" w:rsidR="00703645" w:rsidRPr="0030358C" w:rsidRDefault="00000000" w:rsidP="00703645">
      <w:pPr>
        <w:pStyle w:val="76"/>
        <w:ind w:left="0"/>
        <w:rPr>
          <w:rFonts w:ascii="Arial" w:hAnsi="Arial" w:cs="Arial"/>
          <w:b/>
          <w:bCs/>
          <w:sz w:val="22"/>
          <w:szCs w:val="22"/>
        </w:rPr>
      </w:pPr>
      <w:bookmarkStart w:id="48" w:name="_Hlk188871124"/>
      <w:r w:rsidRPr="0030358C">
        <w:rPr>
          <w:rFonts w:ascii="Arial" w:hAnsi="Arial" w:cs="Arial"/>
          <w:b/>
          <w:bCs/>
          <w:sz w:val="22"/>
          <w:szCs w:val="22"/>
        </w:rPr>
        <w:t>2.2.1. Zrušena</w:t>
      </w:r>
    </w:p>
    <w:bookmarkEnd w:id="48"/>
    <w:p w14:paraId="6C5CDB73" w14:textId="77777777" w:rsidR="00703645" w:rsidRPr="0030358C" w:rsidRDefault="00703645" w:rsidP="00392CB2">
      <w:pPr>
        <w:pStyle w:val="76"/>
        <w:ind w:left="0"/>
        <w:rPr>
          <w:rFonts w:ascii="Arial" w:hAnsi="Arial" w:cs="Arial"/>
          <w:sz w:val="22"/>
          <w:szCs w:val="22"/>
        </w:rPr>
      </w:pPr>
    </w:p>
    <w:p w14:paraId="415BC9EE" w14:textId="77777777" w:rsidR="00A77B3E" w:rsidRPr="0030358C" w:rsidRDefault="00000000" w:rsidP="00800437">
      <w:pPr>
        <w:pStyle w:val="73"/>
        <w:ind w:left="340"/>
        <w:rPr>
          <w:rFonts w:ascii="Arial" w:hAnsi="Arial" w:cs="Arial"/>
          <w:szCs w:val="22"/>
        </w:rPr>
      </w:pPr>
      <w:r w:rsidRPr="0030358C">
        <w:rPr>
          <w:rFonts w:ascii="Arial" w:hAnsi="Arial" w:cs="Arial"/>
          <w:szCs w:val="22"/>
        </w:rPr>
        <w:t>2.2.2.    Hodnoty C</w:t>
      </w:r>
      <w:r w:rsidRPr="0030358C">
        <w:rPr>
          <w:rFonts w:ascii="Arial" w:hAnsi="Arial" w:cs="Arial"/>
          <w:szCs w:val="22"/>
          <w:vertAlign w:val="subscript"/>
        </w:rPr>
        <w:t>proc</w:t>
      </w:r>
      <w:r w:rsidRPr="0030358C">
        <w:rPr>
          <w:rFonts w:ascii="Arial" w:hAnsi="Arial" w:cs="Arial"/>
          <w:szCs w:val="22"/>
        </w:rPr>
        <w:t xml:space="preserve"> pro spalovací stacionární zdroje s výjimkou plynových turbín a plynových motorů platné od 1. ledna 2016</w:t>
      </w:r>
    </w:p>
    <w:p w14:paraId="795E92BD" w14:textId="77777777" w:rsidR="00A77B3E" w:rsidRPr="0030358C" w:rsidRDefault="00000000" w:rsidP="00800437">
      <w:pPr>
        <w:pStyle w:val="75"/>
        <w:ind w:left="340"/>
        <w:rPr>
          <w:rFonts w:ascii="Arial" w:hAnsi="Arial" w:cs="Arial"/>
          <w:sz w:val="22"/>
          <w:szCs w:val="22"/>
        </w:rPr>
      </w:pPr>
      <w:r w:rsidRPr="0030358C">
        <w:rPr>
          <w:rFonts w:ascii="Arial" w:hAnsi="Arial" w:cs="Arial"/>
          <w:sz w:val="22"/>
          <w:szCs w:val="22"/>
        </w:rPr>
        <w:t>Hodnoty C</w:t>
      </w:r>
      <w:r w:rsidRPr="0030358C">
        <w:rPr>
          <w:rFonts w:ascii="Arial" w:hAnsi="Arial" w:cs="Arial"/>
          <w:sz w:val="22"/>
          <w:szCs w:val="22"/>
          <w:vertAlign w:val="subscript"/>
        </w:rPr>
        <w:t>proc</w:t>
      </w:r>
      <w:r w:rsidRPr="0030358C">
        <w:rPr>
          <w:rFonts w:ascii="Arial" w:hAnsi="Arial" w:cs="Arial"/>
          <w:sz w:val="22"/>
          <w:szCs w:val="22"/>
        </w:rPr>
        <w:t xml:space="preserve"> jsou vztaženy na normální stavové podmínky, suchý plyn a referenční obsah kyslíku 6 % v případě spalování pevných paliv a 3 % v případě spalování kapalných paliv.</w:t>
      </w:r>
    </w:p>
    <w:p w14:paraId="3C30505A" w14:textId="77777777" w:rsidR="00A77B3E" w:rsidRPr="0030358C" w:rsidRDefault="00000000" w:rsidP="00800437">
      <w:pPr>
        <w:pStyle w:val="76"/>
        <w:ind w:left="340"/>
        <w:rPr>
          <w:rFonts w:ascii="Arial" w:hAnsi="Arial" w:cs="Arial"/>
          <w:sz w:val="22"/>
          <w:szCs w:val="22"/>
        </w:rPr>
      </w:pPr>
      <w:r w:rsidRPr="0030358C">
        <w:rPr>
          <w:rFonts w:ascii="Arial" w:hAnsi="Arial" w:cs="Arial"/>
          <w:sz w:val="22"/>
          <w:szCs w:val="22"/>
        </w:rPr>
        <w:t>Hodnota C</w:t>
      </w:r>
      <w:r w:rsidRPr="0030358C">
        <w:rPr>
          <w:rFonts w:ascii="Arial" w:hAnsi="Arial" w:cs="Arial"/>
          <w:sz w:val="22"/>
          <w:szCs w:val="22"/>
          <w:vertAlign w:val="subscript"/>
        </w:rPr>
        <w:t>proc</w:t>
      </w:r>
      <w:r w:rsidRPr="0030358C">
        <w:rPr>
          <w:rFonts w:ascii="Arial" w:hAnsi="Arial" w:cs="Arial"/>
          <w:sz w:val="22"/>
          <w:szCs w:val="22"/>
        </w:rPr>
        <w:t xml:space="preserve"> pro HCl je stanovena v případě spalovacích stacionárních zdrojů ve výši 50 mg.m</w:t>
      </w:r>
      <w:r w:rsidRPr="0030358C">
        <w:rPr>
          <w:rFonts w:ascii="Arial" w:hAnsi="Arial" w:cs="Arial"/>
          <w:sz w:val="22"/>
          <w:szCs w:val="22"/>
          <w:vertAlign w:val="superscript"/>
        </w:rPr>
        <w:t>-3</w:t>
      </w:r>
      <w:r w:rsidRPr="0030358C">
        <w:rPr>
          <w:rFonts w:ascii="Arial" w:hAnsi="Arial" w:cs="Arial"/>
          <w:sz w:val="22"/>
          <w:szCs w:val="22"/>
        </w:rPr>
        <w:t>.</w:t>
      </w:r>
    </w:p>
    <w:p w14:paraId="2487518E" w14:textId="77777777" w:rsidR="00A77B3E" w:rsidRPr="0030358C" w:rsidRDefault="00000000" w:rsidP="00A712ED">
      <w:pPr>
        <w:pStyle w:val="77"/>
        <w:ind w:left="340"/>
        <w:rPr>
          <w:rFonts w:ascii="Arial" w:hAnsi="Arial" w:cs="Arial"/>
          <w:szCs w:val="22"/>
        </w:rPr>
      </w:pPr>
      <w:r w:rsidRPr="0030358C">
        <w:rPr>
          <w:rFonts w:ascii="Arial" w:hAnsi="Arial" w:cs="Arial"/>
          <w:szCs w:val="22"/>
        </w:rPr>
        <w:t>2.2.2.1.    Hodnoty C</w:t>
      </w:r>
      <w:r w:rsidRPr="0030358C">
        <w:rPr>
          <w:rFonts w:ascii="Arial" w:hAnsi="Arial" w:cs="Arial"/>
          <w:szCs w:val="22"/>
          <w:vertAlign w:val="subscript"/>
        </w:rPr>
        <w:t>proc</w:t>
      </w:r>
      <w:r w:rsidRPr="0030358C">
        <w:rPr>
          <w:rFonts w:ascii="Arial" w:hAnsi="Arial" w:cs="Arial"/>
          <w:szCs w:val="22"/>
        </w:rPr>
        <w:t>, vyjádřené jako denní průměrné hodnoty, pro spalovací stacionární zdroje, pro něž byla podána kompletní žádost o první povolení provozu před 7. lednem 2013 a byly uvedeny do provozu nejpozději 7. ledna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021"/>
        <w:gridCol w:w="645"/>
        <w:gridCol w:w="654"/>
        <w:gridCol w:w="651"/>
        <w:gridCol w:w="644"/>
        <w:gridCol w:w="706"/>
        <w:gridCol w:w="651"/>
        <w:gridCol w:w="644"/>
        <w:gridCol w:w="654"/>
        <w:gridCol w:w="651"/>
        <w:gridCol w:w="644"/>
        <w:gridCol w:w="654"/>
        <w:gridCol w:w="651"/>
      </w:tblGrid>
      <w:tr w:rsidR="00E40657" w14:paraId="28608B94"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6508BA6"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B0A620F"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Hodnoty C</w:t>
            </w:r>
            <w:r w:rsidRPr="0030358C">
              <w:rPr>
                <w:rFonts w:ascii="Arial" w:hAnsi="Arial" w:cs="Arial"/>
                <w:b/>
                <w:bCs/>
                <w:sz w:val="22"/>
                <w:szCs w:val="22"/>
                <w:vertAlign w:val="subscript"/>
              </w:rPr>
              <w:t>proc</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19BEB73C" w14:textId="77777777">
        <w:tc>
          <w:tcPr>
            <w:tcW w:w="0" w:type="auto"/>
            <w:vMerge/>
            <w:tcBorders>
              <w:left w:val="single" w:sz="12" w:space="0" w:color="000000"/>
              <w:right w:val="single" w:sz="12" w:space="0" w:color="000000"/>
            </w:tcBorders>
            <w:vAlign w:val="center"/>
            <w:hideMark/>
          </w:tcPr>
          <w:p w14:paraId="1AD7741A" w14:textId="77777777" w:rsidR="00A77B3E" w:rsidRPr="0030358C" w:rsidRDefault="00A77B3E">
            <w:pPr>
              <w:overflowPunct w:val="0"/>
              <w:rPr>
                <w:rFonts w:ascii="Arial" w:hAnsi="Arial" w:cs="Arial"/>
                <w:b/>
                <w:bCs/>
                <w:sz w:val="22"/>
                <w:szCs w:val="22"/>
              </w:rPr>
            </w:pP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68DB9EC"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&lt; 50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6228095"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50-100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4AB928B"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&gt; 100-300 MW</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521C41A"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&gt;</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B6CD89B"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300 MW</w:t>
            </w:r>
          </w:p>
        </w:tc>
      </w:tr>
      <w:tr w:rsidR="00E40657" w14:paraId="71FA16D1" w14:textId="77777777">
        <w:tc>
          <w:tcPr>
            <w:tcW w:w="0" w:type="auto"/>
            <w:vMerge/>
            <w:tcBorders>
              <w:left w:val="single" w:sz="12" w:space="0" w:color="000000"/>
              <w:bottom w:val="single" w:sz="12" w:space="0" w:color="000000"/>
              <w:right w:val="single" w:sz="12" w:space="0" w:color="000000"/>
            </w:tcBorders>
            <w:vAlign w:val="center"/>
            <w:hideMark/>
          </w:tcPr>
          <w:p w14:paraId="44883544"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8703B95"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4AAA0B7"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0E4614C"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4759220"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D73B696"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B304D9D"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71E77ED"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EB6430"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F6F5BE7"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E259E48"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436299E"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CE756CF"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r>
      <w:tr w:rsidR="00E40657" w14:paraId="79711E4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24A450A"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Pevné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64766E1"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C427BD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95A021"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2CCE3B"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1F088C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300 400</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3BBD78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47B6A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236D41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C739C1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A383CD5"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A82716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94439F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r>
      <w:tr w:rsidR="00E40657" w14:paraId="54F7CCD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3A4AB86"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Rašelina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F54D9AB"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2F527B"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37C1EF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BBC9AE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8EAFF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60049E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1EFF5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436E588"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91050F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FF2DA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867D2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37B870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r>
      <w:tr w:rsidR="00E40657" w14:paraId="77D56DC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1794D62"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 xml:space="preserve">Biomasa podle </w:t>
            </w:r>
            <w:hyperlink w:history="1">
              <w:r w:rsidR="00A77B3E" w:rsidRPr="0030358C">
                <w:rPr>
                  <w:rFonts w:ascii="Arial" w:hAnsi="Arial" w:cs="Arial"/>
                  <w:sz w:val="22"/>
                  <w:szCs w:val="22"/>
                </w:rPr>
                <w:t xml:space="preserve">§ 2 </w:t>
              </w:r>
              <w:r w:rsidR="00A77B3E" w:rsidRPr="0030358C">
                <w:rPr>
                  <w:rFonts w:ascii="Arial" w:hAnsi="Arial" w:cs="Arial"/>
                  <w:sz w:val="22"/>
                  <w:szCs w:val="22"/>
                </w:rPr>
                <w:lastRenderedPageBreak/>
                <w:t>písm. a)</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9A922C" w14:textId="77777777" w:rsidR="00A77B3E" w:rsidRPr="0030358C" w:rsidRDefault="00A77B3E">
            <w:pPr>
              <w:pStyle w:val="78"/>
              <w:overflowPunct w:val="0"/>
              <w:ind w:left="0"/>
              <w:jc w:val="center"/>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5E69F90" w14:textId="77777777" w:rsidR="00A77B3E" w:rsidRPr="0030358C" w:rsidRDefault="00A77B3E">
            <w:pPr>
              <w:pStyle w:val="78"/>
              <w:overflowPunct w:val="0"/>
              <w:ind w:left="0"/>
              <w:jc w:val="center"/>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B8441A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BD6DA7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C87CF5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28FFDD"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EC85EB"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DA70E5"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29EA0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60379B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E61287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0592B0E"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r>
      <w:tr w:rsidR="00E40657" w14:paraId="0907BC0E"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1E2811B"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Kapalné palivo</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97FC80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62A22A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980B77E"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A0C072F"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A7C6892"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400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1C4825C"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AC9A45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4B1874D"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9A077A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C1B23F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83FED4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77EDD9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r>
    </w:tbl>
    <w:p w14:paraId="08C62288" w14:textId="77777777" w:rsidR="00A77B3E" w:rsidRPr="0030358C" w:rsidRDefault="00A77B3E">
      <w:pPr>
        <w:pStyle w:val="78"/>
        <w:rPr>
          <w:rFonts w:ascii="Arial" w:hAnsi="Arial" w:cs="Arial"/>
          <w:sz w:val="22"/>
          <w:szCs w:val="22"/>
        </w:rPr>
      </w:pPr>
    </w:p>
    <w:p w14:paraId="34276CC9" w14:textId="77777777" w:rsidR="00A77B3E" w:rsidRPr="0030358C" w:rsidRDefault="00000000" w:rsidP="00A712ED">
      <w:pPr>
        <w:pStyle w:val="78"/>
        <w:ind w:left="0"/>
        <w:rPr>
          <w:rFonts w:ascii="Arial" w:hAnsi="Arial" w:cs="Arial"/>
          <w:sz w:val="22"/>
          <w:szCs w:val="22"/>
        </w:rPr>
      </w:pPr>
      <w:r w:rsidRPr="0030358C">
        <w:rPr>
          <w:rFonts w:ascii="Arial" w:hAnsi="Arial" w:cs="Arial"/>
          <w:sz w:val="22"/>
          <w:szCs w:val="22"/>
        </w:rPr>
        <w:t>Vysvětlivka: 1) Platí pro práškové hnědé uhlí</w:t>
      </w:r>
    </w:p>
    <w:p w14:paraId="67852964" w14:textId="77777777" w:rsidR="00A77B3E" w:rsidRPr="0030358C" w:rsidRDefault="00000000" w:rsidP="00A712ED">
      <w:pPr>
        <w:pStyle w:val="77"/>
        <w:ind w:left="340"/>
        <w:rPr>
          <w:rFonts w:ascii="Arial" w:hAnsi="Arial" w:cs="Arial"/>
          <w:szCs w:val="22"/>
        </w:rPr>
      </w:pPr>
      <w:r w:rsidRPr="0030358C">
        <w:rPr>
          <w:rFonts w:ascii="Arial" w:hAnsi="Arial" w:cs="Arial"/>
          <w:szCs w:val="22"/>
        </w:rPr>
        <w:t>2.2.2.2.    Hodnoty C</w:t>
      </w:r>
      <w:r w:rsidRPr="0030358C">
        <w:rPr>
          <w:rFonts w:ascii="Arial" w:hAnsi="Arial" w:cs="Arial"/>
          <w:szCs w:val="22"/>
          <w:vertAlign w:val="subscript"/>
        </w:rPr>
        <w:t>proc</w:t>
      </w:r>
      <w:r w:rsidRPr="0030358C">
        <w:rPr>
          <w:rFonts w:ascii="Arial" w:hAnsi="Arial" w:cs="Arial"/>
          <w:szCs w:val="22"/>
        </w:rPr>
        <w:t xml:space="preserve"> pro spalovací stacionární zdroje, pro něž byla podána kompletní žádost o první povolení provozu 7. ledna 2013 nebo později nebo byly uvedeny do provozu po 7. lednu 2014</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001"/>
        <w:gridCol w:w="635"/>
        <w:gridCol w:w="646"/>
        <w:gridCol w:w="643"/>
        <w:gridCol w:w="636"/>
        <w:gridCol w:w="646"/>
        <w:gridCol w:w="643"/>
        <w:gridCol w:w="696"/>
        <w:gridCol w:w="646"/>
        <w:gridCol w:w="643"/>
        <w:gridCol w:w="696"/>
        <w:gridCol w:w="696"/>
        <w:gridCol w:w="643"/>
      </w:tblGrid>
      <w:tr w:rsidR="00E40657" w14:paraId="55CB34DF"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A91E161"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Druh paliva</w:t>
            </w:r>
          </w:p>
        </w:tc>
        <w:tc>
          <w:tcPr>
            <w:tcW w:w="0" w:type="auto"/>
            <w:gridSpan w:val="1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9803056"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Hodnoty C</w:t>
            </w:r>
            <w:r w:rsidRPr="0030358C">
              <w:rPr>
                <w:rFonts w:ascii="Arial" w:hAnsi="Arial" w:cs="Arial"/>
                <w:b/>
                <w:bCs/>
                <w:sz w:val="22"/>
                <w:szCs w:val="22"/>
                <w:vertAlign w:val="subscript"/>
              </w:rPr>
              <w:t>proc</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4CEEDF90" w14:textId="77777777">
        <w:tc>
          <w:tcPr>
            <w:tcW w:w="0" w:type="auto"/>
            <w:vMerge/>
            <w:tcBorders>
              <w:left w:val="single" w:sz="12" w:space="0" w:color="000000"/>
              <w:right w:val="single" w:sz="12" w:space="0" w:color="000000"/>
            </w:tcBorders>
            <w:vAlign w:val="center"/>
            <w:hideMark/>
          </w:tcPr>
          <w:p w14:paraId="6FB842D9" w14:textId="77777777" w:rsidR="00A77B3E" w:rsidRPr="0030358C" w:rsidRDefault="00A77B3E">
            <w:pPr>
              <w:overflowPunct w:val="0"/>
              <w:rPr>
                <w:rFonts w:ascii="Arial" w:hAnsi="Arial" w:cs="Arial"/>
                <w:b/>
                <w:bCs/>
                <w:sz w:val="22"/>
                <w:szCs w:val="22"/>
              </w:rPr>
            </w:pP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E977FF"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&lt; 50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AD1A2C"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50-100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0D1EE17"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&gt; 100-300 MW</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0A7B59B"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&gt; 300 MW</w:t>
            </w:r>
          </w:p>
        </w:tc>
      </w:tr>
      <w:tr w:rsidR="00E40657" w14:paraId="5F11CA04" w14:textId="77777777">
        <w:tc>
          <w:tcPr>
            <w:tcW w:w="0" w:type="auto"/>
            <w:vMerge/>
            <w:tcBorders>
              <w:left w:val="single" w:sz="12" w:space="0" w:color="000000"/>
              <w:bottom w:val="single" w:sz="12" w:space="0" w:color="000000"/>
              <w:right w:val="single" w:sz="12" w:space="0" w:color="000000"/>
            </w:tcBorders>
            <w:vAlign w:val="center"/>
            <w:hideMark/>
          </w:tcPr>
          <w:p w14:paraId="03037281"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4C7483"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E1EA188"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827A403"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3CBFD7A"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3C80ADC"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C557616"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59FED81"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3673A97"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A3F8CB2"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3055A56"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SO</w:t>
            </w:r>
            <w:r w:rsidRPr="0030358C">
              <w:rPr>
                <w:rFonts w:ascii="Arial" w:hAnsi="Arial" w:cs="Arial"/>
                <w:b/>
                <w:bCs/>
                <w:sz w:val="22"/>
                <w:szCs w:val="22"/>
                <w:vertAlign w:val="subscript"/>
              </w:rPr>
              <w:t>2</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F676EA1"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NO</w:t>
            </w:r>
            <w:r w:rsidRPr="0030358C">
              <w:rPr>
                <w:rFonts w:ascii="Arial" w:hAnsi="Arial" w:cs="Arial"/>
                <w:b/>
                <w:bCs/>
                <w:sz w:val="22"/>
                <w:szCs w:val="22"/>
                <w:vertAlign w:val="subscript"/>
              </w:rPr>
              <w:t>x</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E0C0B13" w14:textId="77777777" w:rsidR="00A77B3E" w:rsidRPr="0030358C" w:rsidRDefault="00000000">
            <w:pPr>
              <w:pStyle w:val="78"/>
              <w:overflowPunct w:val="0"/>
              <w:ind w:left="0"/>
              <w:jc w:val="center"/>
              <w:rPr>
                <w:rFonts w:ascii="Arial" w:hAnsi="Arial" w:cs="Arial"/>
                <w:b/>
                <w:bCs/>
                <w:sz w:val="22"/>
                <w:szCs w:val="22"/>
              </w:rPr>
            </w:pPr>
            <w:r w:rsidRPr="0030358C">
              <w:rPr>
                <w:rFonts w:ascii="Arial" w:hAnsi="Arial" w:cs="Arial"/>
                <w:b/>
                <w:bCs/>
                <w:sz w:val="22"/>
                <w:szCs w:val="22"/>
              </w:rPr>
              <w:t>TZL</w:t>
            </w:r>
          </w:p>
        </w:tc>
      </w:tr>
      <w:tr w:rsidR="00E40657" w14:paraId="3FA654F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87FEDDE"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Pevné palivo obecně</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ED5457F"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6D80FE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9E6C0A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4796ED5"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400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9DA2A5"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7754F6F"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7537B5"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E6E13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59BE6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6E9AE8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r w:rsidRPr="0030358C">
              <w:rPr>
                <w:rFonts w:ascii="Arial" w:hAnsi="Arial" w:cs="Arial"/>
                <w:sz w:val="22"/>
                <w:szCs w:val="22"/>
              </w:rPr>
              <w:br/>
              <w:t>200</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D99E0E"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r w:rsidRPr="0030358C">
              <w:rPr>
                <w:rFonts w:ascii="Arial" w:hAnsi="Arial" w:cs="Arial"/>
                <w:sz w:val="22"/>
                <w:szCs w:val="22"/>
              </w:rPr>
              <w:br/>
              <w:t>200</w:t>
            </w:r>
            <w:r w:rsidRPr="0030358C">
              <w:rPr>
                <w:rFonts w:ascii="Arial" w:hAnsi="Arial" w:cs="Arial"/>
                <w:sz w:val="22"/>
                <w:szCs w:val="22"/>
                <w:vertAlign w:val="superscript"/>
              </w:rPr>
              <w:t>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0914238"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10</w:t>
            </w:r>
          </w:p>
        </w:tc>
      </w:tr>
      <w:tr w:rsidR="00E40657" w14:paraId="7FB0F7C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B160315"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Rašelina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68132C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865A74"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E4903A2"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1D427C"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8C406D"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9063F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058382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300</w:t>
            </w:r>
            <w:r w:rsidRPr="0030358C">
              <w:rPr>
                <w:rFonts w:ascii="Arial" w:hAnsi="Arial" w:cs="Arial"/>
                <w:sz w:val="22"/>
                <w:szCs w:val="22"/>
              </w:rPr>
              <w:br/>
              <w:t>250</w:t>
            </w:r>
            <w:r w:rsidRPr="0030358C">
              <w:rPr>
                <w:rFonts w:ascii="Arial" w:hAnsi="Arial" w:cs="Arial"/>
                <w:sz w:val="22"/>
                <w:szCs w:val="22"/>
                <w:vertAlign w:val="superscript"/>
              </w:rPr>
              <w:t>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36EEAD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33F63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78CFEE"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r w:rsidRPr="0030358C">
              <w:rPr>
                <w:rFonts w:ascii="Arial" w:hAnsi="Arial" w:cs="Arial"/>
                <w:sz w:val="22"/>
                <w:szCs w:val="22"/>
              </w:rPr>
              <w:br/>
              <w:t>200</w:t>
            </w:r>
            <w:r w:rsidRPr="0030358C">
              <w:rPr>
                <w:rFonts w:ascii="Arial" w:hAnsi="Arial" w:cs="Arial"/>
                <w:sz w:val="22"/>
                <w:szCs w:val="22"/>
                <w:vertAlign w:val="superscript"/>
              </w:rPr>
              <w:t>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CDA94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6E44ED5"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r>
      <w:tr w:rsidR="00E40657" w14:paraId="64A16C2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31E6230"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 xml:space="preserve">Biomasa podle </w:t>
            </w:r>
            <w:hyperlink w:history="1">
              <w:r w:rsidR="00A77B3E" w:rsidRPr="0030358C">
                <w:rPr>
                  <w:rFonts w:ascii="Arial" w:hAnsi="Arial" w:cs="Arial"/>
                  <w:sz w:val="22"/>
                  <w:szCs w:val="22"/>
                </w:rPr>
                <w:t>§ 2 písm. a)</w:t>
              </w:r>
            </w:hyperlink>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A99DA1" w14:textId="77777777" w:rsidR="00A77B3E" w:rsidRPr="0030358C" w:rsidRDefault="00A77B3E">
            <w:pPr>
              <w:pStyle w:val="78"/>
              <w:overflowPunct w:val="0"/>
              <w:ind w:left="0"/>
              <w:jc w:val="center"/>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91133A8" w14:textId="77777777" w:rsidR="00A77B3E" w:rsidRPr="0030358C" w:rsidRDefault="00A77B3E">
            <w:pPr>
              <w:pStyle w:val="78"/>
              <w:overflowPunct w:val="0"/>
              <w:ind w:left="0"/>
              <w:jc w:val="center"/>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3F78BC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B9F94F"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9DFF0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74D7348"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4C4C6C"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71CBF1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DB0EB3"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CFB7D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5CD0356"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505A541"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r>
      <w:tr w:rsidR="00E40657" w14:paraId="4C7D53E5"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1FBE0CB3" w14:textId="77777777" w:rsidR="00A77B3E" w:rsidRPr="0030358C" w:rsidRDefault="00000000">
            <w:pPr>
              <w:pStyle w:val="78"/>
              <w:overflowPunct w:val="0"/>
              <w:ind w:left="0"/>
              <w:jc w:val="left"/>
              <w:rPr>
                <w:rFonts w:ascii="Arial" w:hAnsi="Arial" w:cs="Arial"/>
                <w:sz w:val="22"/>
                <w:szCs w:val="22"/>
              </w:rPr>
            </w:pPr>
            <w:r w:rsidRPr="0030358C">
              <w:rPr>
                <w:rFonts w:ascii="Arial" w:hAnsi="Arial" w:cs="Arial"/>
                <w:sz w:val="22"/>
                <w:szCs w:val="22"/>
              </w:rPr>
              <w:t>Kapalné palivo</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8F9F948"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8DD1939"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51D5FEC"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2F5ADC2"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617E13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300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D26D610"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5EF05AC"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DB953A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9CB020A"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C1A0157"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CB239EE"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100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C651255" w14:textId="77777777" w:rsidR="00A77B3E" w:rsidRPr="0030358C" w:rsidRDefault="00000000">
            <w:pPr>
              <w:pStyle w:val="78"/>
              <w:overflowPunct w:val="0"/>
              <w:ind w:left="0"/>
              <w:jc w:val="center"/>
              <w:rPr>
                <w:rFonts w:ascii="Arial" w:hAnsi="Arial" w:cs="Arial"/>
                <w:sz w:val="22"/>
                <w:szCs w:val="22"/>
              </w:rPr>
            </w:pPr>
            <w:r w:rsidRPr="0030358C">
              <w:rPr>
                <w:rFonts w:ascii="Arial" w:hAnsi="Arial" w:cs="Arial"/>
                <w:sz w:val="22"/>
                <w:szCs w:val="22"/>
              </w:rPr>
              <w:t>10</w:t>
            </w:r>
          </w:p>
        </w:tc>
      </w:tr>
    </w:tbl>
    <w:p w14:paraId="7F084C55" w14:textId="77777777" w:rsidR="00A77B3E" w:rsidRPr="0030358C" w:rsidRDefault="00A77B3E">
      <w:pPr>
        <w:pStyle w:val="78"/>
        <w:rPr>
          <w:rFonts w:ascii="Arial" w:hAnsi="Arial" w:cs="Arial"/>
          <w:sz w:val="22"/>
          <w:szCs w:val="22"/>
        </w:rPr>
      </w:pPr>
    </w:p>
    <w:p w14:paraId="7C655867" w14:textId="77777777" w:rsidR="00A77B3E" w:rsidRPr="0030358C" w:rsidRDefault="00000000" w:rsidP="00A712ED">
      <w:pPr>
        <w:pStyle w:val="79"/>
        <w:ind w:left="0"/>
        <w:rPr>
          <w:rFonts w:ascii="Arial" w:hAnsi="Arial" w:cs="Arial"/>
          <w:sz w:val="22"/>
          <w:szCs w:val="22"/>
        </w:rPr>
      </w:pPr>
      <w:r w:rsidRPr="0030358C">
        <w:rPr>
          <w:rFonts w:ascii="Arial" w:hAnsi="Arial" w:cs="Arial"/>
          <w:sz w:val="22"/>
          <w:szCs w:val="22"/>
        </w:rPr>
        <w:t>Vysvětlivky:</w:t>
      </w:r>
    </w:p>
    <w:p w14:paraId="56FD6D9D" w14:textId="77777777" w:rsidR="00A77B3E" w:rsidRPr="0030358C" w:rsidRDefault="00000000" w:rsidP="00A712ED">
      <w:pPr>
        <w:pStyle w:val="80"/>
        <w:ind w:left="0"/>
        <w:rPr>
          <w:rFonts w:ascii="Arial" w:hAnsi="Arial" w:cs="Arial"/>
          <w:sz w:val="22"/>
          <w:szCs w:val="22"/>
        </w:rPr>
      </w:pPr>
      <w:r w:rsidRPr="0030358C">
        <w:rPr>
          <w:rFonts w:ascii="Arial" w:hAnsi="Arial" w:cs="Arial"/>
          <w:sz w:val="22"/>
          <w:szCs w:val="22"/>
        </w:rPr>
        <w:t>1)    Platí pro cirkulační nebo tlakové spalování ve fluidním loži</w:t>
      </w:r>
    </w:p>
    <w:p w14:paraId="53630629" w14:textId="77777777" w:rsidR="00A77B3E" w:rsidRPr="0030358C" w:rsidRDefault="00000000" w:rsidP="00A712ED">
      <w:pPr>
        <w:pStyle w:val="80"/>
        <w:ind w:left="0"/>
        <w:rPr>
          <w:rFonts w:ascii="Arial" w:hAnsi="Arial" w:cs="Arial"/>
          <w:sz w:val="22"/>
          <w:szCs w:val="22"/>
        </w:rPr>
      </w:pPr>
      <w:r w:rsidRPr="0030358C">
        <w:rPr>
          <w:rFonts w:ascii="Arial" w:hAnsi="Arial" w:cs="Arial"/>
          <w:sz w:val="22"/>
          <w:szCs w:val="22"/>
        </w:rPr>
        <w:t>2)    Platí pro spalování práškového hnědého uhlí</w:t>
      </w:r>
    </w:p>
    <w:p w14:paraId="18F042D7" w14:textId="77777777" w:rsidR="00A77B3E" w:rsidRPr="0030358C" w:rsidRDefault="00000000" w:rsidP="00A712ED">
      <w:pPr>
        <w:pStyle w:val="81"/>
        <w:ind w:left="0"/>
        <w:rPr>
          <w:rFonts w:ascii="Arial" w:hAnsi="Arial" w:cs="Arial"/>
          <w:sz w:val="22"/>
          <w:szCs w:val="22"/>
        </w:rPr>
      </w:pPr>
      <w:r w:rsidRPr="0030358C">
        <w:rPr>
          <w:rFonts w:ascii="Arial" w:hAnsi="Arial" w:cs="Arial"/>
          <w:sz w:val="22"/>
          <w:szCs w:val="22"/>
        </w:rPr>
        <w:t>3)    Platí pro spalování ve fluidním loži</w:t>
      </w:r>
    </w:p>
    <w:p w14:paraId="5440F3D1" w14:textId="77777777" w:rsidR="00A77B3E" w:rsidRPr="0030358C" w:rsidRDefault="00000000" w:rsidP="00A712ED">
      <w:pPr>
        <w:pStyle w:val="57"/>
        <w:ind w:left="340"/>
        <w:rPr>
          <w:rFonts w:ascii="Arial" w:hAnsi="Arial" w:cs="Arial"/>
          <w:strike/>
          <w:szCs w:val="22"/>
        </w:rPr>
      </w:pPr>
      <w:r w:rsidRPr="0030358C">
        <w:rPr>
          <w:rFonts w:ascii="Arial" w:hAnsi="Arial" w:cs="Arial"/>
          <w:strike/>
          <w:szCs w:val="22"/>
        </w:rPr>
        <w:t>2.3.    Specifické emisní limity pro stacionární zdroje tepelně zpracovávající odpad jiné než spalovny odpadu, cementářské pece a spalovací stacionární zdroje</w:t>
      </w:r>
    </w:p>
    <w:p w14:paraId="5AD67E3A" w14:textId="77777777" w:rsidR="00A77B3E" w:rsidRPr="0030358C" w:rsidRDefault="00000000" w:rsidP="00A712ED">
      <w:pPr>
        <w:pStyle w:val="59"/>
        <w:ind w:left="340"/>
        <w:rPr>
          <w:rFonts w:ascii="Arial" w:hAnsi="Arial" w:cs="Arial"/>
          <w:strike/>
          <w:sz w:val="22"/>
          <w:szCs w:val="22"/>
        </w:rPr>
      </w:pPr>
      <w:r w:rsidRPr="0030358C">
        <w:rPr>
          <w:rFonts w:ascii="Arial" w:hAnsi="Arial" w:cs="Arial"/>
          <w:strike/>
          <w:sz w:val="22"/>
          <w:szCs w:val="22"/>
        </w:rPr>
        <w:t xml:space="preserve">Na tyto stacionární zdroje se vztahují emisní limity pro PCDD/F, rtuť, kadmium a thalium uvedené v </w:t>
      </w:r>
      <w:hyperlink w:history="1">
        <w:r w:rsidR="00A77B3E" w:rsidRPr="0030358C">
          <w:rPr>
            <w:rFonts w:ascii="Arial" w:hAnsi="Arial" w:cs="Arial"/>
            <w:strike/>
            <w:sz w:val="22"/>
            <w:szCs w:val="22"/>
          </w:rPr>
          <w:t>části I. 1.2</w:t>
        </w:r>
      </w:hyperlink>
      <w:r w:rsidRPr="0030358C">
        <w:rPr>
          <w:rFonts w:ascii="Arial" w:hAnsi="Arial" w:cs="Arial"/>
          <w:strike/>
          <w:sz w:val="22"/>
          <w:szCs w:val="22"/>
        </w:rPr>
        <w:t xml:space="preserve"> vyjádřené jako průměrná hodnota bez přepočtu na referenční obsah kyslíku.</w:t>
      </w:r>
    </w:p>
    <w:p w14:paraId="71B56716" w14:textId="77777777" w:rsidR="00E06027" w:rsidRPr="0030358C" w:rsidRDefault="00000000" w:rsidP="00A712ED">
      <w:pPr>
        <w:pStyle w:val="57"/>
        <w:ind w:left="340"/>
        <w:rPr>
          <w:rFonts w:ascii="Arial" w:hAnsi="Arial" w:cs="Arial"/>
          <w:b/>
          <w:bCs/>
          <w:szCs w:val="22"/>
        </w:rPr>
      </w:pPr>
      <w:bookmarkStart w:id="49" w:name="_Hlk181369698"/>
      <w:r w:rsidRPr="0030358C">
        <w:rPr>
          <w:rFonts w:ascii="Arial" w:hAnsi="Arial" w:cs="Arial"/>
          <w:b/>
          <w:bCs/>
          <w:szCs w:val="22"/>
        </w:rPr>
        <w:t xml:space="preserve">2.3.    </w:t>
      </w:r>
      <w:bookmarkStart w:id="50" w:name="_Hlk184892399"/>
      <w:r w:rsidRPr="0030358C">
        <w:rPr>
          <w:rFonts w:ascii="Arial" w:hAnsi="Arial" w:cs="Arial"/>
          <w:b/>
          <w:bCs/>
          <w:szCs w:val="22"/>
        </w:rPr>
        <w:t xml:space="preserve">Specifické emisní limity pro stacionární zdroje </w:t>
      </w:r>
      <w:r w:rsidR="00DB15C7" w:rsidRPr="0030358C">
        <w:rPr>
          <w:rFonts w:ascii="Arial" w:hAnsi="Arial" w:cs="Arial"/>
          <w:b/>
          <w:bCs/>
          <w:szCs w:val="22"/>
        </w:rPr>
        <w:t xml:space="preserve">neuvedené v bodech 1, 2.1 a 2.2 </w:t>
      </w:r>
      <w:r w:rsidRPr="0030358C">
        <w:rPr>
          <w:rFonts w:ascii="Arial" w:hAnsi="Arial" w:cs="Arial"/>
          <w:b/>
          <w:bCs/>
          <w:szCs w:val="22"/>
        </w:rPr>
        <w:t xml:space="preserve">tepelně zpracovávající odpad </w:t>
      </w:r>
      <w:bookmarkEnd w:id="50"/>
    </w:p>
    <w:p w14:paraId="5740A609" w14:textId="77777777" w:rsidR="00AB6A8B" w:rsidRPr="0030358C" w:rsidRDefault="00000000" w:rsidP="00A712ED">
      <w:pPr>
        <w:pStyle w:val="59"/>
        <w:ind w:left="340"/>
        <w:rPr>
          <w:rFonts w:ascii="Arial" w:eastAsia="Calibri" w:hAnsi="Arial" w:cs="Arial"/>
          <w:b/>
          <w:bCs/>
          <w:sz w:val="22"/>
          <w:szCs w:val="22"/>
        </w:rPr>
      </w:pPr>
      <w:r w:rsidRPr="0030358C">
        <w:rPr>
          <w:rFonts w:ascii="Arial" w:eastAsia="Calibri" w:hAnsi="Arial" w:cs="Arial"/>
          <w:b/>
          <w:bCs/>
          <w:sz w:val="22"/>
          <w:szCs w:val="22"/>
        </w:rPr>
        <w:lastRenderedPageBreak/>
        <w:t xml:space="preserve">Na tyto stacionární zdroje se vztahují emisní limity pro PCDD/F, rtuť, kadmium a thalium uvedené v části I. </w:t>
      </w:r>
      <w:r w:rsidR="00667B26" w:rsidRPr="0030358C">
        <w:rPr>
          <w:rFonts w:ascii="Arial" w:eastAsia="Calibri" w:hAnsi="Arial" w:cs="Arial"/>
          <w:b/>
          <w:bCs/>
          <w:sz w:val="22"/>
          <w:szCs w:val="22"/>
        </w:rPr>
        <w:t xml:space="preserve">bodě </w:t>
      </w:r>
      <w:r w:rsidRPr="0030358C">
        <w:rPr>
          <w:rFonts w:ascii="Arial" w:eastAsia="Calibri" w:hAnsi="Arial" w:cs="Arial"/>
          <w:b/>
          <w:bCs/>
          <w:sz w:val="22"/>
          <w:szCs w:val="22"/>
        </w:rPr>
        <w:t xml:space="preserve">1.2 vyjádřené jako průměrná hodnota bez přepočtu na referenční obsah kyslíku, a dále specifické emisní limity </w:t>
      </w:r>
      <w:r w:rsidRPr="0030358C">
        <w:rPr>
          <w:rFonts w:ascii="Arial" w:eastAsia="Calibri" w:hAnsi="Arial" w:cs="Arial"/>
          <w:b/>
          <w:bCs/>
          <w:color w:val="000000"/>
          <w:sz w:val="22"/>
          <w:szCs w:val="22"/>
          <w:highlight w:val="white"/>
        </w:rPr>
        <w:t>stanovené v povolení provozu</w:t>
      </w:r>
      <w:r w:rsidRPr="0030358C">
        <w:rPr>
          <w:rFonts w:ascii="Arial" w:eastAsia="Calibri" w:hAnsi="Arial" w:cs="Arial"/>
          <w:b/>
          <w:bCs/>
          <w:color w:val="000000"/>
          <w:sz w:val="22"/>
          <w:szCs w:val="22"/>
        </w:rPr>
        <w:t xml:space="preserve"> pro:</w:t>
      </w:r>
    </w:p>
    <w:p w14:paraId="662E8899" w14:textId="77777777" w:rsidR="00AB6A8B" w:rsidRPr="0030358C" w:rsidRDefault="00000000" w:rsidP="00A712ED">
      <w:pPr>
        <w:pStyle w:val="59"/>
        <w:numPr>
          <w:ilvl w:val="0"/>
          <w:numId w:val="4"/>
        </w:numPr>
        <w:ind w:left="700"/>
        <w:rPr>
          <w:rFonts w:ascii="Arial" w:hAnsi="Arial" w:cs="Arial"/>
          <w:b/>
          <w:bCs/>
          <w:sz w:val="22"/>
          <w:szCs w:val="22"/>
        </w:rPr>
      </w:pPr>
      <w:r w:rsidRPr="0030358C">
        <w:rPr>
          <w:rFonts w:ascii="Arial" w:eastAsia="Calibri" w:hAnsi="Arial" w:cs="Arial"/>
          <w:b/>
          <w:bCs/>
          <w:color w:val="000000"/>
          <w:sz w:val="22"/>
          <w:szCs w:val="22"/>
          <w:highlight w:val="white"/>
        </w:rPr>
        <w:t xml:space="preserve">oxidy dusíku vyjádřené jako oxid dusičitý a oxid uhelnatý, </w:t>
      </w:r>
    </w:p>
    <w:p w14:paraId="223B53EA" w14:textId="77777777" w:rsidR="00AB6A8B" w:rsidRPr="0030358C" w:rsidRDefault="00000000" w:rsidP="00A712ED">
      <w:pPr>
        <w:pStyle w:val="59"/>
        <w:numPr>
          <w:ilvl w:val="0"/>
          <w:numId w:val="4"/>
        </w:numPr>
        <w:ind w:left="700"/>
        <w:rPr>
          <w:rFonts w:ascii="Arial" w:hAnsi="Arial" w:cs="Arial"/>
          <w:b/>
          <w:bCs/>
          <w:sz w:val="22"/>
          <w:szCs w:val="22"/>
        </w:rPr>
      </w:pPr>
      <w:r w:rsidRPr="0030358C">
        <w:rPr>
          <w:rFonts w:ascii="Arial" w:eastAsia="Calibri" w:hAnsi="Arial" w:cs="Arial"/>
          <w:b/>
          <w:bCs/>
          <w:color w:val="000000"/>
          <w:sz w:val="22"/>
          <w:szCs w:val="22"/>
          <w:highlight w:val="white"/>
        </w:rPr>
        <w:t xml:space="preserve">tuhé znečišťující látky, </w:t>
      </w:r>
    </w:p>
    <w:p w14:paraId="590EF4EC" w14:textId="77777777" w:rsidR="00AB6A8B" w:rsidRPr="0030358C" w:rsidRDefault="00000000" w:rsidP="00A712ED">
      <w:pPr>
        <w:pStyle w:val="59"/>
        <w:numPr>
          <w:ilvl w:val="0"/>
          <w:numId w:val="4"/>
        </w:numPr>
        <w:ind w:left="700"/>
        <w:rPr>
          <w:rFonts w:ascii="Arial" w:hAnsi="Arial" w:cs="Arial"/>
          <w:b/>
          <w:bCs/>
          <w:sz w:val="22"/>
          <w:szCs w:val="22"/>
        </w:rPr>
      </w:pPr>
      <w:r w:rsidRPr="0030358C">
        <w:rPr>
          <w:rFonts w:ascii="Arial" w:eastAsia="Calibri" w:hAnsi="Arial" w:cs="Arial"/>
          <w:b/>
          <w:bCs/>
          <w:color w:val="000000"/>
          <w:sz w:val="22"/>
          <w:szCs w:val="22"/>
          <w:highlight w:val="white"/>
        </w:rPr>
        <w:t>celkový organický uhlík,</w:t>
      </w:r>
    </w:p>
    <w:p w14:paraId="2DD6F56D" w14:textId="77777777" w:rsidR="00AB6A8B" w:rsidRPr="0030358C" w:rsidRDefault="00000000" w:rsidP="00A712ED">
      <w:pPr>
        <w:pStyle w:val="59"/>
        <w:numPr>
          <w:ilvl w:val="0"/>
          <w:numId w:val="4"/>
        </w:numPr>
        <w:ind w:left="700"/>
        <w:rPr>
          <w:rFonts w:ascii="Arial" w:hAnsi="Arial" w:cs="Arial"/>
          <w:b/>
          <w:bCs/>
          <w:sz w:val="22"/>
          <w:szCs w:val="22"/>
        </w:rPr>
      </w:pPr>
      <w:r w:rsidRPr="0030358C">
        <w:rPr>
          <w:rFonts w:ascii="Arial" w:eastAsia="Calibri" w:hAnsi="Arial" w:cs="Arial"/>
          <w:b/>
          <w:bCs/>
          <w:color w:val="000000"/>
          <w:sz w:val="22"/>
          <w:szCs w:val="22"/>
          <w:highlight w:val="white"/>
        </w:rPr>
        <w:t xml:space="preserve">plynné anorganické sloučeniny chloru vyjádřené jako chlorovodík, </w:t>
      </w:r>
    </w:p>
    <w:p w14:paraId="2A921B75" w14:textId="77777777" w:rsidR="00AB6A8B" w:rsidRPr="0030358C" w:rsidRDefault="00000000" w:rsidP="00A712ED">
      <w:pPr>
        <w:pStyle w:val="59"/>
        <w:numPr>
          <w:ilvl w:val="0"/>
          <w:numId w:val="4"/>
        </w:numPr>
        <w:ind w:left="700"/>
        <w:rPr>
          <w:rFonts w:ascii="Arial" w:hAnsi="Arial" w:cs="Arial"/>
          <w:b/>
          <w:bCs/>
          <w:sz w:val="22"/>
          <w:szCs w:val="22"/>
        </w:rPr>
      </w:pPr>
      <w:r w:rsidRPr="0030358C">
        <w:rPr>
          <w:rFonts w:ascii="Arial" w:eastAsia="Calibri" w:hAnsi="Arial" w:cs="Arial"/>
          <w:b/>
          <w:bCs/>
          <w:color w:val="000000"/>
          <w:sz w:val="22"/>
          <w:szCs w:val="22"/>
          <w:highlight w:val="white"/>
        </w:rPr>
        <w:t xml:space="preserve">plynné anorganické sloučeniny fluoru vyjádřené jako fluorovodík a </w:t>
      </w:r>
    </w:p>
    <w:p w14:paraId="42342E92" w14:textId="77777777" w:rsidR="00E06027" w:rsidRPr="0030358C" w:rsidRDefault="00000000" w:rsidP="00A712ED">
      <w:pPr>
        <w:pStyle w:val="59"/>
        <w:numPr>
          <w:ilvl w:val="0"/>
          <w:numId w:val="4"/>
        </w:numPr>
        <w:ind w:left="700"/>
        <w:rPr>
          <w:rFonts w:ascii="Arial" w:hAnsi="Arial" w:cs="Arial"/>
          <w:b/>
          <w:bCs/>
          <w:sz w:val="22"/>
          <w:szCs w:val="22"/>
        </w:rPr>
      </w:pPr>
      <w:r w:rsidRPr="0030358C">
        <w:rPr>
          <w:rFonts w:ascii="Arial" w:eastAsia="Calibri" w:hAnsi="Arial" w:cs="Arial"/>
          <w:b/>
          <w:bCs/>
          <w:color w:val="000000"/>
          <w:sz w:val="22"/>
          <w:szCs w:val="22"/>
          <w:highlight w:val="white"/>
        </w:rPr>
        <w:t>oxid siřičitý stanovené.</w:t>
      </w:r>
    </w:p>
    <w:bookmarkEnd w:id="49"/>
    <w:p w14:paraId="66EB736C" w14:textId="77777777" w:rsidR="00A77B3E" w:rsidRPr="0030358C" w:rsidRDefault="00000000">
      <w:pPr>
        <w:pStyle w:val="44"/>
        <w:rPr>
          <w:rFonts w:ascii="Arial" w:hAnsi="Arial" w:cs="Arial"/>
          <w:sz w:val="22"/>
          <w:szCs w:val="22"/>
        </w:rPr>
      </w:pPr>
      <w:r w:rsidRPr="0030358C">
        <w:rPr>
          <w:rFonts w:ascii="Arial" w:hAnsi="Arial" w:cs="Arial"/>
          <w:sz w:val="22"/>
          <w:szCs w:val="22"/>
        </w:rPr>
        <w:t>Část II</w:t>
      </w:r>
    </w:p>
    <w:p w14:paraId="71B7F503" w14:textId="77777777" w:rsidR="00A77B3E" w:rsidRPr="0030358C" w:rsidRDefault="00000000">
      <w:pPr>
        <w:pStyle w:val="8"/>
        <w:rPr>
          <w:rFonts w:ascii="Arial" w:hAnsi="Arial" w:cs="Arial"/>
          <w:sz w:val="22"/>
          <w:szCs w:val="22"/>
        </w:rPr>
      </w:pPr>
      <w:r w:rsidRPr="0030358C">
        <w:rPr>
          <w:rFonts w:ascii="Arial" w:hAnsi="Arial" w:cs="Arial"/>
          <w:sz w:val="22"/>
          <w:szCs w:val="22"/>
        </w:rPr>
        <w:t>Technické podmínky provozu</w:t>
      </w:r>
    </w:p>
    <w:p w14:paraId="393F5AD1"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V zásobníku odpadu stacionárních zdrojů tepelně zpracovávajících komunální odpad je trvale udržován podtlak a odsávaný vzduch přiváděn do </w:t>
      </w:r>
      <w:bookmarkStart w:id="51" w:name="_Hlk184892525"/>
      <w:r w:rsidRPr="0030358C">
        <w:rPr>
          <w:rFonts w:ascii="Arial" w:hAnsi="Arial" w:cs="Arial"/>
          <w:strike/>
          <w:sz w:val="22"/>
          <w:szCs w:val="22"/>
        </w:rPr>
        <w:t>ohniště</w:t>
      </w:r>
      <w:r w:rsidR="00EA56D2" w:rsidRPr="0030358C">
        <w:rPr>
          <w:rFonts w:ascii="Arial" w:hAnsi="Arial" w:cs="Arial"/>
          <w:sz w:val="22"/>
          <w:szCs w:val="22"/>
        </w:rPr>
        <w:t xml:space="preserve"> </w:t>
      </w:r>
      <w:r w:rsidR="00EA56D2" w:rsidRPr="0030358C">
        <w:rPr>
          <w:rFonts w:ascii="Arial" w:hAnsi="Arial" w:cs="Arial"/>
          <w:b/>
          <w:bCs/>
          <w:sz w:val="22"/>
          <w:szCs w:val="22"/>
        </w:rPr>
        <w:t>spalovací komory</w:t>
      </w:r>
      <w:bookmarkEnd w:id="51"/>
      <w:r w:rsidRPr="0030358C">
        <w:rPr>
          <w:rFonts w:ascii="Arial" w:hAnsi="Arial" w:cs="Arial"/>
          <w:sz w:val="22"/>
          <w:szCs w:val="22"/>
        </w:rPr>
        <w:t>. Pokud neprobíhá spalování, vzduch odsávaný ze zásobníku odpadu se odvádí do výduchu schváleného v rámci povolení provozu.</w:t>
      </w:r>
    </w:p>
    <w:p w14:paraId="4E8BDEF7" w14:textId="77777777" w:rsidR="00A77B3E" w:rsidRPr="0030358C" w:rsidRDefault="00000000">
      <w:pPr>
        <w:pStyle w:val="25"/>
        <w:rPr>
          <w:rFonts w:ascii="Arial" w:hAnsi="Arial" w:cs="Arial"/>
          <w:sz w:val="22"/>
          <w:szCs w:val="22"/>
        </w:rPr>
      </w:pPr>
      <w:r w:rsidRPr="0030358C">
        <w:rPr>
          <w:rFonts w:ascii="Arial" w:hAnsi="Arial" w:cs="Arial"/>
          <w:sz w:val="22"/>
          <w:szCs w:val="22"/>
        </w:rPr>
        <w:t>(2)    Stacionární zdroje tepelně zpracovávající odpad se konstruují a provozují způsobem, který zaručuje, že</w:t>
      </w:r>
    </w:p>
    <w:p w14:paraId="66F577CE" w14:textId="77777777" w:rsidR="00A77B3E" w:rsidRPr="0030358C" w:rsidRDefault="00000000">
      <w:pPr>
        <w:pStyle w:val="12"/>
        <w:rPr>
          <w:rFonts w:ascii="Arial" w:hAnsi="Arial" w:cs="Arial"/>
          <w:sz w:val="22"/>
          <w:szCs w:val="22"/>
        </w:rPr>
      </w:pPr>
      <w:r w:rsidRPr="0030358C">
        <w:rPr>
          <w:rFonts w:ascii="Arial" w:hAnsi="Arial" w:cs="Arial"/>
          <w:sz w:val="22"/>
          <w:szCs w:val="22"/>
        </w:rPr>
        <w:t>a)    u spalovny odpadu je zajištěna dostatečná doba setrvání tepelně zpracovávaného odpadu v prostoru, kde dochází k tepelnému zpracování, za účelem dokonalého vyhoření nebo tepelného rozkladu tak, aby struska a popel obsahovaly méně než 3 % celkového organického uhlíku, nebo aby ztráta žíháním byla menší než 5 % hmotnosti suchého materiálu,</w:t>
      </w:r>
    </w:p>
    <w:p w14:paraId="7201FE03" w14:textId="77777777" w:rsidR="00A77B3E" w:rsidRPr="0030358C" w:rsidRDefault="00000000">
      <w:pPr>
        <w:pStyle w:val="13"/>
        <w:rPr>
          <w:rFonts w:ascii="Arial" w:hAnsi="Arial" w:cs="Arial"/>
          <w:sz w:val="22"/>
          <w:szCs w:val="22"/>
        </w:rPr>
      </w:pPr>
      <w:r w:rsidRPr="0030358C">
        <w:rPr>
          <w:rFonts w:ascii="Arial" w:hAnsi="Arial" w:cs="Arial"/>
          <w:sz w:val="22"/>
          <w:szCs w:val="22"/>
        </w:rPr>
        <w:t>b)    odpadní plyn je za posledním přívodem spalovacího vzduchu řízeným způsobem ohřát ve všech místech profilu toku odpadního plynu, a to i za nejméně příznivých podmínek, na teplotu nejméně 850°C po dobu nejméně dvou sekund, měřeno v blízkosti vnitřní stěny nebo v jiném reprezentativním místě spalovací komory schváleném v rámci povolení provozu; pokud se spaluje nebezpečný odpad s obsahem organických sloučenin chloru vyjádřených jako chlor vyšším než 1 %, musí tato teplota dosáhnout nejméně 1100°C po dobu nejméně dvou sekund,</w:t>
      </w:r>
    </w:p>
    <w:p w14:paraId="517AB3AC" w14:textId="77777777" w:rsidR="00A77B3E" w:rsidRPr="0030358C" w:rsidRDefault="00000000">
      <w:pPr>
        <w:pStyle w:val="14"/>
        <w:rPr>
          <w:rFonts w:ascii="Arial" w:hAnsi="Arial" w:cs="Arial"/>
          <w:sz w:val="22"/>
          <w:szCs w:val="22"/>
        </w:rPr>
      </w:pPr>
      <w:r w:rsidRPr="0030358C">
        <w:rPr>
          <w:rFonts w:ascii="Arial" w:hAnsi="Arial" w:cs="Arial"/>
          <w:sz w:val="22"/>
          <w:szCs w:val="22"/>
        </w:rPr>
        <w:t>c)    ve spalovně odpadu se automaticky zapne nejméně jeden pomocný hořák v každé spalovací komoře, který nesmí spalovat palivo, jehož spálením by vznikly vyšší emise než ze spalování plynového oleje, zkapalněného plynu nebo zemního plynu, v těchto případech:</w:t>
      </w:r>
    </w:p>
    <w:p w14:paraId="6B4BAD9D" w14:textId="77777777" w:rsidR="00A77B3E" w:rsidRPr="0030358C" w:rsidRDefault="00000000">
      <w:pPr>
        <w:pStyle w:val="26"/>
        <w:rPr>
          <w:rFonts w:ascii="Arial" w:hAnsi="Arial" w:cs="Arial"/>
          <w:szCs w:val="22"/>
        </w:rPr>
      </w:pPr>
      <w:r w:rsidRPr="0030358C">
        <w:rPr>
          <w:rFonts w:ascii="Arial" w:hAnsi="Arial" w:cs="Arial"/>
          <w:szCs w:val="22"/>
        </w:rPr>
        <w:t xml:space="preserve">1.    během uvádění </w:t>
      </w:r>
      <w:bookmarkStart w:id="52" w:name="_Hlk184892959"/>
      <w:r w:rsidRPr="0030358C">
        <w:rPr>
          <w:rFonts w:ascii="Arial" w:hAnsi="Arial" w:cs="Arial"/>
          <w:strike/>
          <w:szCs w:val="22"/>
        </w:rPr>
        <w:t>stacionárního zdroje tepelně zpracovávajícího odpad do provozu a jeho</w:t>
      </w:r>
      <w:r w:rsidRPr="0030358C">
        <w:rPr>
          <w:rFonts w:ascii="Arial" w:hAnsi="Arial" w:cs="Arial"/>
          <w:szCs w:val="22"/>
        </w:rPr>
        <w:t xml:space="preserve"> </w:t>
      </w:r>
      <w:r w:rsidR="00212C96" w:rsidRPr="0030358C">
        <w:rPr>
          <w:rFonts w:ascii="Arial" w:hAnsi="Arial" w:cs="Arial"/>
          <w:b/>
          <w:bCs/>
          <w:szCs w:val="22"/>
        </w:rPr>
        <w:t>spalovny do provozu a jejího</w:t>
      </w:r>
      <w:bookmarkEnd w:id="52"/>
      <w:r w:rsidR="00212C96" w:rsidRPr="0030358C">
        <w:rPr>
          <w:rFonts w:ascii="Arial" w:hAnsi="Arial" w:cs="Arial"/>
          <w:szCs w:val="22"/>
        </w:rPr>
        <w:t xml:space="preserve"> </w:t>
      </w:r>
      <w:r w:rsidRPr="0030358C">
        <w:rPr>
          <w:rFonts w:ascii="Arial" w:hAnsi="Arial" w:cs="Arial"/>
          <w:szCs w:val="22"/>
        </w:rPr>
        <w:t>odstavování s cílem zajistit, že stanovená teplota bude v prostoru, v němž dochází k tepelnému zpracování odpadu, udržena po celou tuto dobu, dokud je v prostoru, kde dochází k tepelnému zpracování odpadu, nějaký nespálený odpad,</w:t>
      </w:r>
    </w:p>
    <w:p w14:paraId="515061F6" w14:textId="77777777" w:rsidR="00A77B3E" w:rsidRPr="0030358C" w:rsidRDefault="00000000">
      <w:pPr>
        <w:pStyle w:val="28"/>
        <w:rPr>
          <w:rFonts w:ascii="Arial" w:hAnsi="Arial" w:cs="Arial"/>
          <w:szCs w:val="22"/>
        </w:rPr>
      </w:pPr>
      <w:r w:rsidRPr="0030358C">
        <w:rPr>
          <w:rFonts w:ascii="Arial" w:hAnsi="Arial" w:cs="Arial"/>
          <w:szCs w:val="22"/>
        </w:rPr>
        <w:t>2.    pokud teplota odpadního plynu po posledním vstřiku spalovacího vzduchu poklesne pod stanovenou teplotu 850°C nebo 1100°C podle tepelně zpracovávaného odpadu,</w:t>
      </w:r>
    </w:p>
    <w:p w14:paraId="13CAF303" w14:textId="77777777" w:rsidR="00A77B3E" w:rsidRPr="0030358C" w:rsidRDefault="00000000">
      <w:pPr>
        <w:pStyle w:val="29"/>
        <w:rPr>
          <w:rFonts w:ascii="Arial" w:hAnsi="Arial" w:cs="Arial"/>
          <w:sz w:val="22"/>
          <w:szCs w:val="22"/>
        </w:rPr>
      </w:pPr>
      <w:r w:rsidRPr="0030358C">
        <w:rPr>
          <w:rFonts w:ascii="Arial" w:hAnsi="Arial" w:cs="Arial"/>
          <w:sz w:val="22"/>
          <w:szCs w:val="22"/>
        </w:rPr>
        <w:t xml:space="preserve">d)    při uvádění stacionárního zdroje do provozu a při jeho odstavování, v případě poklesu teploty pod stanovenou minimální mez podle </w:t>
      </w:r>
      <w:hyperlink w:history="1">
        <w:r w:rsidR="00A77B3E" w:rsidRPr="0030358C">
          <w:rPr>
            <w:rFonts w:ascii="Arial" w:hAnsi="Arial" w:cs="Arial"/>
            <w:sz w:val="22"/>
            <w:szCs w:val="22"/>
          </w:rPr>
          <w:t>písm. b)</w:t>
        </w:r>
      </w:hyperlink>
      <w:r w:rsidRPr="0030358C">
        <w:rPr>
          <w:rFonts w:ascii="Arial" w:hAnsi="Arial" w:cs="Arial"/>
          <w:sz w:val="22"/>
          <w:szCs w:val="22"/>
        </w:rPr>
        <w:t xml:space="preserve"> nebo v případě překročení některého ze specifických emisních limitů bude automaticky zabráněno přívodu odpadu do prostoru, kde dochází k tepelnému zpracování odpadu přímou oxidací.</w:t>
      </w:r>
    </w:p>
    <w:p w14:paraId="6BD968FE" w14:textId="77777777" w:rsidR="00A77B3E" w:rsidRPr="0030358C" w:rsidRDefault="00000000">
      <w:pPr>
        <w:pStyle w:val="24"/>
        <w:rPr>
          <w:rFonts w:ascii="Arial" w:hAnsi="Arial" w:cs="Arial"/>
          <w:sz w:val="22"/>
          <w:szCs w:val="22"/>
        </w:rPr>
      </w:pPr>
      <w:r w:rsidRPr="0030358C">
        <w:rPr>
          <w:rFonts w:ascii="Arial" w:hAnsi="Arial" w:cs="Arial"/>
          <w:sz w:val="22"/>
          <w:szCs w:val="22"/>
        </w:rPr>
        <w:lastRenderedPageBreak/>
        <w:t xml:space="preserve">(3)    Za předpokladu, že jsou splněny ostatní požadavky stanovené touto vyhláškou, lze v povolení provozu uvést technické podmínky provozu pro určité kategorie a druhy odpadu a pro určité tepelné procesy odlišně od podmínek stanovených v </w:t>
      </w:r>
      <w:hyperlink w:history="1">
        <w:r w:rsidR="00A77B3E" w:rsidRPr="0030358C">
          <w:rPr>
            <w:rFonts w:ascii="Arial" w:hAnsi="Arial" w:cs="Arial"/>
            <w:sz w:val="22"/>
            <w:szCs w:val="22"/>
          </w:rPr>
          <w:t>odstavci 2 písm. a) až c)</w:t>
        </w:r>
      </w:hyperlink>
      <w:r w:rsidRPr="0030358C">
        <w:rPr>
          <w:rFonts w:ascii="Arial" w:hAnsi="Arial" w:cs="Arial"/>
          <w:sz w:val="22"/>
          <w:szCs w:val="22"/>
        </w:rPr>
        <w:t xml:space="preserve"> a minimálních teplot uvedených v </w:t>
      </w:r>
      <w:hyperlink w:history="1">
        <w:r w:rsidR="00A77B3E" w:rsidRPr="0030358C">
          <w:rPr>
            <w:rFonts w:ascii="Arial" w:hAnsi="Arial" w:cs="Arial"/>
            <w:sz w:val="22"/>
            <w:szCs w:val="22"/>
          </w:rPr>
          <w:t>odstavci 2 písm. d)</w:t>
        </w:r>
      </w:hyperlink>
      <w:r w:rsidRPr="0030358C">
        <w:rPr>
          <w:rFonts w:ascii="Arial" w:hAnsi="Arial" w:cs="Arial"/>
          <w:sz w:val="22"/>
          <w:szCs w:val="22"/>
        </w:rPr>
        <w:t xml:space="preserve">, pokud budou dodrženy specifické emisní limity pro celkový organický uhlík a oxid uhelnatý stanovené v </w:t>
      </w:r>
      <w:hyperlink w:history="1">
        <w:r w:rsidR="00A77B3E" w:rsidRPr="0030358C">
          <w:rPr>
            <w:rFonts w:ascii="Arial" w:hAnsi="Arial" w:cs="Arial"/>
            <w:sz w:val="22"/>
            <w:szCs w:val="22"/>
          </w:rPr>
          <w:t>bodu 1 části I</w:t>
        </w:r>
      </w:hyperlink>
      <w:r w:rsidRPr="0030358C">
        <w:rPr>
          <w:rFonts w:ascii="Arial" w:hAnsi="Arial" w:cs="Arial"/>
          <w:sz w:val="22"/>
          <w:szCs w:val="22"/>
        </w:rPr>
        <w:t xml:space="preserve"> této přílohy a pokud to v případě spaloven odpadu nepovede k produkci většího množství pevných zbytků nebo k vyššímu obsahu organických látek v pevných zbytcích než při dodržení podmínek podle </w:t>
      </w:r>
      <w:hyperlink w:history="1">
        <w:r w:rsidR="00A77B3E" w:rsidRPr="0030358C">
          <w:rPr>
            <w:rFonts w:ascii="Arial" w:hAnsi="Arial" w:cs="Arial"/>
            <w:sz w:val="22"/>
            <w:szCs w:val="22"/>
          </w:rPr>
          <w:t>odstavce 2 písm. a) až c)</w:t>
        </w:r>
      </w:hyperlink>
      <w:r w:rsidRPr="0030358C">
        <w:rPr>
          <w:rFonts w:ascii="Arial" w:hAnsi="Arial" w:cs="Arial"/>
          <w:sz w:val="22"/>
          <w:szCs w:val="22"/>
        </w:rPr>
        <w:t>.</w:t>
      </w:r>
    </w:p>
    <w:p w14:paraId="0E9DCD3D" w14:textId="77777777" w:rsidR="00A77B3E" w:rsidRPr="0030358C" w:rsidRDefault="00000000">
      <w:pPr>
        <w:pStyle w:val="30"/>
        <w:rPr>
          <w:rFonts w:ascii="Arial" w:hAnsi="Arial" w:cs="Arial"/>
          <w:sz w:val="22"/>
          <w:szCs w:val="22"/>
        </w:rPr>
      </w:pPr>
      <w:r w:rsidRPr="0030358C">
        <w:rPr>
          <w:rFonts w:ascii="Arial" w:hAnsi="Arial" w:cs="Arial"/>
          <w:sz w:val="22"/>
          <w:szCs w:val="22"/>
        </w:rPr>
        <w:t>(4)    Odpady ze zdravotnické a veterinární péče, na jejichž sběr a odstraňování jsou kladeny zvláštní požadavky, se dávkují přímo bez toho, aby byly nejdříve smíšeny s jinými druhy odpadu nebo s nimi bylo jinak manipulováno.</w:t>
      </w:r>
    </w:p>
    <w:p w14:paraId="56D76577"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(5)    Nejméně jednou při prvním uvádění stacionárního zdroje, v němž je povoleno tepelné zpracování odpadu, do provozu a za předpokládaných nejméně příznivých provozních podmínek se ověří doba setrvání odpadního plynu při stanovené nejnižší teplotě za posledním přívodem spalovacího vzduchu podle </w:t>
      </w:r>
      <w:hyperlink w:history="1">
        <w:r w:rsidR="00A77B3E" w:rsidRPr="0030358C">
          <w:rPr>
            <w:rFonts w:ascii="Arial" w:hAnsi="Arial" w:cs="Arial"/>
            <w:sz w:val="22"/>
            <w:szCs w:val="22"/>
          </w:rPr>
          <w:t>bodu 2</w:t>
        </w:r>
      </w:hyperlink>
      <w:r w:rsidRPr="0030358C">
        <w:rPr>
          <w:rFonts w:ascii="Arial" w:hAnsi="Arial" w:cs="Arial"/>
          <w:sz w:val="22"/>
          <w:szCs w:val="22"/>
        </w:rPr>
        <w:t>. Současně se zjišťuje obsah kyslíku v odpadním plynu.</w:t>
      </w:r>
    </w:p>
    <w:p w14:paraId="205C6AF0" w14:textId="77777777" w:rsidR="00A77B3E" w:rsidRPr="0030358C" w:rsidRDefault="00000000" w:rsidP="002A1A2C">
      <w:pPr>
        <w:pStyle w:val="25"/>
        <w:rPr>
          <w:rFonts w:ascii="Arial" w:hAnsi="Arial" w:cs="Arial"/>
          <w:sz w:val="22"/>
          <w:szCs w:val="22"/>
        </w:rPr>
      </w:pPr>
      <w:r w:rsidRPr="0030358C">
        <w:rPr>
          <w:rFonts w:ascii="Arial" w:hAnsi="Arial" w:cs="Arial"/>
          <w:sz w:val="22"/>
          <w:szCs w:val="22"/>
        </w:rPr>
        <w:t xml:space="preserve">(6)    Aniž je dotčeno ustanovení </w:t>
      </w:r>
      <w:hyperlink w:history="1">
        <w:r w:rsidR="00A77B3E" w:rsidRPr="0030358C">
          <w:rPr>
            <w:rFonts w:ascii="Arial" w:hAnsi="Arial" w:cs="Arial"/>
            <w:sz w:val="22"/>
            <w:szCs w:val="22"/>
          </w:rPr>
          <w:t>bodu 2 písm. d)</w:t>
        </w:r>
      </w:hyperlink>
      <w:r w:rsidRPr="0030358C">
        <w:rPr>
          <w:rFonts w:ascii="Arial" w:hAnsi="Arial" w:cs="Arial"/>
          <w:sz w:val="22"/>
          <w:szCs w:val="22"/>
        </w:rPr>
        <w:t>, nesmí být doba trvání provozu stacionárních zdrojů tepelně zpracovávajících odpad při překročení specifických emisních limitů delší než 4 hodiny nepřetržitě a současně celková doba trvání provozu při překročení specifických emisích limitů v jednom kalendářním roce nesmí překročit 60 hodin. To platí pro všechny stacionární zdroje, jejichž odpadní plyny jsou svedeny do stejné technologie ke snižování emisí.</w:t>
      </w:r>
    </w:p>
    <w:p w14:paraId="147F3176" w14:textId="77777777" w:rsidR="00A77B3E" w:rsidRPr="0030358C" w:rsidRDefault="00000000">
      <w:pPr>
        <w:pStyle w:val="42"/>
        <w:rPr>
          <w:rFonts w:ascii="Arial" w:hAnsi="Arial" w:cs="Arial"/>
          <w:sz w:val="22"/>
          <w:szCs w:val="22"/>
        </w:rPr>
      </w:pPr>
      <w:r w:rsidRPr="0030358C">
        <w:rPr>
          <w:rFonts w:ascii="Arial" w:hAnsi="Arial" w:cs="Arial"/>
          <w:sz w:val="22"/>
          <w:szCs w:val="22"/>
        </w:rPr>
        <w:t>Příloha č. 5    k vyhlášce č. 415/2012 Sb.</w:t>
      </w:r>
    </w:p>
    <w:p w14:paraId="6E993F26" w14:textId="77777777" w:rsidR="00A77B3E" w:rsidRPr="0030358C" w:rsidRDefault="00000000">
      <w:pPr>
        <w:pStyle w:val="43"/>
        <w:rPr>
          <w:rFonts w:ascii="Arial" w:hAnsi="Arial" w:cs="Arial"/>
          <w:sz w:val="22"/>
          <w:szCs w:val="22"/>
        </w:rPr>
      </w:pPr>
      <w:r w:rsidRPr="0030358C">
        <w:rPr>
          <w:rFonts w:ascii="Arial" w:hAnsi="Arial" w:cs="Arial"/>
          <w:sz w:val="22"/>
          <w:szCs w:val="22"/>
        </w:rPr>
        <w:t>SPECIFICKÉ EMISNÍ LIMITY, EMISNÍ STROPY A TECHNICKÉ PODMÍNKY PROVOZU STACIONÁRNÍCH ZDROJŮ, VE KTERÝCH DOCHÁZÍ K POUŽÍVÁNÍ ORGANICKÝCH ROZPOUŠTĚDEL, ZPŮSOB PROVEDENÍ ROČNÍ HMOTNOSTNÍ BILANCE TĚKAVÝCH ORGANICKÝCH LÁTEK</w:t>
      </w:r>
    </w:p>
    <w:p w14:paraId="0818995B" w14:textId="77777777" w:rsidR="00A77B3E" w:rsidRPr="0030358C" w:rsidRDefault="00000000">
      <w:pPr>
        <w:pStyle w:val="44"/>
        <w:rPr>
          <w:rFonts w:ascii="Arial" w:hAnsi="Arial" w:cs="Arial"/>
          <w:sz w:val="22"/>
          <w:szCs w:val="22"/>
        </w:rPr>
      </w:pPr>
      <w:r w:rsidRPr="0030358C">
        <w:rPr>
          <w:rFonts w:ascii="Arial" w:hAnsi="Arial" w:cs="Arial"/>
          <w:sz w:val="22"/>
          <w:szCs w:val="22"/>
        </w:rPr>
        <w:t>Část I</w:t>
      </w:r>
    </w:p>
    <w:p w14:paraId="32BFF7F9" w14:textId="77777777" w:rsidR="00A77B3E" w:rsidRPr="0030358C" w:rsidRDefault="00000000">
      <w:pPr>
        <w:pStyle w:val="8"/>
        <w:rPr>
          <w:rFonts w:ascii="Arial" w:hAnsi="Arial" w:cs="Arial"/>
          <w:sz w:val="22"/>
          <w:szCs w:val="22"/>
        </w:rPr>
      </w:pPr>
      <w:r w:rsidRPr="0030358C">
        <w:rPr>
          <w:rFonts w:ascii="Arial" w:hAnsi="Arial" w:cs="Arial"/>
          <w:sz w:val="22"/>
          <w:szCs w:val="22"/>
        </w:rPr>
        <w:t>Obecná ustanovení a pojmy</w:t>
      </w:r>
    </w:p>
    <w:p w14:paraId="0998E2FA" w14:textId="77777777" w:rsidR="00A77B3E" w:rsidRPr="0030358C" w:rsidRDefault="00000000">
      <w:pPr>
        <w:pStyle w:val="46"/>
        <w:rPr>
          <w:rFonts w:ascii="Arial" w:hAnsi="Arial" w:cs="Arial"/>
          <w:szCs w:val="22"/>
        </w:rPr>
      </w:pPr>
      <w:r w:rsidRPr="0030358C">
        <w:rPr>
          <w:rFonts w:ascii="Arial" w:hAnsi="Arial" w:cs="Arial"/>
          <w:szCs w:val="22"/>
        </w:rPr>
        <w:t>1.    Pro účely této přílohy jsou použita tato označení a pojmy:</w:t>
      </w:r>
    </w:p>
    <w:p w14:paraId="49484A4A" w14:textId="77777777" w:rsidR="00A77B3E" w:rsidRPr="0030358C" w:rsidRDefault="00000000">
      <w:pPr>
        <w:pStyle w:val="63"/>
        <w:rPr>
          <w:rFonts w:ascii="Arial" w:hAnsi="Arial" w:cs="Arial"/>
          <w:sz w:val="22"/>
          <w:szCs w:val="22"/>
        </w:rPr>
      </w:pPr>
      <w:r w:rsidRPr="0030358C">
        <w:rPr>
          <w:rFonts w:ascii="Arial" w:hAnsi="Arial" w:cs="Arial"/>
          <w:sz w:val="22"/>
          <w:szCs w:val="22"/>
        </w:rPr>
        <w:t>a)    fugitivní emise těkavých organických látek, kterými se rozumí jakékoli emise těkavých organických látek, které nejsou odváděny do ovzduší komínem nebo výduchem</w:t>
      </w:r>
    </w:p>
    <w:p w14:paraId="7556DEEF" w14:textId="77777777" w:rsidR="00A77B3E" w:rsidRPr="0030358C" w:rsidRDefault="00000000">
      <w:pPr>
        <w:pStyle w:val="64"/>
        <w:rPr>
          <w:rFonts w:ascii="Arial" w:hAnsi="Arial" w:cs="Arial"/>
          <w:sz w:val="22"/>
          <w:szCs w:val="22"/>
        </w:rPr>
      </w:pPr>
      <w:r w:rsidRPr="0030358C">
        <w:rPr>
          <w:rFonts w:ascii="Arial" w:hAnsi="Arial" w:cs="Arial"/>
          <w:sz w:val="22"/>
          <w:szCs w:val="22"/>
        </w:rPr>
        <w:t>b)    pojem činnost používaný v této příloze zahrnuje rovněž čištění procesního zařízení a čištění pracovních prostorů, avšak nezahrnuje čištění výrobků, pokud není dále uvedeno jinak</w:t>
      </w:r>
    </w:p>
    <w:p w14:paraId="20B35FCD" w14:textId="77777777" w:rsidR="00A77B3E" w:rsidRPr="0030358C" w:rsidRDefault="00000000">
      <w:pPr>
        <w:pStyle w:val="64"/>
        <w:rPr>
          <w:rFonts w:ascii="Arial" w:hAnsi="Arial" w:cs="Arial"/>
          <w:sz w:val="22"/>
          <w:szCs w:val="22"/>
        </w:rPr>
      </w:pPr>
      <w:r w:rsidRPr="0030358C">
        <w:rPr>
          <w:rFonts w:ascii="Arial" w:hAnsi="Arial" w:cs="Arial"/>
          <w:sz w:val="22"/>
          <w:szCs w:val="22"/>
        </w:rPr>
        <w:t>c)    spotřeba organických rozpouštědel/VOC/práškových plastů, kterou se rozumí celkové vstupní množství organických rozpouštědel/VOC/práškových plastů do zdroje za kalendářní nebo běžný rok snížené o všechna organická rozpouštědla/VOC/práškové plasty, které byly regenerovány v rámci daného zdroje pro opakované použití jako vstup v daném zdroji</w:t>
      </w:r>
    </w:p>
    <w:p w14:paraId="1C6F0162" w14:textId="77777777" w:rsidR="00A77B3E" w:rsidRPr="0030358C" w:rsidRDefault="00000000">
      <w:pPr>
        <w:pStyle w:val="64"/>
        <w:rPr>
          <w:rFonts w:ascii="Arial" w:hAnsi="Arial" w:cs="Arial"/>
          <w:sz w:val="22"/>
          <w:szCs w:val="22"/>
        </w:rPr>
      </w:pPr>
      <w:r w:rsidRPr="0030358C">
        <w:rPr>
          <w:rFonts w:ascii="Arial" w:hAnsi="Arial" w:cs="Arial"/>
          <w:sz w:val="22"/>
          <w:szCs w:val="22"/>
        </w:rPr>
        <w:t>d)    emisní limit TOC stanovený v této příloze znamená hmotnostní koncentraci těkavých organických látek vyjádřených jako celkový organický uhlík,</w:t>
      </w:r>
    </w:p>
    <w:p w14:paraId="6994D222" w14:textId="77777777" w:rsidR="00A77B3E" w:rsidRPr="0030358C" w:rsidRDefault="00000000">
      <w:pPr>
        <w:pStyle w:val="64"/>
        <w:rPr>
          <w:rFonts w:ascii="Arial" w:hAnsi="Arial" w:cs="Arial"/>
          <w:sz w:val="22"/>
          <w:szCs w:val="22"/>
        </w:rPr>
      </w:pPr>
      <w:r w:rsidRPr="0030358C">
        <w:rPr>
          <w:rFonts w:ascii="Arial" w:hAnsi="Arial" w:cs="Arial"/>
          <w:sz w:val="22"/>
          <w:szCs w:val="22"/>
        </w:rPr>
        <w:t>e)    VOC</w:t>
      </w:r>
      <w:r w:rsidRPr="0030358C">
        <w:rPr>
          <w:rFonts w:ascii="Arial" w:hAnsi="Arial" w:cs="Arial"/>
          <w:sz w:val="22"/>
          <w:szCs w:val="22"/>
          <w:vertAlign w:val="subscript"/>
        </w:rPr>
        <w:t>F</w:t>
      </w:r>
      <w:r w:rsidRPr="0030358C">
        <w:rPr>
          <w:rFonts w:ascii="Arial" w:hAnsi="Arial" w:cs="Arial"/>
          <w:sz w:val="22"/>
          <w:szCs w:val="22"/>
        </w:rPr>
        <w:t xml:space="preserve"> se rozumí podíl hmotnosti fugitivních emisí těkavých organických látek a hmotnosti vstupních organických rozpouštědel</w:t>
      </w:r>
    </w:p>
    <w:p w14:paraId="0D4E51C6" w14:textId="77777777" w:rsidR="00A77B3E" w:rsidRPr="0030358C" w:rsidRDefault="00000000">
      <w:pPr>
        <w:pStyle w:val="65"/>
        <w:rPr>
          <w:rFonts w:ascii="Arial" w:hAnsi="Arial" w:cs="Arial"/>
          <w:sz w:val="22"/>
          <w:szCs w:val="22"/>
        </w:rPr>
      </w:pPr>
      <w:r w:rsidRPr="0030358C">
        <w:rPr>
          <w:rFonts w:ascii="Arial" w:hAnsi="Arial" w:cs="Arial"/>
          <w:sz w:val="22"/>
          <w:szCs w:val="22"/>
        </w:rPr>
        <w:lastRenderedPageBreak/>
        <w:t>f)    VOC</w:t>
      </w:r>
      <w:r w:rsidRPr="0030358C">
        <w:rPr>
          <w:rFonts w:ascii="Arial" w:hAnsi="Arial" w:cs="Arial"/>
          <w:sz w:val="22"/>
          <w:szCs w:val="22"/>
          <w:vertAlign w:val="subscript"/>
        </w:rPr>
        <w:t>E</w:t>
      </w:r>
      <w:r w:rsidRPr="0030358C">
        <w:rPr>
          <w:rFonts w:ascii="Arial" w:hAnsi="Arial" w:cs="Arial"/>
          <w:sz w:val="22"/>
          <w:szCs w:val="22"/>
        </w:rPr>
        <w:t xml:space="preserve"> se rozumí podíl hmotnosti emisí těkavých organických látek a množství či velikosti produkce nebo množství vstupních organických rozpouštědel či celkového množství spotřebovaných vstupních surovin s obsahem VOC.</w:t>
      </w:r>
    </w:p>
    <w:p w14:paraId="10A3D03B" w14:textId="77777777" w:rsidR="00A77B3E" w:rsidRPr="0030358C" w:rsidRDefault="00000000">
      <w:pPr>
        <w:pStyle w:val="46"/>
        <w:rPr>
          <w:rFonts w:ascii="Arial" w:hAnsi="Arial" w:cs="Arial"/>
          <w:szCs w:val="22"/>
        </w:rPr>
      </w:pPr>
      <w:r w:rsidRPr="0030358C">
        <w:rPr>
          <w:rFonts w:ascii="Arial" w:hAnsi="Arial" w:cs="Arial"/>
          <w:szCs w:val="22"/>
        </w:rPr>
        <w:t xml:space="preserve">2.    Požadavky na plnění specifických emisních limitů pro zdroje uvedené v </w:t>
      </w:r>
      <w:hyperlink w:history="1">
        <w:r w:rsidR="00A77B3E" w:rsidRPr="0030358C">
          <w:rPr>
            <w:rFonts w:ascii="Arial" w:hAnsi="Arial" w:cs="Arial"/>
            <w:szCs w:val="22"/>
          </w:rPr>
          <w:t>části II</w:t>
        </w:r>
      </w:hyperlink>
      <w:r w:rsidRPr="0030358C">
        <w:rPr>
          <w:rFonts w:ascii="Arial" w:hAnsi="Arial" w:cs="Arial"/>
          <w:szCs w:val="22"/>
        </w:rPr>
        <w:t xml:space="preserve"> této přílohy</w:t>
      </w:r>
    </w:p>
    <w:p w14:paraId="77781CDB" w14:textId="77777777" w:rsidR="00A77B3E" w:rsidRPr="0030358C" w:rsidRDefault="00000000">
      <w:pPr>
        <w:pStyle w:val="63"/>
        <w:rPr>
          <w:rFonts w:ascii="Arial" w:hAnsi="Arial" w:cs="Arial"/>
          <w:sz w:val="22"/>
          <w:szCs w:val="22"/>
        </w:rPr>
      </w:pPr>
      <w:r w:rsidRPr="0030358C">
        <w:rPr>
          <w:rFonts w:ascii="Arial" w:hAnsi="Arial" w:cs="Arial"/>
          <w:sz w:val="22"/>
          <w:szCs w:val="22"/>
        </w:rPr>
        <w:t xml:space="preserve">a)    u stacionárního zdroje emitujícího těkavé organické látky podle </w:t>
      </w:r>
      <w:hyperlink w:history="1">
        <w:r w:rsidR="00A77B3E" w:rsidRPr="0030358C">
          <w:rPr>
            <w:rFonts w:ascii="Arial" w:hAnsi="Arial" w:cs="Arial"/>
            <w:sz w:val="22"/>
            <w:szCs w:val="22"/>
          </w:rPr>
          <w:t>§ 21 písm. a)</w:t>
        </w:r>
      </w:hyperlink>
      <w:r w:rsidRPr="0030358C">
        <w:rPr>
          <w:rFonts w:ascii="Arial" w:hAnsi="Arial" w:cs="Arial"/>
          <w:sz w:val="22"/>
          <w:szCs w:val="22"/>
        </w:rPr>
        <w:t xml:space="preserve"> nesmí být při celkovém hmotnostním toku těchto znečišťujících látek větším nebo rovném 10 g/h, překročen emisní limit pro těkavé organické látky 2 mg/m</w:t>
      </w:r>
      <w:r w:rsidRPr="0030358C">
        <w:rPr>
          <w:rFonts w:ascii="Arial" w:hAnsi="Arial" w:cs="Arial"/>
          <w:sz w:val="22"/>
          <w:szCs w:val="22"/>
          <w:vertAlign w:val="superscript"/>
        </w:rPr>
        <w:t>3</w:t>
      </w:r>
      <w:r w:rsidRPr="0030358C">
        <w:rPr>
          <w:rFonts w:ascii="Arial" w:hAnsi="Arial" w:cs="Arial"/>
          <w:sz w:val="22"/>
          <w:szCs w:val="22"/>
        </w:rPr>
        <w:t>, vyjádřený jako celková hmotnostní koncentrace,</w:t>
      </w:r>
    </w:p>
    <w:p w14:paraId="55F7EAF4" w14:textId="77777777" w:rsidR="00A77B3E" w:rsidRPr="0030358C" w:rsidRDefault="00000000">
      <w:pPr>
        <w:pStyle w:val="64"/>
        <w:rPr>
          <w:rFonts w:ascii="Arial" w:hAnsi="Arial" w:cs="Arial"/>
          <w:sz w:val="22"/>
          <w:szCs w:val="22"/>
        </w:rPr>
      </w:pPr>
      <w:r w:rsidRPr="0030358C">
        <w:rPr>
          <w:rFonts w:ascii="Arial" w:hAnsi="Arial" w:cs="Arial"/>
          <w:sz w:val="22"/>
          <w:szCs w:val="22"/>
        </w:rPr>
        <w:t xml:space="preserve">b)    u stacionárního zdroje emitujícího těkavé organické látky podle </w:t>
      </w:r>
      <w:hyperlink w:history="1">
        <w:r w:rsidR="00A77B3E" w:rsidRPr="0030358C">
          <w:rPr>
            <w:rFonts w:ascii="Arial" w:hAnsi="Arial" w:cs="Arial"/>
            <w:sz w:val="22"/>
            <w:szCs w:val="22"/>
          </w:rPr>
          <w:t>§ 21 písm. b)</w:t>
        </w:r>
      </w:hyperlink>
      <w:r w:rsidRPr="0030358C">
        <w:rPr>
          <w:rFonts w:ascii="Arial" w:hAnsi="Arial" w:cs="Arial"/>
          <w:sz w:val="22"/>
          <w:szCs w:val="22"/>
        </w:rPr>
        <w:t xml:space="preserve"> nesmí být při celkovém hmotnostním toku těchto znečišťujících látek větším nebo rovném 100 g/h, překročen emisní limit pro těkavé organické látky 20 mg/m</w:t>
      </w:r>
      <w:r w:rsidRPr="0030358C">
        <w:rPr>
          <w:rFonts w:ascii="Arial" w:hAnsi="Arial" w:cs="Arial"/>
          <w:sz w:val="22"/>
          <w:szCs w:val="22"/>
          <w:vertAlign w:val="superscript"/>
        </w:rPr>
        <w:t>3</w:t>
      </w:r>
      <w:r w:rsidRPr="0030358C">
        <w:rPr>
          <w:rFonts w:ascii="Arial" w:hAnsi="Arial" w:cs="Arial"/>
          <w:sz w:val="22"/>
          <w:szCs w:val="22"/>
        </w:rPr>
        <w:t xml:space="preserve">, vyjádřený jako celková hmotnostní koncentrace; tento emisní limit se nevztahuje na chemické čištění uvedené pod </w:t>
      </w:r>
      <w:hyperlink w:history="1">
        <w:r w:rsidR="00A77B3E" w:rsidRPr="0030358C">
          <w:rPr>
            <w:rFonts w:ascii="Arial" w:hAnsi="Arial" w:cs="Arial"/>
            <w:sz w:val="22"/>
            <w:szCs w:val="22"/>
          </w:rPr>
          <w:t>bodem 3. části II</w:t>
        </w:r>
      </w:hyperlink>
      <w:r w:rsidRPr="0030358C">
        <w:rPr>
          <w:rFonts w:ascii="Arial" w:hAnsi="Arial" w:cs="Arial"/>
          <w:sz w:val="22"/>
          <w:szCs w:val="22"/>
        </w:rPr>
        <w:t xml:space="preserve"> této přílohy,</w:t>
      </w:r>
    </w:p>
    <w:p w14:paraId="22FD73F9" w14:textId="77777777" w:rsidR="00A77B3E" w:rsidRPr="0030358C" w:rsidRDefault="00000000">
      <w:pPr>
        <w:pStyle w:val="64"/>
        <w:rPr>
          <w:rFonts w:ascii="Arial" w:hAnsi="Arial" w:cs="Arial"/>
          <w:sz w:val="22"/>
          <w:szCs w:val="22"/>
        </w:rPr>
      </w:pPr>
      <w:r w:rsidRPr="0030358C">
        <w:rPr>
          <w:rFonts w:ascii="Arial" w:hAnsi="Arial" w:cs="Arial"/>
          <w:sz w:val="22"/>
          <w:szCs w:val="22"/>
        </w:rPr>
        <w:t>c)    emisní limit stanovený v této příloze se neuplatní, pokud u stacionárního zdroje i přes použití nejlepší dostupné techniky není technicky a ekonomicky možné dosáhnout stanoveného emisního limitu VOC, vyjádřeného jako podíl hmotnosti fugitivních emisí a hmotnosti vstupních organických rozpouštědel, a zároveň tím nemohou vzniknout významná rizika pro lidské zdraví nebo životní prostředí,</w:t>
      </w:r>
    </w:p>
    <w:p w14:paraId="7056EF6C" w14:textId="77777777" w:rsidR="00A77B3E" w:rsidRPr="0030358C" w:rsidRDefault="00000000">
      <w:pPr>
        <w:pStyle w:val="64"/>
        <w:rPr>
          <w:rFonts w:ascii="Arial" w:hAnsi="Arial" w:cs="Arial"/>
          <w:sz w:val="22"/>
          <w:szCs w:val="22"/>
        </w:rPr>
      </w:pPr>
      <w:r w:rsidRPr="0030358C">
        <w:rPr>
          <w:rFonts w:ascii="Arial" w:hAnsi="Arial" w:cs="Arial"/>
          <w:sz w:val="22"/>
          <w:szCs w:val="22"/>
        </w:rPr>
        <w:t>d)    emisní limity se uplatňují za normálních podmínek ve vlhkém plynu,</w:t>
      </w:r>
    </w:p>
    <w:p w14:paraId="522BE583" w14:textId="77777777" w:rsidR="00A77B3E" w:rsidRPr="0030358C" w:rsidRDefault="00000000">
      <w:pPr>
        <w:pStyle w:val="65"/>
        <w:rPr>
          <w:rFonts w:ascii="Arial" w:hAnsi="Arial" w:cs="Arial"/>
          <w:sz w:val="22"/>
          <w:szCs w:val="22"/>
        </w:rPr>
      </w:pPr>
      <w:r w:rsidRPr="0030358C">
        <w:rPr>
          <w:rFonts w:ascii="Arial" w:hAnsi="Arial" w:cs="Arial"/>
          <w:sz w:val="22"/>
          <w:szCs w:val="22"/>
        </w:rPr>
        <w:t xml:space="preserve">e)    není přípustné přisávat vzduch z vnějšího ovzduší k odpadnímu plynu před měřicím místem (ředit odpadní plyn) za účelem plnění specifických emisních limitů; je-li odpadní plyn ředěn z důvodu správné funkce zařízení ke snižování emisí nebo chlazení, vyjadřuje se výsledná koncentrace při měření emisí výhradně v průtoku bez přisávaného vzduchu; tento požadavek platí pro stacionární zdroje uvedené v </w:t>
      </w:r>
      <w:hyperlink w:history="1">
        <w:r w:rsidR="00A77B3E" w:rsidRPr="0030358C">
          <w:rPr>
            <w:rFonts w:ascii="Arial" w:hAnsi="Arial" w:cs="Arial"/>
            <w:sz w:val="22"/>
            <w:szCs w:val="22"/>
          </w:rPr>
          <w:t>části II</w:t>
        </w:r>
      </w:hyperlink>
      <w:r w:rsidRPr="0030358C">
        <w:rPr>
          <w:rFonts w:ascii="Arial" w:hAnsi="Arial" w:cs="Arial"/>
          <w:sz w:val="22"/>
          <w:szCs w:val="22"/>
        </w:rPr>
        <w:t xml:space="preserve"> v bodech:</w:t>
      </w:r>
    </w:p>
    <w:p w14:paraId="7910C65A" w14:textId="77777777" w:rsidR="00A77B3E" w:rsidRPr="0030358C" w:rsidRDefault="00000000">
      <w:pPr>
        <w:pStyle w:val="82"/>
        <w:rPr>
          <w:rFonts w:ascii="Arial" w:hAnsi="Arial" w:cs="Arial"/>
          <w:szCs w:val="22"/>
        </w:rPr>
      </w:pPr>
      <w:r w:rsidRPr="0030358C">
        <w:rPr>
          <w:rFonts w:ascii="Arial" w:hAnsi="Arial" w:cs="Arial"/>
          <w:szCs w:val="22"/>
        </w:rPr>
        <w:t>i.    4.1. s projektovanou spotřebou organických rozpouštědel 5 t za rok nebo větší,</w:t>
      </w:r>
    </w:p>
    <w:p w14:paraId="13965CE4" w14:textId="77777777" w:rsidR="00A77B3E" w:rsidRPr="0030358C" w:rsidRDefault="00000000">
      <w:pPr>
        <w:pStyle w:val="83"/>
        <w:rPr>
          <w:rFonts w:ascii="Arial" w:hAnsi="Arial" w:cs="Arial"/>
          <w:szCs w:val="22"/>
        </w:rPr>
      </w:pPr>
      <w:r w:rsidRPr="0030358C">
        <w:rPr>
          <w:rFonts w:ascii="Arial" w:hAnsi="Arial" w:cs="Arial"/>
          <w:szCs w:val="22"/>
        </w:rPr>
        <w:t>ii.    4.5. s projektovanou spotřebou organických rozpouštědel 10 t za rok nebo větší,</w:t>
      </w:r>
    </w:p>
    <w:p w14:paraId="0A76436A" w14:textId="77777777" w:rsidR="00A77B3E" w:rsidRPr="0030358C" w:rsidRDefault="00000000">
      <w:pPr>
        <w:pStyle w:val="83"/>
        <w:rPr>
          <w:rFonts w:ascii="Arial" w:hAnsi="Arial" w:cs="Arial"/>
          <w:szCs w:val="22"/>
        </w:rPr>
      </w:pPr>
      <w:r w:rsidRPr="0030358C">
        <w:rPr>
          <w:rFonts w:ascii="Arial" w:hAnsi="Arial" w:cs="Arial"/>
          <w:szCs w:val="22"/>
        </w:rPr>
        <w:t>iii.    1.1., 1.3., 1.4., 4.2. s projektovanou spotřebou organických rozpouštědel 15 t za rok nebo větší,</w:t>
      </w:r>
    </w:p>
    <w:p w14:paraId="7604EFE7" w14:textId="77777777" w:rsidR="00A77B3E" w:rsidRPr="0030358C" w:rsidRDefault="00000000">
      <w:pPr>
        <w:pStyle w:val="83"/>
        <w:rPr>
          <w:rFonts w:ascii="Arial" w:hAnsi="Arial" w:cs="Arial"/>
          <w:szCs w:val="22"/>
        </w:rPr>
      </w:pPr>
      <w:r w:rsidRPr="0030358C">
        <w:rPr>
          <w:rFonts w:ascii="Arial" w:hAnsi="Arial" w:cs="Arial"/>
          <w:szCs w:val="22"/>
        </w:rPr>
        <w:t>iv.    1.2., 4.6., 7. s projektovanou spotřebou organických rozpouštědel 25 t za rok nebo větší,</w:t>
      </w:r>
    </w:p>
    <w:p w14:paraId="36746C2D" w14:textId="77777777" w:rsidR="00A77B3E" w:rsidRPr="0030358C" w:rsidRDefault="00000000">
      <w:pPr>
        <w:pStyle w:val="84"/>
        <w:rPr>
          <w:rFonts w:ascii="Arial" w:hAnsi="Arial" w:cs="Arial"/>
          <w:szCs w:val="22"/>
        </w:rPr>
      </w:pPr>
      <w:r w:rsidRPr="0030358C">
        <w:rPr>
          <w:rFonts w:ascii="Arial" w:hAnsi="Arial" w:cs="Arial"/>
          <w:szCs w:val="22"/>
        </w:rPr>
        <w:t>v.    v ostatních bodech s projektovanou spotřebou organických rozpouštědel stanovenou pro povinnost plnit specifický emisní limit, s výjimkou bodů 4.4. a 9.</w:t>
      </w:r>
    </w:p>
    <w:p w14:paraId="2B66CC8C" w14:textId="77777777" w:rsidR="00A77B3E" w:rsidRPr="0030358C" w:rsidRDefault="00000000">
      <w:pPr>
        <w:pStyle w:val="46"/>
        <w:rPr>
          <w:rFonts w:ascii="Arial" w:hAnsi="Arial" w:cs="Arial"/>
          <w:strike/>
          <w:szCs w:val="22"/>
        </w:rPr>
      </w:pPr>
      <w:r w:rsidRPr="0030358C">
        <w:rPr>
          <w:rFonts w:ascii="Arial" w:hAnsi="Arial" w:cs="Arial"/>
          <w:strike/>
          <w:szCs w:val="22"/>
        </w:rPr>
        <w:t>3.    Technické podmínky provozu stacionárních zdrojů</w:t>
      </w:r>
    </w:p>
    <w:p w14:paraId="21C1D44E"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 xml:space="preserve">Provozovatel stacionárního zdroje uvedeného v této příloze používající těkavé organické látky podle </w:t>
      </w:r>
      <w:hyperlink w:history="1">
        <w:r w:rsidR="00A77B3E" w:rsidRPr="0030358C">
          <w:rPr>
            <w:rFonts w:ascii="Arial" w:hAnsi="Arial" w:cs="Arial"/>
            <w:strike/>
            <w:sz w:val="22"/>
            <w:szCs w:val="22"/>
          </w:rPr>
          <w:t>§ 21 písm. a)</w:t>
        </w:r>
      </w:hyperlink>
      <w:r w:rsidRPr="0030358C">
        <w:rPr>
          <w:rFonts w:ascii="Arial" w:hAnsi="Arial" w:cs="Arial"/>
          <w:strike/>
          <w:sz w:val="22"/>
          <w:szCs w:val="22"/>
        </w:rPr>
        <w:t xml:space="preserve"> nebo směsi s obsahem těchto látek nahrazuje tyto látky nebo směsi s obsahem těchto látek co nejdříve a v nejvyšší možné míře méně škodlivými látkami nebo směsmi.</w:t>
      </w:r>
    </w:p>
    <w:p w14:paraId="23FA65B7" w14:textId="77777777" w:rsidR="00C436E2" w:rsidRPr="0030358C" w:rsidRDefault="00C436E2">
      <w:pPr>
        <w:pStyle w:val="47"/>
        <w:rPr>
          <w:rFonts w:ascii="Arial" w:hAnsi="Arial" w:cs="Arial"/>
          <w:sz w:val="22"/>
          <w:szCs w:val="22"/>
        </w:rPr>
      </w:pPr>
    </w:p>
    <w:p w14:paraId="581CEBDB" w14:textId="77777777" w:rsidR="00C436E2" w:rsidRPr="0030358C" w:rsidRDefault="00000000" w:rsidP="00C436E2">
      <w:pPr>
        <w:pStyle w:val="46"/>
        <w:rPr>
          <w:rFonts w:ascii="Arial" w:hAnsi="Arial" w:cs="Arial"/>
          <w:b/>
          <w:bCs/>
          <w:szCs w:val="22"/>
        </w:rPr>
      </w:pPr>
      <w:bookmarkStart w:id="53" w:name="_Hlk184893202"/>
      <w:r w:rsidRPr="0030358C">
        <w:rPr>
          <w:rFonts w:ascii="Arial" w:hAnsi="Arial" w:cs="Arial"/>
          <w:b/>
          <w:bCs/>
          <w:szCs w:val="22"/>
        </w:rPr>
        <w:t>3.    Technické podmínky provozu stacionárních zdrojů</w:t>
      </w:r>
    </w:p>
    <w:p w14:paraId="68910A3F" w14:textId="77777777" w:rsidR="00C436E2" w:rsidRPr="0030358C" w:rsidRDefault="00000000" w:rsidP="00C436E2">
      <w:pPr>
        <w:pStyle w:val="47"/>
        <w:numPr>
          <w:ilvl w:val="0"/>
          <w:numId w:val="7"/>
        </w:numPr>
        <w:ind w:left="1080"/>
        <w:rPr>
          <w:rFonts w:ascii="Arial" w:hAnsi="Arial" w:cs="Arial"/>
          <w:b/>
          <w:bCs/>
          <w:sz w:val="22"/>
          <w:szCs w:val="22"/>
        </w:rPr>
      </w:pPr>
      <w:r w:rsidRPr="0030358C">
        <w:rPr>
          <w:rFonts w:ascii="Arial" w:hAnsi="Arial" w:cs="Arial"/>
          <w:b/>
          <w:bCs/>
          <w:sz w:val="22"/>
          <w:szCs w:val="22"/>
        </w:rPr>
        <w:t xml:space="preserve">Provozovatel stacionárního zdroje uvedeného v této příloze používající těkavé organické látky podle </w:t>
      </w:r>
      <w:hyperlink w:history="1">
        <w:r w:rsidR="00C436E2" w:rsidRPr="0030358C">
          <w:rPr>
            <w:rFonts w:ascii="Arial" w:hAnsi="Arial" w:cs="Arial"/>
            <w:b/>
            <w:bCs/>
            <w:sz w:val="22"/>
            <w:szCs w:val="22"/>
          </w:rPr>
          <w:t>§ 21 písm. a)</w:t>
        </w:r>
      </w:hyperlink>
      <w:r w:rsidRPr="0030358C">
        <w:rPr>
          <w:rFonts w:ascii="Arial" w:hAnsi="Arial" w:cs="Arial"/>
          <w:b/>
          <w:bCs/>
          <w:sz w:val="22"/>
          <w:szCs w:val="22"/>
        </w:rPr>
        <w:t xml:space="preserve"> nebo směsi s obsahem těchto látek nahrazuje tyto látky nebo směsi s obsahem těchto látek co nejdříve a v nejvyšší možné míře méně škodlivými látkami nebo směsmi.</w:t>
      </w:r>
    </w:p>
    <w:p w14:paraId="1F42FCFD" w14:textId="77777777" w:rsidR="00C436E2" w:rsidRPr="0030358C" w:rsidRDefault="00C436E2" w:rsidP="00C436E2">
      <w:pPr>
        <w:pStyle w:val="47"/>
        <w:ind w:left="360"/>
        <w:rPr>
          <w:rFonts w:ascii="Arial" w:hAnsi="Arial" w:cs="Arial"/>
          <w:b/>
          <w:bCs/>
          <w:sz w:val="22"/>
          <w:szCs w:val="22"/>
        </w:rPr>
      </w:pPr>
    </w:p>
    <w:p w14:paraId="67F0312D" w14:textId="77777777" w:rsidR="00C436E2" w:rsidRPr="0030358C" w:rsidRDefault="00000000" w:rsidP="00C436E2">
      <w:pPr>
        <w:pStyle w:val="47"/>
        <w:numPr>
          <w:ilvl w:val="0"/>
          <w:numId w:val="7"/>
        </w:numPr>
        <w:ind w:left="1080"/>
        <w:rPr>
          <w:rFonts w:ascii="Arial" w:hAnsi="Arial" w:cs="Arial"/>
          <w:b/>
          <w:bCs/>
          <w:sz w:val="22"/>
          <w:szCs w:val="22"/>
        </w:rPr>
      </w:pPr>
      <w:r w:rsidRPr="0030358C">
        <w:rPr>
          <w:rFonts w:ascii="Arial" w:hAnsi="Arial" w:cs="Arial"/>
          <w:b/>
          <w:bCs/>
          <w:sz w:val="22"/>
          <w:szCs w:val="22"/>
        </w:rPr>
        <w:lastRenderedPageBreak/>
        <w:t>Emise těkavých organických látek podle § 21 písm. a) nebo b) musí být zachycovány a odváděny definovaným výduchem nebo komínem, nebo svedeny do zařízení pro omezování emisí</w:t>
      </w:r>
      <w:r w:rsidR="005F1099" w:rsidRPr="0030358C">
        <w:rPr>
          <w:rFonts w:ascii="Arial" w:hAnsi="Arial" w:cs="Arial"/>
          <w:b/>
          <w:bCs/>
          <w:sz w:val="22"/>
          <w:szCs w:val="22"/>
        </w:rPr>
        <w:t>,</w:t>
      </w:r>
      <w:r w:rsidRPr="0030358C">
        <w:rPr>
          <w:rFonts w:ascii="Arial" w:hAnsi="Arial" w:cs="Arial"/>
          <w:b/>
          <w:bCs/>
          <w:sz w:val="22"/>
          <w:szCs w:val="22"/>
        </w:rPr>
        <w:t xml:space="preserve"> a to do té míry, do jaké je to technicky a ekonomicky proveditelné, přičemž </w:t>
      </w:r>
      <w:r w:rsidR="005F1099" w:rsidRPr="0030358C">
        <w:rPr>
          <w:rFonts w:ascii="Arial" w:hAnsi="Arial" w:cs="Arial"/>
          <w:b/>
          <w:bCs/>
          <w:sz w:val="22"/>
          <w:szCs w:val="22"/>
        </w:rPr>
        <w:t xml:space="preserve">nesmí být </w:t>
      </w:r>
      <w:r w:rsidRPr="0030358C">
        <w:rPr>
          <w:rFonts w:ascii="Arial" w:hAnsi="Arial" w:cs="Arial"/>
          <w:b/>
          <w:bCs/>
          <w:sz w:val="22"/>
          <w:szCs w:val="22"/>
        </w:rPr>
        <w:t>překr</w:t>
      </w:r>
      <w:r w:rsidR="005F1099" w:rsidRPr="0030358C">
        <w:rPr>
          <w:rFonts w:ascii="Arial" w:hAnsi="Arial" w:cs="Arial"/>
          <w:b/>
          <w:bCs/>
          <w:sz w:val="22"/>
          <w:szCs w:val="22"/>
        </w:rPr>
        <w:t>očeny</w:t>
      </w:r>
      <w:r w:rsidRPr="0030358C">
        <w:rPr>
          <w:rFonts w:ascii="Arial" w:hAnsi="Arial" w:cs="Arial"/>
          <w:b/>
          <w:bCs/>
          <w:sz w:val="22"/>
          <w:szCs w:val="22"/>
        </w:rPr>
        <w:t xml:space="preserve"> specifické emisní limity stanovené v části II této přílohy.</w:t>
      </w:r>
    </w:p>
    <w:bookmarkEnd w:id="53"/>
    <w:p w14:paraId="049B7F31" w14:textId="77777777" w:rsidR="00C436E2" w:rsidRPr="0030358C" w:rsidRDefault="00C436E2">
      <w:pPr>
        <w:pStyle w:val="47"/>
        <w:rPr>
          <w:rFonts w:ascii="Arial" w:hAnsi="Arial" w:cs="Arial"/>
          <w:sz w:val="22"/>
          <w:szCs w:val="22"/>
        </w:rPr>
      </w:pPr>
    </w:p>
    <w:p w14:paraId="5C6B273B" w14:textId="77777777" w:rsidR="00A77B3E" w:rsidRPr="0030358C" w:rsidRDefault="00000000">
      <w:pPr>
        <w:pStyle w:val="44"/>
        <w:rPr>
          <w:rFonts w:ascii="Arial" w:hAnsi="Arial" w:cs="Arial"/>
          <w:sz w:val="22"/>
          <w:szCs w:val="22"/>
        </w:rPr>
      </w:pPr>
      <w:r w:rsidRPr="0030358C">
        <w:rPr>
          <w:rFonts w:ascii="Arial" w:hAnsi="Arial" w:cs="Arial"/>
          <w:sz w:val="22"/>
          <w:szCs w:val="22"/>
        </w:rPr>
        <w:t>Část II</w:t>
      </w:r>
    </w:p>
    <w:p w14:paraId="15CCF7A0" w14:textId="77777777" w:rsidR="00A77B3E" w:rsidRPr="0030358C" w:rsidRDefault="00000000">
      <w:pPr>
        <w:pStyle w:val="8"/>
        <w:rPr>
          <w:rFonts w:ascii="Arial" w:hAnsi="Arial" w:cs="Arial"/>
          <w:sz w:val="22"/>
          <w:szCs w:val="22"/>
        </w:rPr>
      </w:pPr>
      <w:r w:rsidRPr="0030358C">
        <w:rPr>
          <w:rFonts w:ascii="Arial" w:hAnsi="Arial" w:cs="Arial"/>
          <w:sz w:val="22"/>
          <w:szCs w:val="22"/>
        </w:rPr>
        <w:t>Specifické emisní limity a technické podmínky provozu</w:t>
      </w:r>
    </w:p>
    <w:p w14:paraId="73446BE5" w14:textId="77777777" w:rsidR="00A77B3E" w:rsidRPr="0030358C" w:rsidRDefault="00000000">
      <w:pPr>
        <w:pStyle w:val="46"/>
        <w:rPr>
          <w:rFonts w:ascii="Arial" w:hAnsi="Arial" w:cs="Arial"/>
          <w:szCs w:val="22"/>
        </w:rPr>
      </w:pPr>
      <w:r w:rsidRPr="0030358C">
        <w:rPr>
          <w:rFonts w:ascii="Arial" w:hAnsi="Arial" w:cs="Arial"/>
          <w:szCs w:val="22"/>
        </w:rPr>
        <w:t xml:space="preserve">1.    Polygrafie (kódy 9.1. až 9.4.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22EC27EE" w14:textId="77777777" w:rsidR="00A77B3E" w:rsidRPr="0030358C" w:rsidRDefault="00000000">
      <w:pPr>
        <w:pStyle w:val="54"/>
        <w:rPr>
          <w:rFonts w:ascii="Arial" w:hAnsi="Arial" w:cs="Arial"/>
          <w:sz w:val="22"/>
          <w:szCs w:val="22"/>
        </w:rPr>
      </w:pPr>
      <w:r w:rsidRPr="0030358C">
        <w:rPr>
          <w:rFonts w:ascii="Arial" w:hAnsi="Arial" w:cs="Arial"/>
          <w:sz w:val="22"/>
          <w:szCs w:val="22"/>
        </w:rPr>
        <w:t>Polygrafické činnosti v podbodech 1.1. - 1.4. zahrnují procesy a operace reprodukování textu či obrazu, ve kterých se využívá tisková forma obrazu či textu a kde jsou tiskařské barvy přenášeny na jakýkoliv typ povrchů. Tyto činnosti zahrnují rovněž související postupy, výrobu tiskové formy a její přenos, laminování, natírání a lakování.</w:t>
      </w:r>
    </w:p>
    <w:p w14:paraId="58C49320" w14:textId="77777777" w:rsidR="00A77B3E" w:rsidRPr="0030358C" w:rsidRDefault="00000000">
      <w:pPr>
        <w:pStyle w:val="56"/>
        <w:rPr>
          <w:rFonts w:ascii="Arial" w:hAnsi="Arial" w:cs="Arial"/>
          <w:sz w:val="22"/>
          <w:szCs w:val="22"/>
        </w:rPr>
      </w:pPr>
      <w:r w:rsidRPr="0030358C">
        <w:rPr>
          <w:rFonts w:ascii="Arial" w:hAnsi="Arial" w:cs="Arial"/>
          <w:sz w:val="22"/>
          <w:szCs w:val="22"/>
        </w:rPr>
        <w:t>Tiskařskou barvou se rozumí směs, včetně všech organických rozpouštědel nebo směsí obsahujících organická rozpouštědla nezbytných pro její správné použití, která se používá k tisku textu nebo obrazu na určitý povrch.</w:t>
      </w:r>
    </w:p>
    <w:p w14:paraId="084D1F46" w14:textId="77777777" w:rsidR="00A77B3E" w:rsidRPr="0030358C" w:rsidRDefault="00000000">
      <w:pPr>
        <w:pStyle w:val="57"/>
        <w:rPr>
          <w:rFonts w:ascii="Arial" w:hAnsi="Arial" w:cs="Arial"/>
          <w:szCs w:val="22"/>
        </w:rPr>
      </w:pPr>
      <w:r w:rsidRPr="0030358C">
        <w:rPr>
          <w:rFonts w:ascii="Arial" w:hAnsi="Arial" w:cs="Arial"/>
          <w:szCs w:val="22"/>
        </w:rPr>
        <w:t>1.1.    Ofset s celkovou projektovanou spotřebou organických rozpouštědel 0,6 t za rok nebo větší</w:t>
      </w:r>
    </w:p>
    <w:p w14:paraId="11B58272" w14:textId="77777777" w:rsidR="00A77B3E" w:rsidRPr="0030358C" w:rsidRDefault="00A77B3E">
      <w:pPr>
        <w:pStyle w:val="59"/>
        <w:rPr>
          <w:rFonts w:ascii="Arial" w:hAnsi="Arial" w:cs="Arial"/>
          <w:sz w:val="22"/>
          <w:szCs w:val="22"/>
        </w:rPr>
        <w:sectPr w:rsidR="00A77B3E" w:rsidRPr="0030358C" w:rsidSect="00D804A3">
          <w:pgSz w:w="11906" w:h="16838" w:code="9"/>
          <w:pgMar w:top="1417" w:right="1417" w:bottom="1417" w:left="1417" w:header="708" w:footer="708" w:gutter="0"/>
          <w:cols w:space="708"/>
          <w:docGrid w:linePitch="360"/>
        </w:sectPr>
      </w:pPr>
    </w:p>
    <w:tbl>
      <w:tblPr>
        <w:tblStyle w:val="data-tisk-na-sirku"/>
        <w:tblW w:w="8972" w:type="dxa"/>
        <w:tblInd w:w="411"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693"/>
        <w:gridCol w:w="1577"/>
        <w:gridCol w:w="1347"/>
        <w:gridCol w:w="1355"/>
      </w:tblGrid>
      <w:tr w:rsidR="00E40657" w14:paraId="5952868B" w14:textId="77777777" w:rsidTr="00DF3DEB">
        <w:trPr>
          <w:trHeight w:val="426"/>
        </w:trPr>
        <w:tc>
          <w:tcPr>
            <w:tcW w:w="4693" w:type="dxa"/>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B5A03DC"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75314D2"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4D68D104" w14:textId="77777777" w:rsidTr="009F659A">
        <w:trPr>
          <w:trHeight w:val="145"/>
        </w:trPr>
        <w:tc>
          <w:tcPr>
            <w:tcW w:w="4693" w:type="dxa"/>
            <w:vMerge/>
            <w:tcBorders>
              <w:left w:val="single" w:sz="12" w:space="0" w:color="000000"/>
              <w:bottom w:val="single" w:sz="12" w:space="0" w:color="000000"/>
              <w:right w:val="single" w:sz="12" w:space="0" w:color="000000"/>
            </w:tcBorders>
            <w:vAlign w:val="center"/>
            <w:hideMark/>
          </w:tcPr>
          <w:p w14:paraId="4E005C8F"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EEBC086"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545C812"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F</w:t>
            </w:r>
            <w:r w:rsidRPr="0030358C">
              <w:rPr>
                <w:rFonts w:ascii="Arial" w:hAnsi="Arial" w:cs="Arial"/>
                <w:b/>
                <w:bCs/>
                <w:sz w:val="22"/>
                <w:szCs w:val="22"/>
                <w:vertAlign w:val="superscript"/>
              </w:rPr>
              <w:t>1)</w:t>
            </w:r>
            <w:r w:rsidRPr="0030358C">
              <w:rPr>
                <w:rFonts w:ascii="Arial" w:hAnsi="Arial" w:cs="Arial"/>
                <w:b/>
                <w:bCs/>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11929E3"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2)</w:t>
            </w:r>
            <w:r w:rsidRPr="0030358C">
              <w:rPr>
                <w:rFonts w:ascii="Arial" w:hAnsi="Arial" w:cs="Arial"/>
                <w:b/>
                <w:bCs/>
                <w:sz w:val="22"/>
                <w:szCs w:val="22"/>
              </w:rPr>
              <w:t xml:space="preserve"> [%]</w:t>
            </w:r>
          </w:p>
        </w:tc>
      </w:tr>
      <w:tr w:rsidR="00E40657" w14:paraId="44E3E018" w14:textId="77777777" w:rsidTr="009F659A">
        <w:trPr>
          <w:trHeight w:val="334"/>
        </w:trPr>
        <w:tc>
          <w:tcPr>
            <w:tcW w:w="4693"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927615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0,6 – 15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6CE2D1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A5513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72A17E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3A4979D8" w14:textId="77777777" w:rsidTr="009F659A">
        <w:trPr>
          <w:trHeight w:val="334"/>
        </w:trPr>
        <w:tc>
          <w:tcPr>
            <w:tcW w:w="4693"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518D72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15 – 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01E1B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43DAD8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D380CA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3D1C323D" w14:textId="77777777" w:rsidTr="009F659A">
        <w:trPr>
          <w:trHeight w:val="349"/>
        </w:trPr>
        <w:tc>
          <w:tcPr>
            <w:tcW w:w="4693" w:type="dxa"/>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FD428E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931690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7960B59"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23E5A5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r w:rsidRPr="0030358C">
              <w:rPr>
                <w:rFonts w:ascii="Arial" w:hAnsi="Arial" w:cs="Arial"/>
                <w:strike/>
                <w:sz w:val="22"/>
                <w:szCs w:val="22"/>
                <w:vertAlign w:val="superscript"/>
              </w:rPr>
              <w:t>3)</w:t>
            </w:r>
          </w:p>
        </w:tc>
      </w:tr>
    </w:tbl>
    <w:p w14:paraId="7DC0334F" w14:textId="77777777" w:rsidR="0058431B" w:rsidRPr="0030358C" w:rsidRDefault="0058431B">
      <w:pPr>
        <w:pStyle w:val="59"/>
        <w:rPr>
          <w:rFonts w:ascii="Arial" w:hAnsi="Arial" w:cs="Arial"/>
          <w:sz w:val="22"/>
          <w:szCs w:val="22"/>
        </w:rPr>
      </w:pPr>
    </w:p>
    <w:p w14:paraId="517D6625" w14:textId="77777777" w:rsidR="00A77B3E" w:rsidRPr="0030358C" w:rsidRDefault="00000000" w:rsidP="000B7FBC">
      <w:pPr>
        <w:pStyle w:val="60"/>
        <w:ind w:left="1560" w:hanging="426"/>
        <w:rPr>
          <w:rFonts w:ascii="Arial" w:hAnsi="Arial" w:cs="Arial"/>
          <w:sz w:val="22"/>
          <w:szCs w:val="22"/>
        </w:rPr>
      </w:pPr>
      <w:r w:rsidRPr="0030358C">
        <w:rPr>
          <w:rFonts w:ascii="Arial" w:hAnsi="Arial" w:cs="Arial"/>
          <w:sz w:val="22"/>
          <w:szCs w:val="22"/>
        </w:rPr>
        <w:t>Vysvětlivky:</w:t>
      </w:r>
    </w:p>
    <w:p w14:paraId="52C46A70" w14:textId="77777777" w:rsidR="00A77B3E" w:rsidRPr="0030358C" w:rsidRDefault="00000000" w:rsidP="000B7FBC">
      <w:pPr>
        <w:pStyle w:val="61"/>
        <w:ind w:left="1560" w:hanging="426"/>
        <w:rPr>
          <w:rFonts w:ascii="Arial" w:hAnsi="Arial" w:cs="Arial"/>
          <w:sz w:val="22"/>
          <w:szCs w:val="22"/>
        </w:rPr>
      </w:pPr>
      <w:r w:rsidRPr="0030358C">
        <w:rPr>
          <w:rFonts w:ascii="Arial" w:hAnsi="Arial" w:cs="Arial"/>
          <w:sz w:val="22"/>
          <w:szCs w:val="22"/>
        </w:rPr>
        <w:t>1)</w:t>
      </w:r>
      <w:r w:rsidR="000B7FBC" w:rsidRPr="0030358C">
        <w:rPr>
          <w:rFonts w:ascii="Arial" w:hAnsi="Arial" w:cs="Arial"/>
          <w:sz w:val="22"/>
          <w:szCs w:val="22"/>
        </w:rPr>
        <w:t xml:space="preserve">     </w:t>
      </w:r>
      <w:r w:rsidRPr="0030358C">
        <w:rPr>
          <w:rFonts w:ascii="Arial" w:hAnsi="Arial" w:cs="Arial"/>
          <w:sz w:val="22"/>
          <w:szCs w:val="22"/>
        </w:rPr>
        <w:t>Zbytky organických rozpouštědel v konečných výrobcích se nepovažují za součást fugitivních emisí.</w:t>
      </w:r>
    </w:p>
    <w:p w14:paraId="54343216" w14:textId="77777777" w:rsidR="00A77B3E" w:rsidRPr="0030358C" w:rsidRDefault="00000000" w:rsidP="000B7FBC">
      <w:pPr>
        <w:pStyle w:val="61"/>
        <w:ind w:left="1560" w:hanging="426"/>
        <w:rPr>
          <w:rFonts w:ascii="Arial" w:hAnsi="Arial" w:cs="Arial"/>
          <w:sz w:val="22"/>
          <w:szCs w:val="22"/>
        </w:rPr>
      </w:pPr>
      <w:r w:rsidRPr="0030358C">
        <w:rPr>
          <w:rFonts w:ascii="Arial" w:hAnsi="Arial" w:cs="Arial"/>
          <w:sz w:val="22"/>
          <w:szCs w:val="22"/>
        </w:rPr>
        <w:t>2)    Podíl hmotnosti emisí těkavých organických látek a hmotnosti vstupních organických rozpouštědel. Emisní limit VOC</w:t>
      </w:r>
      <w:r w:rsidRPr="0030358C">
        <w:rPr>
          <w:rFonts w:ascii="Arial" w:hAnsi="Arial" w:cs="Arial"/>
          <w:sz w:val="22"/>
          <w:szCs w:val="22"/>
          <w:vertAlign w:val="subscript"/>
        </w:rPr>
        <w:t>E</w:t>
      </w:r>
      <w:r w:rsidRPr="0030358C">
        <w:rPr>
          <w:rFonts w:ascii="Arial" w:hAnsi="Arial" w:cs="Arial"/>
          <w:sz w:val="22"/>
          <w:szCs w:val="22"/>
        </w:rPr>
        <w:t xml:space="preserve"> se uplatňuje, pokud zdroj zjišťuje úroveň emisí výpočtem namísto měřením.</w:t>
      </w:r>
    </w:p>
    <w:p w14:paraId="7172694E" w14:textId="77777777" w:rsidR="00A77B3E" w:rsidRPr="0030358C" w:rsidRDefault="00000000" w:rsidP="000B7FBC">
      <w:pPr>
        <w:pStyle w:val="62"/>
        <w:ind w:left="1560" w:hanging="426"/>
        <w:rPr>
          <w:rFonts w:ascii="Arial" w:hAnsi="Arial" w:cs="Arial"/>
          <w:strike/>
          <w:sz w:val="22"/>
          <w:szCs w:val="22"/>
        </w:rPr>
      </w:pPr>
      <w:r w:rsidRPr="0030358C">
        <w:rPr>
          <w:rFonts w:ascii="Arial" w:hAnsi="Arial" w:cs="Arial"/>
          <w:strike/>
          <w:sz w:val="22"/>
          <w:szCs w:val="22"/>
        </w:rPr>
        <w:t>3)    Platí od 1. ledna 2019.</w:t>
      </w:r>
    </w:p>
    <w:p w14:paraId="4D3EC414" w14:textId="77777777" w:rsidR="00A77B3E" w:rsidRPr="0030358C" w:rsidRDefault="00000000">
      <w:pPr>
        <w:pStyle w:val="57"/>
        <w:rPr>
          <w:rFonts w:ascii="Arial" w:hAnsi="Arial" w:cs="Arial"/>
          <w:szCs w:val="22"/>
        </w:rPr>
      </w:pPr>
      <w:r w:rsidRPr="0030358C">
        <w:rPr>
          <w:rFonts w:ascii="Arial" w:hAnsi="Arial" w:cs="Arial"/>
          <w:szCs w:val="22"/>
        </w:rPr>
        <w:t>1.2.    Publikační hlubotisk s celkovou projektovanou spotřebou organických rozpouštědel 0,6 t za rok nebo větší</w:t>
      </w:r>
    </w:p>
    <w:p w14:paraId="7BF51F16"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9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202"/>
        <w:gridCol w:w="1520"/>
        <w:gridCol w:w="1163"/>
        <w:gridCol w:w="1312"/>
      </w:tblGrid>
      <w:tr w:rsidR="00E40657" w14:paraId="5D058588" w14:textId="77777777" w:rsidTr="000B7FBC">
        <w:trPr>
          <w:trHeight w:val="416"/>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05B67772"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4110BFB"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46DABA31" w14:textId="77777777" w:rsidTr="000B7FBC">
        <w:trPr>
          <w:trHeight w:val="141"/>
        </w:trPr>
        <w:tc>
          <w:tcPr>
            <w:tcW w:w="0" w:type="auto"/>
            <w:vMerge/>
            <w:tcBorders>
              <w:left w:val="single" w:sz="12" w:space="0" w:color="000000"/>
              <w:bottom w:val="single" w:sz="12" w:space="0" w:color="000000"/>
              <w:right w:val="single" w:sz="12" w:space="0" w:color="000000"/>
            </w:tcBorders>
            <w:vAlign w:val="center"/>
            <w:hideMark/>
          </w:tcPr>
          <w:p w14:paraId="37E09B15"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EAA44F4"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52413B1"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41438FA"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w:t>
            </w:r>
          </w:p>
        </w:tc>
      </w:tr>
      <w:tr w:rsidR="00E40657" w14:paraId="499E3516" w14:textId="77777777" w:rsidTr="000B7FBC">
        <w:trPr>
          <w:trHeight w:val="326"/>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025CEE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0,6 – 15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7E68D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89483D"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6A52C3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775A90E0" w14:textId="77777777" w:rsidTr="000B7FBC">
        <w:trPr>
          <w:trHeight w:val="326"/>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567778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lastRenderedPageBreak/>
              <w:t>&gt; 15 – 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D61CE3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C30C8B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69182F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7E5470E5" w14:textId="77777777" w:rsidTr="000B7FBC">
        <w:trPr>
          <w:trHeight w:val="341"/>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874DC5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635859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E51D99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1515BF3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w:t>
            </w:r>
            <w:r w:rsidRPr="0030358C">
              <w:rPr>
                <w:rFonts w:ascii="Arial" w:hAnsi="Arial" w:cs="Arial"/>
                <w:strike/>
                <w:sz w:val="22"/>
                <w:szCs w:val="22"/>
                <w:vertAlign w:val="superscript"/>
              </w:rPr>
              <w:t>2)</w:t>
            </w:r>
          </w:p>
        </w:tc>
      </w:tr>
    </w:tbl>
    <w:p w14:paraId="087C06F1" w14:textId="77777777" w:rsidR="00A77B3E" w:rsidRPr="0030358C" w:rsidRDefault="00A77B3E">
      <w:pPr>
        <w:pStyle w:val="59"/>
        <w:rPr>
          <w:rFonts w:ascii="Arial" w:hAnsi="Arial" w:cs="Arial"/>
          <w:sz w:val="22"/>
          <w:szCs w:val="22"/>
        </w:rPr>
      </w:pPr>
    </w:p>
    <w:p w14:paraId="192307DF" w14:textId="77777777" w:rsidR="00A77B3E" w:rsidRPr="0030358C" w:rsidRDefault="00A77B3E">
      <w:pPr>
        <w:pStyle w:val="60"/>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6FF1B1F4"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Vysvětlivky:</w:t>
      </w:r>
    </w:p>
    <w:p w14:paraId="2644C378" w14:textId="77777777" w:rsidR="00A77B3E" w:rsidRPr="0030358C" w:rsidRDefault="00000000">
      <w:pPr>
        <w:pStyle w:val="61"/>
        <w:rPr>
          <w:rFonts w:ascii="Arial" w:hAnsi="Arial" w:cs="Arial"/>
          <w:sz w:val="22"/>
          <w:szCs w:val="22"/>
        </w:rPr>
      </w:pPr>
      <w:r w:rsidRPr="0030358C">
        <w:rPr>
          <w:rFonts w:ascii="Arial" w:hAnsi="Arial" w:cs="Arial"/>
          <w:sz w:val="22"/>
          <w:szCs w:val="22"/>
        </w:rPr>
        <w:t>1)    Podíl hmotnosti emisí těkavých organických látek a hmotnosti vstupních organických rozpouštědel. Emisní limit VOC</w:t>
      </w:r>
      <w:r w:rsidRPr="0030358C">
        <w:rPr>
          <w:rFonts w:ascii="Arial" w:hAnsi="Arial" w:cs="Arial"/>
          <w:sz w:val="22"/>
          <w:szCs w:val="22"/>
          <w:vertAlign w:val="subscript"/>
        </w:rPr>
        <w:t>E</w:t>
      </w:r>
      <w:r w:rsidRPr="0030358C">
        <w:rPr>
          <w:rFonts w:ascii="Arial" w:hAnsi="Arial" w:cs="Arial"/>
          <w:sz w:val="22"/>
          <w:szCs w:val="22"/>
        </w:rPr>
        <w:t xml:space="preserve"> se uplatňuje, pokud zdroj zjišťuje úroveň emisí výpočtem namísto měřením.</w:t>
      </w:r>
    </w:p>
    <w:p w14:paraId="370BA6BD"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2)    Platí od 1. ledna 2019.</w:t>
      </w:r>
    </w:p>
    <w:p w14:paraId="550879D3" w14:textId="77777777" w:rsidR="00A77B3E" w:rsidRPr="0030358C" w:rsidRDefault="00000000">
      <w:pPr>
        <w:pStyle w:val="57"/>
        <w:rPr>
          <w:rFonts w:ascii="Arial" w:hAnsi="Arial" w:cs="Arial"/>
          <w:szCs w:val="22"/>
        </w:rPr>
      </w:pPr>
      <w:r w:rsidRPr="0030358C">
        <w:rPr>
          <w:rFonts w:ascii="Arial" w:hAnsi="Arial" w:cs="Arial"/>
          <w:szCs w:val="22"/>
        </w:rPr>
        <w:t>1.3.    Jiné tiskařské činnosti s celkovou projektovanou spotřebou organických rozpouštědel 0,6 t za rok nebo větší</w:t>
      </w:r>
    </w:p>
    <w:p w14:paraId="41367356"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2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592"/>
        <w:gridCol w:w="3220"/>
        <w:gridCol w:w="1223"/>
        <w:gridCol w:w="1192"/>
      </w:tblGrid>
      <w:tr w:rsidR="00E40657" w14:paraId="07930380" w14:textId="77777777" w:rsidTr="000B7FBC">
        <w:trPr>
          <w:trHeight w:val="427"/>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60F3825B"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Činnost</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8DCCE46"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9E23EE0"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35636E18" w14:textId="77777777" w:rsidTr="00760B1A">
        <w:trPr>
          <w:trHeight w:val="146"/>
        </w:trPr>
        <w:tc>
          <w:tcPr>
            <w:tcW w:w="0" w:type="auto"/>
            <w:vMerge/>
            <w:tcBorders>
              <w:left w:val="single" w:sz="12" w:space="0" w:color="000000"/>
              <w:bottom w:val="single" w:sz="12" w:space="0" w:color="000000"/>
              <w:right w:val="single" w:sz="12" w:space="0" w:color="000000"/>
            </w:tcBorders>
            <w:vAlign w:val="center"/>
            <w:hideMark/>
          </w:tcPr>
          <w:p w14:paraId="2DF9FD19" w14:textId="77777777" w:rsidR="00A77B3E" w:rsidRPr="0030358C" w:rsidRDefault="00A77B3E">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6A6F7961" w14:textId="77777777" w:rsidR="00A77B3E" w:rsidRPr="0030358C" w:rsidRDefault="00A77B3E">
            <w:pPr>
              <w:overflowPunct w:val="0"/>
              <w:rPr>
                <w:rFonts w:ascii="Arial" w:hAnsi="Arial" w:cs="Arial"/>
                <w:b/>
                <w:bCs/>
                <w:sz w:val="22"/>
                <w:szCs w:val="22"/>
              </w:rPr>
            </w:pPr>
          </w:p>
        </w:tc>
        <w:tc>
          <w:tcPr>
            <w:tcW w:w="1223"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1905B26"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192"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A05A3A3"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597844E4" w14:textId="77777777" w:rsidTr="00760B1A">
        <w:trPr>
          <w:trHeight w:val="427"/>
        </w:trPr>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42836C4E"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rotační sítotisk na textil a lepenku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6DEC12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0,6 – 15</w:t>
            </w:r>
          </w:p>
        </w:tc>
        <w:tc>
          <w:tcPr>
            <w:tcW w:w="122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AA4E6A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19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332A88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5DF6A429" w14:textId="77777777" w:rsidTr="00760B1A">
        <w:trPr>
          <w:trHeight w:val="146"/>
        </w:trPr>
        <w:tc>
          <w:tcPr>
            <w:tcW w:w="0" w:type="auto"/>
            <w:vMerge/>
            <w:tcBorders>
              <w:right w:val="single" w:sz="3" w:space="0" w:color="000000"/>
            </w:tcBorders>
            <w:vAlign w:val="center"/>
            <w:hideMark/>
          </w:tcPr>
          <w:p w14:paraId="75F7D6B6"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FF4F5E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15 – 30</w:t>
            </w:r>
          </w:p>
        </w:tc>
        <w:tc>
          <w:tcPr>
            <w:tcW w:w="122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8BA85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19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FC6F02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25</w:t>
            </w:r>
          </w:p>
        </w:tc>
      </w:tr>
      <w:tr w:rsidR="00E40657" w14:paraId="56B2BF7A" w14:textId="77777777" w:rsidTr="00760B1A">
        <w:trPr>
          <w:trHeight w:val="146"/>
        </w:trPr>
        <w:tc>
          <w:tcPr>
            <w:tcW w:w="0" w:type="auto"/>
            <w:vMerge/>
            <w:tcBorders>
              <w:bottom w:val="single" w:sz="3" w:space="0" w:color="000000"/>
              <w:right w:val="single" w:sz="3" w:space="0" w:color="000000"/>
            </w:tcBorders>
            <w:vAlign w:val="center"/>
            <w:hideMark/>
          </w:tcPr>
          <w:p w14:paraId="5A049CFF"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07D63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30</w:t>
            </w:r>
          </w:p>
        </w:tc>
        <w:tc>
          <w:tcPr>
            <w:tcW w:w="122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B3398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19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FB1E53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p>
        </w:tc>
      </w:tr>
      <w:tr w:rsidR="00E40657" w14:paraId="375787EA" w14:textId="77777777" w:rsidTr="00760B1A">
        <w:trPr>
          <w:trHeight w:val="427"/>
        </w:trPr>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22687F04"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rotační válcový sítotisk, jiné hlubotisky, gumotisk, laminování, natírání, lakování</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DDD922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0,6 – 15</w:t>
            </w:r>
          </w:p>
        </w:tc>
        <w:tc>
          <w:tcPr>
            <w:tcW w:w="122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83D740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19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8992CC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465332B6" w14:textId="77777777" w:rsidTr="00760B1A">
        <w:trPr>
          <w:trHeight w:val="146"/>
        </w:trPr>
        <w:tc>
          <w:tcPr>
            <w:tcW w:w="0" w:type="auto"/>
            <w:vMerge/>
            <w:tcBorders>
              <w:right w:val="single" w:sz="3" w:space="0" w:color="000000"/>
            </w:tcBorders>
            <w:vAlign w:val="center"/>
            <w:hideMark/>
          </w:tcPr>
          <w:p w14:paraId="3405E9A2"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E0CC9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15 – 25</w:t>
            </w:r>
          </w:p>
        </w:tc>
        <w:tc>
          <w:tcPr>
            <w:tcW w:w="122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155D1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19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6A07FC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25</w:t>
            </w:r>
          </w:p>
        </w:tc>
      </w:tr>
      <w:tr w:rsidR="00E40657" w14:paraId="0FD7D25B" w14:textId="77777777" w:rsidTr="00760B1A">
        <w:trPr>
          <w:trHeight w:val="146"/>
        </w:trPr>
        <w:tc>
          <w:tcPr>
            <w:tcW w:w="0" w:type="auto"/>
            <w:vMerge/>
            <w:tcBorders>
              <w:bottom w:val="single" w:sz="12" w:space="0" w:color="000000"/>
              <w:right w:val="single" w:sz="3" w:space="0" w:color="000000"/>
            </w:tcBorders>
            <w:vAlign w:val="center"/>
            <w:hideMark/>
          </w:tcPr>
          <w:p w14:paraId="00CD5127"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FAF014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25</w:t>
            </w:r>
          </w:p>
        </w:tc>
        <w:tc>
          <w:tcPr>
            <w:tcW w:w="1223"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7D034B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192"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984345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p>
        </w:tc>
      </w:tr>
    </w:tbl>
    <w:p w14:paraId="65ADB91C" w14:textId="77777777" w:rsidR="00A77B3E" w:rsidRPr="0030358C" w:rsidRDefault="00A77B3E">
      <w:pPr>
        <w:pStyle w:val="59"/>
        <w:rPr>
          <w:rFonts w:ascii="Arial" w:hAnsi="Arial" w:cs="Arial"/>
          <w:sz w:val="22"/>
          <w:szCs w:val="22"/>
        </w:rPr>
      </w:pPr>
    </w:p>
    <w:p w14:paraId="54A34F06" w14:textId="77777777" w:rsidR="00A77B3E" w:rsidRPr="0030358C" w:rsidRDefault="00A77B3E">
      <w:pPr>
        <w:pStyle w:val="57"/>
        <w:rPr>
          <w:rFonts w:ascii="Arial" w:hAnsi="Arial" w:cs="Arial"/>
          <w:szCs w:val="22"/>
        </w:rPr>
        <w:sectPr w:rsidR="00A77B3E" w:rsidRPr="0030358C" w:rsidSect="00D804A3">
          <w:type w:val="continuous"/>
          <w:pgSz w:w="11906" w:h="16838" w:code="9"/>
          <w:pgMar w:top="1417" w:right="1417" w:bottom="1417" w:left="1417" w:header="708" w:footer="708" w:gutter="0"/>
          <w:cols w:space="708"/>
          <w:docGrid w:linePitch="360"/>
        </w:sectPr>
      </w:pPr>
    </w:p>
    <w:p w14:paraId="181B6995" w14:textId="77777777" w:rsidR="00A77B3E" w:rsidRPr="0030358C" w:rsidRDefault="00000000">
      <w:pPr>
        <w:pStyle w:val="57"/>
        <w:rPr>
          <w:rFonts w:ascii="Arial" w:hAnsi="Arial" w:cs="Arial"/>
          <w:szCs w:val="22"/>
        </w:rPr>
      </w:pPr>
      <w:r w:rsidRPr="0030358C">
        <w:rPr>
          <w:rFonts w:ascii="Arial" w:hAnsi="Arial" w:cs="Arial"/>
          <w:szCs w:val="22"/>
        </w:rPr>
        <w:t>1.4.    Knihtisk s celkovou projektovanou spotřebou organických rozpouštědel 0,6 t za rok nebo větší</w:t>
      </w:r>
    </w:p>
    <w:p w14:paraId="6EAE28C8"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28"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234"/>
        <w:gridCol w:w="1517"/>
        <w:gridCol w:w="1477"/>
      </w:tblGrid>
      <w:tr w:rsidR="00E40657" w14:paraId="71FD1828" w14:textId="77777777" w:rsidTr="000B7FBC">
        <w:trPr>
          <w:trHeight w:val="473"/>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2A5F6E94"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2994" w:type="dxa"/>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A21E93A"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110AE4D8" w14:textId="77777777" w:rsidTr="00760B1A">
        <w:trPr>
          <w:trHeight w:val="162"/>
        </w:trPr>
        <w:tc>
          <w:tcPr>
            <w:tcW w:w="0" w:type="auto"/>
            <w:vMerge/>
            <w:tcBorders>
              <w:left w:val="single" w:sz="12" w:space="0" w:color="000000"/>
              <w:bottom w:val="single" w:sz="12" w:space="0" w:color="000000"/>
              <w:right w:val="single" w:sz="12" w:space="0" w:color="000000"/>
            </w:tcBorders>
            <w:vAlign w:val="center"/>
            <w:hideMark/>
          </w:tcPr>
          <w:p w14:paraId="15949851" w14:textId="77777777" w:rsidR="00A77B3E" w:rsidRPr="0030358C" w:rsidRDefault="00A77B3E">
            <w:pPr>
              <w:overflowPunct w:val="0"/>
              <w:rPr>
                <w:rFonts w:ascii="Arial" w:hAnsi="Arial" w:cs="Arial"/>
                <w:b/>
                <w:bCs/>
                <w:sz w:val="22"/>
                <w:szCs w:val="22"/>
              </w:rPr>
            </w:pPr>
          </w:p>
        </w:tc>
        <w:tc>
          <w:tcPr>
            <w:tcW w:w="1517"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0A4108E"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477"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11BC2BF"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28033744" w14:textId="77777777" w:rsidTr="00760B1A">
        <w:trPr>
          <w:trHeight w:val="372"/>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9F9EE1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0,6 – 15</w:t>
            </w:r>
          </w:p>
        </w:tc>
        <w:tc>
          <w:tcPr>
            <w:tcW w:w="1517"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2F288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47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033A30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18BDA3DF" w14:textId="77777777" w:rsidTr="00760B1A">
        <w:trPr>
          <w:trHeight w:val="389"/>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1E6BE3C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15</w:t>
            </w:r>
          </w:p>
        </w:tc>
        <w:tc>
          <w:tcPr>
            <w:tcW w:w="1517"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C0D117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477"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C64F95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15</w:t>
            </w:r>
          </w:p>
        </w:tc>
      </w:tr>
    </w:tbl>
    <w:p w14:paraId="3E4456C3" w14:textId="77777777" w:rsidR="00A77B3E" w:rsidRPr="0030358C" w:rsidRDefault="00A77B3E">
      <w:pPr>
        <w:pStyle w:val="59"/>
        <w:rPr>
          <w:rFonts w:ascii="Arial" w:hAnsi="Arial" w:cs="Arial"/>
          <w:sz w:val="22"/>
          <w:szCs w:val="22"/>
        </w:rPr>
      </w:pPr>
    </w:p>
    <w:p w14:paraId="5EC14BE2" w14:textId="77777777" w:rsidR="00A77B3E" w:rsidRPr="0030358C" w:rsidRDefault="00A77B3E">
      <w:pPr>
        <w:pStyle w:val="46"/>
        <w:rPr>
          <w:rFonts w:ascii="Arial" w:hAnsi="Arial" w:cs="Arial"/>
          <w:szCs w:val="22"/>
        </w:rPr>
        <w:sectPr w:rsidR="00A77B3E" w:rsidRPr="0030358C" w:rsidSect="00D804A3">
          <w:type w:val="continuous"/>
          <w:pgSz w:w="11906" w:h="16838" w:code="9"/>
          <w:pgMar w:top="1417" w:right="1417" w:bottom="1417" w:left="1417" w:header="708" w:footer="708" w:gutter="0"/>
          <w:cols w:space="708"/>
          <w:docGrid w:linePitch="360"/>
        </w:sectPr>
      </w:pPr>
    </w:p>
    <w:p w14:paraId="3888FD29" w14:textId="77777777" w:rsidR="00A77B3E" w:rsidRPr="0030358C" w:rsidRDefault="00000000">
      <w:pPr>
        <w:pStyle w:val="46"/>
        <w:rPr>
          <w:rFonts w:ascii="Arial" w:hAnsi="Arial" w:cs="Arial"/>
          <w:szCs w:val="22"/>
        </w:rPr>
      </w:pPr>
      <w:r w:rsidRPr="0030358C">
        <w:rPr>
          <w:rFonts w:ascii="Arial" w:hAnsi="Arial" w:cs="Arial"/>
          <w:szCs w:val="22"/>
        </w:rPr>
        <w:t>2.    Odmašťování a čištění povrchů</w:t>
      </w:r>
    </w:p>
    <w:p w14:paraId="7A64E27C" w14:textId="77777777" w:rsidR="00A77B3E" w:rsidRPr="0030358C" w:rsidRDefault="00000000">
      <w:pPr>
        <w:pStyle w:val="47"/>
        <w:rPr>
          <w:rFonts w:ascii="Arial" w:hAnsi="Arial" w:cs="Arial"/>
          <w:sz w:val="22"/>
          <w:szCs w:val="22"/>
        </w:rPr>
      </w:pPr>
      <w:r w:rsidRPr="0030358C">
        <w:rPr>
          <w:rFonts w:ascii="Arial" w:hAnsi="Arial" w:cs="Arial"/>
          <w:sz w:val="22"/>
          <w:szCs w:val="22"/>
        </w:rPr>
        <w:t xml:space="preserve">Pod činnostmi v </w:t>
      </w:r>
      <w:hyperlink w:history="1">
        <w:r w:rsidR="00A77B3E" w:rsidRPr="0030358C">
          <w:rPr>
            <w:rFonts w:ascii="Arial" w:hAnsi="Arial" w:cs="Arial"/>
            <w:sz w:val="22"/>
            <w:szCs w:val="22"/>
          </w:rPr>
          <w:t>podbodech 2.1.</w:t>
        </w:r>
      </w:hyperlink>
      <w:r w:rsidRPr="0030358C">
        <w:rPr>
          <w:rFonts w:ascii="Arial" w:hAnsi="Arial" w:cs="Arial"/>
          <w:sz w:val="22"/>
          <w:szCs w:val="22"/>
        </w:rPr>
        <w:t xml:space="preserve"> a </w:t>
      </w:r>
      <w:hyperlink w:history="1">
        <w:r w:rsidR="00A77B3E" w:rsidRPr="0030358C">
          <w:rPr>
            <w:rFonts w:ascii="Arial" w:hAnsi="Arial" w:cs="Arial"/>
            <w:sz w:val="22"/>
            <w:szCs w:val="22"/>
          </w:rPr>
          <w:t>2.2.</w:t>
        </w:r>
      </w:hyperlink>
      <w:r w:rsidRPr="0030358C">
        <w:rPr>
          <w:rFonts w:ascii="Arial" w:hAnsi="Arial" w:cs="Arial"/>
          <w:sz w:val="22"/>
          <w:szCs w:val="22"/>
        </w:rPr>
        <w:t xml:space="preserve"> (kód 9.5. - 9.6. </w:t>
      </w:r>
      <w:hyperlink w:history="1">
        <w:r w:rsidR="00A77B3E" w:rsidRPr="0030358C">
          <w:rPr>
            <w:rFonts w:ascii="Arial" w:hAnsi="Arial" w:cs="Arial"/>
            <w:sz w:val="22"/>
            <w:szCs w:val="22"/>
          </w:rPr>
          <w:t>přílohy č. 2</w:t>
        </w:r>
      </w:hyperlink>
      <w:r w:rsidRPr="0030358C">
        <w:rPr>
          <w:rFonts w:ascii="Arial" w:hAnsi="Arial" w:cs="Arial"/>
          <w:sz w:val="22"/>
          <w:szCs w:val="22"/>
        </w:rPr>
        <w:t xml:space="preserve"> k </w:t>
      </w:r>
      <w:hyperlink w:history="1">
        <w:r w:rsidR="00A77B3E" w:rsidRPr="0030358C">
          <w:rPr>
            <w:rFonts w:ascii="Arial" w:hAnsi="Arial" w:cs="Arial"/>
            <w:sz w:val="22"/>
            <w:szCs w:val="22"/>
          </w:rPr>
          <w:t>zákonu</w:t>
        </w:r>
      </w:hyperlink>
      <w:r w:rsidRPr="0030358C">
        <w:rPr>
          <w:rFonts w:ascii="Arial" w:hAnsi="Arial" w:cs="Arial"/>
          <w:sz w:val="22"/>
          <w:szCs w:val="22"/>
        </w:rPr>
        <w:t xml:space="preserve">) a v </w:t>
      </w:r>
      <w:hyperlink w:history="1">
        <w:r w:rsidR="00A77B3E" w:rsidRPr="0030358C">
          <w:rPr>
            <w:rFonts w:ascii="Arial" w:hAnsi="Arial" w:cs="Arial"/>
            <w:sz w:val="22"/>
            <w:szCs w:val="22"/>
          </w:rPr>
          <w:t>podbodu 2.3.</w:t>
        </w:r>
      </w:hyperlink>
      <w:r w:rsidRPr="0030358C">
        <w:rPr>
          <w:rFonts w:ascii="Arial" w:hAnsi="Arial" w:cs="Arial"/>
          <w:sz w:val="22"/>
          <w:szCs w:val="22"/>
        </w:rPr>
        <w:t xml:space="preserve"> jsou zahrnuty jakékoli procesy, při nichž jsou organická rozpouštědla používána k odstranění znečištění z povrchu materiálů, odmaštění, snímání povlaků, odlakování a další povrchové úpravy výrobních polotovarů a výrobků. Tyto činnosti se nevztahují na chemické čištění, které je vyjmenované jako samostatná činnost v </w:t>
      </w:r>
      <w:hyperlink w:history="1">
        <w:r w:rsidR="00A77B3E" w:rsidRPr="0030358C">
          <w:rPr>
            <w:rFonts w:ascii="Arial" w:hAnsi="Arial" w:cs="Arial"/>
            <w:sz w:val="22"/>
            <w:szCs w:val="22"/>
          </w:rPr>
          <w:t>bodu 3</w:t>
        </w:r>
      </w:hyperlink>
      <w:r w:rsidRPr="0030358C">
        <w:rPr>
          <w:rFonts w:ascii="Arial" w:hAnsi="Arial" w:cs="Arial"/>
          <w:sz w:val="22"/>
          <w:szCs w:val="22"/>
        </w:rPr>
        <w:t xml:space="preserve"> této části </w:t>
      </w:r>
      <w:r w:rsidRPr="0030358C">
        <w:rPr>
          <w:rFonts w:ascii="Arial" w:hAnsi="Arial" w:cs="Arial"/>
          <w:sz w:val="22"/>
          <w:szCs w:val="22"/>
        </w:rPr>
        <w:lastRenderedPageBreak/>
        <w:t>přílohy. Dále se tyto činnosti nevztahují na čištění pracovních prostorů a čištění procesního zařízení.</w:t>
      </w:r>
    </w:p>
    <w:p w14:paraId="0B51B206" w14:textId="77777777" w:rsidR="00A77B3E" w:rsidRPr="0030358C" w:rsidRDefault="00000000">
      <w:pPr>
        <w:pStyle w:val="57"/>
        <w:rPr>
          <w:rFonts w:ascii="Arial" w:hAnsi="Arial" w:cs="Arial"/>
          <w:szCs w:val="22"/>
        </w:rPr>
      </w:pPr>
      <w:r w:rsidRPr="0030358C">
        <w:rPr>
          <w:rFonts w:ascii="Arial" w:hAnsi="Arial" w:cs="Arial"/>
          <w:szCs w:val="22"/>
        </w:rPr>
        <w:t xml:space="preserve">2.1.    Odmašťování a čištění povrchů prostředky s obsahem těkavých organických látek podle </w:t>
      </w:r>
      <w:hyperlink w:history="1">
        <w:r w:rsidR="00A77B3E" w:rsidRPr="0030358C">
          <w:rPr>
            <w:rFonts w:ascii="Arial" w:hAnsi="Arial" w:cs="Arial"/>
            <w:szCs w:val="22"/>
          </w:rPr>
          <w:t>§ 21 písm. a)</w:t>
        </w:r>
      </w:hyperlink>
      <w:r w:rsidRPr="0030358C">
        <w:rPr>
          <w:rFonts w:ascii="Arial" w:hAnsi="Arial" w:cs="Arial"/>
          <w:szCs w:val="22"/>
        </w:rPr>
        <w:t xml:space="preserve"> s celkovou projektovanou spotřebou organických rozpouštědel 0,01 t za rok nebo větší; odmašťování a čištění povrchů prostředky s obsahem těkavých organických látek podle </w:t>
      </w:r>
      <w:hyperlink w:history="1">
        <w:r w:rsidR="00A77B3E" w:rsidRPr="0030358C">
          <w:rPr>
            <w:rFonts w:ascii="Arial" w:hAnsi="Arial" w:cs="Arial"/>
            <w:szCs w:val="22"/>
          </w:rPr>
          <w:t>§ 21 písm. b)</w:t>
        </w:r>
      </w:hyperlink>
      <w:r w:rsidRPr="0030358C">
        <w:rPr>
          <w:rFonts w:ascii="Arial" w:hAnsi="Arial" w:cs="Arial"/>
          <w:szCs w:val="22"/>
        </w:rPr>
        <w:t xml:space="preserve"> s celkovou projektovanou spotřebou organických rozpouštědel 0,1 t za rok nebo větší</w:t>
      </w:r>
    </w:p>
    <w:p w14:paraId="58275723" w14:textId="77777777" w:rsidR="00A77B3E" w:rsidRPr="0030358C" w:rsidRDefault="00000000">
      <w:pPr>
        <w:pStyle w:val="59"/>
        <w:rPr>
          <w:rFonts w:ascii="Arial" w:hAnsi="Arial" w:cs="Arial"/>
          <w:strike/>
          <w:sz w:val="22"/>
          <w:szCs w:val="22"/>
        </w:rPr>
      </w:pPr>
      <w:bookmarkStart w:id="54" w:name="_Hlk181371143"/>
      <w:r w:rsidRPr="0030358C">
        <w:rPr>
          <w:rFonts w:ascii="Arial" w:hAnsi="Arial" w:cs="Arial"/>
          <w:strike/>
          <w:sz w:val="22"/>
          <w:szCs w:val="22"/>
        </w:rPr>
        <w:t>Tyto činnosti nesmí být prováděny mimo zařízení, která jsou vybavena systémem záchytu par s recyklací organických rozpouštědel.</w:t>
      </w:r>
    </w:p>
    <w:bookmarkEnd w:id="54"/>
    <w:p w14:paraId="7846B413"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13"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797"/>
        <w:gridCol w:w="1442"/>
        <w:gridCol w:w="1512"/>
        <w:gridCol w:w="1462"/>
      </w:tblGrid>
      <w:tr w:rsidR="00E40657" w14:paraId="28F8BEAA" w14:textId="77777777" w:rsidTr="000B7FBC">
        <w:trPr>
          <w:trHeight w:val="447"/>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B773F5A"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8C642AD"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7DFE8977" w14:textId="77777777" w:rsidTr="00760B1A">
        <w:trPr>
          <w:trHeight w:val="153"/>
        </w:trPr>
        <w:tc>
          <w:tcPr>
            <w:tcW w:w="0" w:type="auto"/>
            <w:vMerge/>
            <w:tcBorders>
              <w:left w:val="single" w:sz="12" w:space="0" w:color="000000"/>
              <w:bottom w:val="single" w:sz="12" w:space="0" w:color="000000"/>
              <w:right w:val="single" w:sz="12" w:space="0" w:color="000000"/>
            </w:tcBorders>
            <w:vAlign w:val="center"/>
            <w:hideMark/>
          </w:tcPr>
          <w:p w14:paraId="69B75519" w14:textId="77777777" w:rsidR="00A77B3E" w:rsidRPr="0030358C" w:rsidRDefault="00A77B3E">
            <w:pPr>
              <w:overflowPunct w:val="0"/>
              <w:rPr>
                <w:rFonts w:ascii="Arial" w:hAnsi="Arial" w:cs="Arial"/>
                <w:b/>
                <w:bCs/>
                <w:sz w:val="22"/>
                <w:szCs w:val="22"/>
              </w:rPr>
            </w:pPr>
          </w:p>
        </w:tc>
        <w:tc>
          <w:tcPr>
            <w:tcW w:w="1442"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489C04"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 xml:space="preserve">VOC </w:t>
            </w:r>
            <w:r w:rsidRPr="0030358C">
              <w:rPr>
                <w:rFonts w:ascii="Arial" w:hAnsi="Arial" w:cs="Arial"/>
                <w:b/>
                <w:bCs/>
                <w:sz w:val="22"/>
                <w:szCs w:val="22"/>
              </w:rPr>
              <w:br/>
              <w:t>[mg/m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134"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1960990"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 xml:space="preserve">hmotnostní tok </w:t>
            </w:r>
            <w:r w:rsidRPr="0030358C">
              <w:rPr>
                <w:rFonts w:ascii="Arial" w:hAnsi="Arial" w:cs="Arial"/>
                <w:b/>
                <w:bCs/>
                <w:sz w:val="22"/>
                <w:szCs w:val="22"/>
              </w:rPr>
              <w:br/>
              <w:t>[g/h]</w:t>
            </w:r>
          </w:p>
        </w:tc>
        <w:tc>
          <w:tcPr>
            <w:tcW w:w="1462"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3F9B76C"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F</w:t>
            </w:r>
            <w:r w:rsidRPr="0030358C">
              <w:rPr>
                <w:rFonts w:ascii="Arial" w:hAnsi="Arial" w:cs="Arial"/>
                <w:b/>
                <w:bCs/>
                <w:sz w:val="22"/>
                <w:szCs w:val="22"/>
              </w:rPr>
              <w:t xml:space="preserve"> </w:t>
            </w:r>
            <w:r w:rsidRPr="0030358C">
              <w:rPr>
                <w:rFonts w:ascii="Arial" w:hAnsi="Arial" w:cs="Arial"/>
                <w:b/>
                <w:bCs/>
                <w:sz w:val="22"/>
                <w:szCs w:val="22"/>
              </w:rPr>
              <w:br/>
              <w:t>[%]</w:t>
            </w:r>
          </w:p>
        </w:tc>
      </w:tr>
      <w:tr w:rsidR="00E40657" w14:paraId="663FA043" w14:textId="77777777" w:rsidTr="00760B1A">
        <w:trPr>
          <w:trHeight w:val="655"/>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8EC954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1 -</w:t>
            </w:r>
            <w:r w:rsidR="00643664" w:rsidRPr="0030358C">
              <w:rPr>
                <w:rFonts w:ascii="Arial" w:hAnsi="Arial" w:cs="Arial"/>
                <w:sz w:val="22"/>
                <w:szCs w:val="22"/>
              </w:rPr>
              <w:t xml:space="preserve"> </w:t>
            </w:r>
            <w:r w:rsidRPr="0030358C">
              <w:rPr>
                <w:rFonts w:ascii="Arial" w:hAnsi="Arial" w:cs="Arial"/>
                <w:sz w:val="22"/>
                <w:szCs w:val="22"/>
              </w:rPr>
              <w:t>5</w:t>
            </w:r>
          </w:p>
        </w:tc>
        <w:tc>
          <w:tcPr>
            <w:tcW w:w="1442"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7270F1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r w:rsidRPr="0030358C">
              <w:rPr>
                <w:rFonts w:ascii="Arial" w:hAnsi="Arial" w:cs="Arial"/>
                <w:sz w:val="22"/>
                <w:szCs w:val="22"/>
              </w:rPr>
              <w:br/>
              <w:t>2</w:t>
            </w:r>
            <w:r w:rsidRPr="0030358C">
              <w:rPr>
                <w:rFonts w:ascii="Arial" w:hAnsi="Arial" w:cs="Arial"/>
                <w:sz w:val="22"/>
                <w:szCs w:val="22"/>
                <w:vertAlign w:val="superscript"/>
              </w:rPr>
              <w:t>1)</w:t>
            </w:r>
          </w:p>
        </w:tc>
        <w:tc>
          <w:tcPr>
            <w:tcW w:w="1134"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079F65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100</w:t>
            </w:r>
            <w:r w:rsidRPr="0030358C">
              <w:rPr>
                <w:rFonts w:ascii="Arial" w:hAnsi="Arial" w:cs="Arial"/>
                <w:sz w:val="22"/>
                <w:szCs w:val="22"/>
              </w:rPr>
              <w:br/>
              <w:t>10</w:t>
            </w:r>
            <w:r w:rsidRPr="0030358C">
              <w:rPr>
                <w:rFonts w:ascii="Arial" w:hAnsi="Arial" w:cs="Arial"/>
                <w:sz w:val="22"/>
                <w:szCs w:val="22"/>
                <w:vertAlign w:val="superscript"/>
              </w:rPr>
              <w:t>1)</w:t>
            </w:r>
          </w:p>
        </w:tc>
        <w:tc>
          <w:tcPr>
            <w:tcW w:w="1462"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1EB2D8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15</w:t>
            </w:r>
          </w:p>
        </w:tc>
      </w:tr>
      <w:tr w:rsidR="00E40657" w14:paraId="58DB339D" w14:textId="77777777" w:rsidTr="00760B1A">
        <w:trPr>
          <w:trHeight w:val="655"/>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1F417F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w:t>
            </w:r>
            <w:r w:rsidR="00643664" w:rsidRPr="0030358C">
              <w:rPr>
                <w:rFonts w:ascii="Arial" w:hAnsi="Arial" w:cs="Arial"/>
                <w:sz w:val="22"/>
                <w:szCs w:val="22"/>
              </w:rPr>
              <w:t xml:space="preserve"> </w:t>
            </w:r>
            <w:r w:rsidRPr="0030358C">
              <w:rPr>
                <w:rFonts w:ascii="Arial" w:hAnsi="Arial" w:cs="Arial"/>
                <w:sz w:val="22"/>
                <w:szCs w:val="22"/>
              </w:rPr>
              <w:t>5</w:t>
            </w:r>
          </w:p>
        </w:tc>
        <w:tc>
          <w:tcPr>
            <w:tcW w:w="1442"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C48083D"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r w:rsidRPr="0030358C">
              <w:rPr>
                <w:rFonts w:ascii="Arial" w:hAnsi="Arial" w:cs="Arial"/>
                <w:sz w:val="22"/>
                <w:szCs w:val="22"/>
              </w:rPr>
              <w:br/>
              <w:t>2</w:t>
            </w:r>
            <w:r w:rsidRPr="0030358C">
              <w:rPr>
                <w:rFonts w:ascii="Arial" w:hAnsi="Arial" w:cs="Arial"/>
                <w:sz w:val="22"/>
                <w:szCs w:val="22"/>
                <w:vertAlign w:val="superscript"/>
              </w:rPr>
              <w:t>1)</w:t>
            </w:r>
          </w:p>
        </w:tc>
        <w:tc>
          <w:tcPr>
            <w:tcW w:w="1134"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270FE2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100</w:t>
            </w:r>
            <w:r w:rsidRPr="0030358C">
              <w:rPr>
                <w:rFonts w:ascii="Arial" w:hAnsi="Arial" w:cs="Arial"/>
                <w:sz w:val="22"/>
                <w:szCs w:val="22"/>
              </w:rPr>
              <w:br/>
              <w:t>10</w:t>
            </w:r>
            <w:r w:rsidRPr="0030358C">
              <w:rPr>
                <w:rFonts w:ascii="Arial" w:hAnsi="Arial" w:cs="Arial"/>
                <w:sz w:val="22"/>
                <w:szCs w:val="22"/>
                <w:vertAlign w:val="superscript"/>
              </w:rPr>
              <w:t>1)</w:t>
            </w:r>
          </w:p>
        </w:tc>
        <w:tc>
          <w:tcPr>
            <w:tcW w:w="1462"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3D1F61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w:t>
            </w:r>
          </w:p>
        </w:tc>
      </w:tr>
    </w:tbl>
    <w:p w14:paraId="6C57E4BA" w14:textId="77777777" w:rsidR="00A77B3E" w:rsidRPr="0030358C" w:rsidRDefault="00A77B3E">
      <w:pPr>
        <w:pStyle w:val="59"/>
        <w:rPr>
          <w:rFonts w:ascii="Arial" w:hAnsi="Arial" w:cs="Arial"/>
          <w:sz w:val="22"/>
          <w:szCs w:val="22"/>
        </w:rPr>
      </w:pPr>
    </w:p>
    <w:p w14:paraId="02EE937C" w14:textId="77777777" w:rsidR="00A77B3E" w:rsidRPr="0030358C" w:rsidRDefault="00A77B3E">
      <w:pPr>
        <w:pStyle w:val="60"/>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159C9C58"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Vysvětlivka:</w:t>
      </w:r>
    </w:p>
    <w:p w14:paraId="34269A76" w14:textId="77777777" w:rsidR="00A77B3E" w:rsidRPr="0030358C" w:rsidRDefault="00000000">
      <w:pPr>
        <w:pStyle w:val="62"/>
        <w:rPr>
          <w:rFonts w:ascii="Arial" w:hAnsi="Arial" w:cs="Arial"/>
          <w:sz w:val="22"/>
          <w:szCs w:val="22"/>
        </w:rPr>
      </w:pPr>
      <w:r w:rsidRPr="0030358C">
        <w:rPr>
          <w:rFonts w:ascii="Arial" w:hAnsi="Arial" w:cs="Arial"/>
          <w:sz w:val="22"/>
          <w:szCs w:val="22"/>
        </w:rPr>
        <w:t xml:space="preserve">1)    Platí pro stacionární zdroje používající organická rozpouštědla s obsahem těkavých organických látek podle </w:t>
      </w:r>
      <w:hyperlink w:history="1">
        <w:r w:rsidR="00A77B3E" w:rsidRPr="0030358C">
          <w:rPr>
            <w:rFonts w:ascii="Arial" w:hAnsi="Arial" w:cs="Arial"/>
            <w:sz w:val="22"/>
            <w:szCs w:val="22"/>
          </w:rPr>
          <w:t>§ 21 písm. a)</w:t>
        </w:r>
      </w:hyperlink>
      <w:r w:rsidRPr="0030358C">
        <w:rPr>
          <w:rFonts w:ascii="Arial" w:hAnsi="Arial" w:cs="Arial"/>
          <w:sz w:val="22"/>
          <w:szCs w:val="22"/>
        </w:rPr>
        <w:t>.</w:t>
      </w:r>
    </w:p>
    <w:p w14:paraId="48007E14" w14:textId="77777777" w:rsidR="00A77B3E" w:rsidRPr="0030358C" w:rsidRDefault="00000000">
      <w:pPr>
        <w:pStyle w:val="57"/>
        <w:rPr>
          <w:rFonts w:ascii="Arial" w:hAnsi="Arial" w:cs="Arial"/>
          <w:szCs w:val="22"/>
        </w:rPr>
      </w:pPr>
      <w:r w:rsidRPr="0030358C">
        <w:rPr>
          <w:rFonts w:ascii="Arial" w:hAnsi="Arial" w:cs="Arial"/>
          <w:szCs w:val="22"/>
        </w:rPr>
        <w:t xml:space="preserve">2.2.    Odmašťování a čištění povrchů prostředky s obsahem těkavých organických látek, které nejsou uvedeny pod </w:t>
      </w:r>
      <w:hyperlink w:history="1">
        <w:r w:rsidR="00A77B3E" w:rsidRPr="0030358C">
          <w:rPr>
            <w:rFonts w:ascii="Arial" w:hAnsi="Arial" w:cs="Arial"/>
            <w:szCs w:val="22"/>
          </w:rPr>
          <w:t>bodem 2.1.</w:t>
        </w:r>
      </w:hyperlink>
      <w:r w:rsidRPr="0030358C">
        <w:rPr>
          <w:rFonts w:ascii="Arial" w:hAnsi="Arial" w:cs="Arial"/>
          <w:szCs w:val="22"/>
        </w:rPr>
        <w:t>, s celkovou projektovanou spotřebou organických rozpouštědel 0,6 t za rok nebo větší</w:t>
      </w:r>
    </w:p>
    <w:p w14:paraId="55F19D9B" w14:textId="77777777" w:rsidR="00A77B3E" w:rsidRPr="0030358C" w:rsidRDefault="00A77B3E">
      <w:pPr>
        <w:pStyle w:val="59"/>
        <w:rPr>
          <w:rFonts w:ascii="Arial" w:hAnsi="Arial" w:cs="Arial"/>
          <w:sz w:val="22"/>
          <w:szCs w:val="22"/>
        </w:rPr>
      </w:pPr>
    </w:p>
    <w:p w14:paraId="31382311" w14:textId="77777777" w:rsidR="005F1099" w:rsidRPr="0030358C" w:rsidRDefault="005F1099">
      <w:pPr>
        <w:pStyle w:val="59"/>
        <w:rPr>
          <w:rFonts w:ascii="Arial" w:hAnsi="Arial" w:cs="Arial"/>
          <w:sz w:val="22"/>
          <w:szCs w:val="22"/>
        </w:rPr>
      </w:pPr>
    </w:p>
    <w:p w14:paraId="51A62242" w14:textId="77777777" w:rsidR="005F1099" w:rsidRPr="0030358C" w:rsidRDefault="005F1099" w:rsidP="005F1099">
      <w:pPr>
        <w:pStyle w:val="59"/>
        <w:ind w:left="0"/>
        <w:rPr>
          <w:rFonts w:ascii="Arial" w:hAnsi="Arial" w:cs="Arial"/>
          <w:sz w:val="22"/>
          <w:szCs w:val="22"/>
        </w:rPr>
        <w:sectPr w:rsidR="005F1099" w:rsidRPr="0030358C" w:rsidSect="00D804A3">
          <w:type w:val="continuous"/>
          <w:pgSz w:w="11906" w:h="16838" w:code="9"/>
          <w:pgMar w:top="1417" w:right="1417" w:bottom="1417" w:left="1417" w:header="708" w:footer="708" w:gutter="0"/>
          <w:cols w:space="708"/>
          <w:docGrid w:linePitch="360"/>
        </w:sectPr>
      </w:pPr>
    </w:p>
    <w:tbl>
      <w:tblPr>
        <w:tblStyle w:val="data-tisk-na-sirku"/>
        <w:tblW w:w="925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258"/>
        <w:gridCol w:w="1635"/>
        <w:gridCol w:w="1364"/>
      </w:tblGrid>
      <w:tr w:rsidR="00E40657" w14:paraId="3640DAF3" w14:textId="77777777" w:rsidTr="000B7FBC">
        <w:trPr>
          <w:trHeight w:val="443"/>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6D7D2B12" w14:textId="77777777" w:rsidR="00A77B3E" w:rsidRPr="0030358C" w:rsidRDefault="00000000" w:rsidP="000B7FBC">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5EA3D5C" w14:textId="77777777" w:rsidR="00A77B3E" w:rsidRPr="0030358C" w:rsidRDefault="00000000" w:rsidP="000B7FBC">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r w:rsidRPr="0030358C">
              <w:rPr>
                <w:rFonts w:ascii="Arial" w:hAnsi="Arial" w:cs="Arial"/>
                <w:b/>
                <w:bCs/>
                <w:sz w:val="22"/>
                <w:szCs w:val="22"/>
                <w:vertAlign w:val="superscript"/>
              </w:rPr>
              <w:t>1)</w:t>
            </w:r>
          </w:p>
        </w:tc>
      </w:tr>
      <w:tr w:rsidR="00E40657" w14:paraId="05C0FAAB" w14:textId="77777777" w:rsidTr="00760B1A">
        <w:trPr>
          <w:trHeight w:val="152"/>
        </w:trPr>
        <w:tc>
          <w:tcPr>
            <w:tcW w:w="0" w:type="auto"/>
            <w:vMerge/>
            <w:tcBorders>
              <w:left w:val="single" w:sz="12" w:space="0" w:color="000000"/>
              <w:bottom w:val="single" w:sz="12" w:space="0" w:color="000000"/>
              <w:right w:val="single" w:sz="12" w:space="0" w:color="000000"/>
            </w:tcBorders>
            <w:vAlign w:val="center"/>
            <w:hideMark/>
          </w:tcPr>
          <w:p w14:paraId="711C5EBC" w14:textId="77777777" w:rsidR="00A77B3E" w:rsidRPr="0030358C" w:rsidRDefault="00A77B3E" w:rsidP="000B7FBC">
            <w:pPr>
              <w:overflowPunct w:val="0"/>
              <w:rPr>
                <w:rFonts w:ascii="Arial" w:hAnsi="Arial" w:cs="Arial"/>
                <w:b/>
                <w:bCs/>
                <w:sz w:val="22"/>
                <w:szCs w:val="22"/>
                <w:vertAlign w:val="superscript"/>
              </w:rPr>
            </w:pPr>
          </w:p>
        </w:tc>
        <w:tc>
          <w:tcPr>
            <w:tcW w:w="1635"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86B56EB" w14:textId="77777777" w:rsidR="00A77B3E" w:rsidRPr="0030358C" w:rsidRDefault="00000000" w:rsidP="000B7FBC">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364"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8F262B0" w14:textId="77777777" w:rsidR="00A77B3E" w:rsidRPr="0030358C" w:rsidRDefault="00000000" w:rsidP="000B7FBC">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63038613" w14:textId="77777777" w:rsidTr="00760B1A">
        <w:trPr>
          <w:trHeight w:val="34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75D27FE" w14:textId="77777777" w:rsidR="00A77B3E" w:rsidRPr="0030358C" w:rsidRDefault="00000000" w:rsidP="000B7FBC">
            <w:pPr>
              <w:pStyle w:val="59"/>
              <w:overflowPunct w:val="0"/>
              <w:ind w:left="0"/>
              <w:jc w:val="center"/>
              <w:rPr>
                <w:rFonts w:ascii="Arial" w:hAnsi="Arial" w:cs="Arial"/>
                <w:sz w:val="22"/>
                <w:szCs w:val="22"/>
              </w:rPr>
            </w:pPr>
            <w:r w:rsidRPr="0030358C">
              <w:rPr>
                <w:rFonts w:ascii="Arial" w:hAnsi="Arial" w:cs="Arial"/>
                <w:sz w:val="22"/>
                <w:szCs w:val="22"/>
              </w:rPr>
              <w:t>&gt; 2 – 10</w:t>
            </w:r>
          </w:p>
        </w:tc>
        <w:tc>
          <w:tcPr>
            <w:tcW w:w="1635"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BD42C1E" w14:textId="77777777" w:rsidR="00A77B3E" w:rsidRPr="0030358C" w:rsidRDefault="00000000" w:rsidP="000B7FBC">
            <w:pPr>
              <w:pStyle w:val="59"/>
              <w:overflowPunct w:val="0"/>
              <w:ind w:left="0"/>
              <w:jc w:val="center"/>
              <w:rPr>
                <w:rFonts w:ascii="Arial" w:hAnsi="Arial" w:cs="Arial"/>
                <w:sz w:val="22"/>
                <w:szCs w:val="22"/>
              </w:rPr>
            </w:pPr>
            <w:r w:rsidRPr="0030358C">
              <w:rPr>
                <w:rFonts w:ascii="Arial" w:hAnsi="Arial" w:cs="Arial"/>
                <w:sz w:val="22"/>
                <w:szCs w:val="22"/>
              </w:rPr>
              <w:t>75</w:t>
            </w:r>
          </w:p>
        </w:tc>
        <w:tc>
          <w:tcPr>
            <w:tcW w:w="1364"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5AD4382" w14:textId="77777777" w:rsidR="00A77B3E" w:rsidRPr="0030358C" w:rsidRDefault="00000000" w:rsidP="000B7FBC">
            <w:pPr>
              <w:pStyle w:val="59"/>
              <w:overflowPunct w:val="0"/>
              <w:ind w:left="0"/>
              <w:jc w:val="center"/>
              <w:rPr>
                <w:rFonts w:ascii="Arial" w:hAnsi="Arial" w:cs="Arial"/>
                <w:sz w:val="22"/>
                <w:szCs w:val="22"/>
              </w:rPr>
            </w:pPr>
            <w:r w:rsidRPr="0030358C">
              <w:rPr>
                <w:rFonts w:ascii="Arial" w:hAnsi="Arial" w:cs="Arial"/>
                <w:sz w:val="22"/>
                <w:szCs w:val="22"/>
              </w:rPr>
              <w:t>20</w:t>
            </w:r>
          </w:p>
        </w:tc>
      </w:tr>
      <w:tr w:rsidR="00E40657" w14:paraId="72A4177E" w14:textId="77777777" w:rsidTr="00760B1A">
        <w:trPr>
          <w:trHeight w:val="364"/>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193B7B6B" w14:textId="77777777" w:rsidR="00A77B3E" w:rsidRPr="0030358C" w:rsidRDefault="00000000" w:rsidP="000B7FBC">
            <w:pPr>
              <w:pStyle w:val="59"/>
              <w:overflowPunct w:val="0"/>
              <w:ind w:left="0"/>
              <w:jc w:val="center"/>
              <w:rPr>
                <w:rFonts w:ascii="Arial" w:hAnsi="Arial" w:cs="Arial"/>
                <w:sz w:val="22"/>
                <w:szCs w:val="22"/>
              </w:rPr>
            </w:pPr>
            <w:r w:rsidRPr="0030358C">
              <w:rPr>
                <w:rFonts w:ascii="Arial" w:hAnsi="Arial" w:cs="Arial"/>
                <w:sz w:val="22"/>
                <w:szCs w:val="22"/>
              </w:rPr>
              <w:t>&gt; 10</w:t>
            </w:r>
          </w:p>
        </w:tc>
        <w:tc>
          <w:tcPr>
            <w:tcW w:w="1635"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9FA7CA8" w14:textId="77777777" w:rsidR="00A77B3E" w:rsidRPr="0030358C" w:rsidRDefault="00000000" w:rsidP="000B7FBC">
            <w:pPr>
              <w:pStyle w:val="59"/>
              <w:overflowPunct w:val="0"/>
              <w:ind w:left="0"/>
              <w:jc w:val="center"/>
              <w:rPr>
                <w:rFonts w:ascii="Arial" w:hAnsi="Arial" w:cs="Arial"/>
                <w:sz w:val="22"/>
                <w:szCs w:val="22"/>
              </w:rPr>
            </w:pPr>
            <w:r w:rsidRPr="0030358C">
              <w:rPr>
                <w:rFonts w:ascii="Arial" w:hAnsi="Arial" w:cs="Arial"/>
                <w:sz w:val="22"/>
                <w:szCs w:val="22"/>
              </w:rPr>
              <w:t>50</w:t>
            </w:r>
          </w:p>
        </w:tc>
        <w:tc>
          <w:tcPr>
            <w:tcW w:w="1364"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98D0921" w14:textId="77777777" w:rsidR="00A77B3E" w:rsidRPr="0030358C" w:rsidRDefault="00000000" w:rsidP="000B7FBC">
            <w:pPr>
              <w:pStyle w:val="59"/>
              <w:overflowPunct w:val="0"/>
              <w:ind w:left="0"/>
              <w:jc w:val="center"/>
              <w:rPr>
                <w:rFonts w:ascii="Arial" w:hAnsi="Arial" w:cs="Arial"/>
                <w:sz w:val="22"/>
                <w:szCs w:val="22"/>
              </w:rPr>
            </w:pPr>
            <w:r w:rsidRPr="0030358C">
              <w:rPr>
                <w:rFonts w:ascii="Arial" w:hAnsi="Arial" w:cs="Arial"/>
                <w:sz w:val="22"/>
                <w:szCs w:val="22"/>
              </w:rPr>
              <w:t>15</w:t>
            </w:r>
          </w:p>
        </w:tc>
      </w:tr>
    </w:tbl>
    <w:p w14:paraId="1C263B2E" w14:textId="77777777" w:rsidR="00A77B3E" w:rsidRPr="0030358C" w:rsidRDefault="00A77B3E">
      <w:pPr>
        <w:pStyle w:val="59"/>
        <w:rPr>
          <w:rFonts w:ascii="Arial" w:hAnsi="Arial" w:cs="Arial"/>
          <w:sz w:val="22"/>
          <w:szCs w:val="22"/>
        </w:rPr>
      </w:pPr>
    </w:p>
    <w:p w14:paraId="01B917AD" w14:textId="77777777" w:rsidR="00A77B3E" w:rsidRPr="0030358C" w:rsidRDefault="00A77B3E">
      <w:pPr>
        <w:pStyle w:val="60"/>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34CDF1A9"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Vysvětlivka:</w:t>
      </w:r>
    </w:p>
    <w:p w14:paraId="5BBCA182" w14:textId="77777777" w:rsidR="00A77B3E" w:rsidRPr="0030358C" w:rsidRDefault="00000000">
      <w:pPr>
        <w:pStyle w:val="62"/>
        <w:rPr>
          <w:rFonts w:ascii="Arial" w:hAnsi="Arial" w:cs="Arial"/>
          <w:sz w:val="22"/>
          <w:szCs w:val="22"/>
        </w:rPr>
      </w:pPr>
      <w:r w:rsidRPr="0030358C">
        <w:rPr>
          <w:rFonts w:ascii="Arial" w:hAnsi="Arial" w:cs="Arial"/>
          <w:sz w:val="22"/>
          <w:szCs w:val="22"/>
        </w:rPr>
        <w:t>1)    Emisní limit se neuplatňuje v případě, že jsou při provozu zdroje používány výhradně čisticí prostředky, jejichž průměrný obsah organických rozpouštědel nepřesahuje 30 % hmotnostních.</w:t>
      </w:r>
    </w:p>
    <w:p w14:paraId="6E8CE326" w14:textId="77777777" w:rsidR="00A77B3E" w:rsidRPr="0030358C" w:rsidRDefault="00000000">
      <w:pPr>
        <w:pStyle w:val="59"/>
        <w:rPr>
          <w:rFonts w:ascii="Arial" w:hAnsi="Arial" w:cs="Arial"/>
          <w:sz w:val="22"/>
          <w:szCs w:val="22"/>
        </w:rPr>
      </w:pPr>
      <w:r w:rsidRPr="0030358C">
        <w:rPr>
          <w:rFonts w:ascii="Arial" w:hAnsi="Arial" w:cs="Arial"/>
          <w:sz w:val="22"/>
          <w:szCs w:val="22"/>
        </w:rPr>
        <w:t>Odmašťování a čištění povrchů smí být provozováno ve vymezených prostorách především s využitím odmašťovacích stolů nebo podobných zařízení tam, kde je to technicky možné. Použitá organická rozpouštědla jsou shromažďována, uchovávána a předávána k dalšímu využití či k odstranění.</w:t>
      </w:r>
    </w:p>
    <w:p w14:paraId="2DF30A5D" w14:textId="77777777" w:rsidR="00A77B3E" w:rsidRPr="0030358C" w:rsidRDefault="00000000">
      <w:pPr>
        <w:pStyle w:val="57"/>
        <w:rPr>
          <w:rFonts w:ascii="Arial" w:hAnsi="Arial" w:cs="Arial"/>
          <w:szCs w:val="22"/>
        </w:rPr>
      </w:pPr>
      <w:r w:rsidRPr="0030358C">
        <w:rPr>
          <w:rFonts w:ascii="Arial" w:hAnsi="Arial" w:cs="Arial"/>
          <w:szCs w:val="22"/>
        </w:rPr>
        <w:lastRenderedPageBreak/>
        <w:t xml:space="preserve">2.3.    Jednorázové činnosti odmašťování a čištění, které se z důvodu nadměrných rozměrů odmašťovaných povrchů uskutečňují mimo prostory odmašťoven nebo lakoven, a jejichž celková spotřeba organických rozpouštědel je vyšší než 0,1 tun (stacionární zdroje neuvedené v </w:t>
      </w:r>
      <w:hyperlink w:history="1">
        <w:r w:rsidR="00A77B3E" w:rsidRPr="0030358C">
          <w:rPr>
            <w:rFonts w:ascii="Arial" w:hAnsi="Arial" w:cs="Arial"/>
            <w:szCs w:val="22"/>
          </w:rPr>
          <w:t>příloze č. 2</w:t>
        </w:r>
      </w:hyperlink>
      <w:r w:rsidRPr="0030358C">
        <w:rPr>
          <w:rFonts w:ascii="Arial" w:hAnsi="Arial" w:cs="Arial"/>
          <w:szCs w:val="22"/>
        </w:rPr>
        <w:t xml:space="preserve"> </w:t>
      </w:r>
      <w:hyperlink w:history="1">
        <w:r w:rsidR="00A77B3E" w:rsidRPr="0030358C">
          <w:rPr>
            <w:rFonts w:ascii="Arial" w:hAnsi="Arial" w:cs="Arial"/>
            <w:szCs w:val="22"/>
          </w:rPr>
          <w:t>zákona</w:t>
        </w:r>
      </w:hyperlink>
      <w:r w:rsidRPr="0030358C">
        <w:rPr>
          <w:rFonts w:ascii="Arial" w:hAnsi="Arial" w:cs="Arial"/>
          <w:szCs w:val="22"/>
        </w:rPr>
        <w:t>)</w:t>
      </w:r>
    </w:p>
    <w:p w14:paraId="5FE15871" w14:textId="77777777" w:rsidR="00A77B3E" w:rsidRPr="0030358C" w:rsidRDefault="00000000">
      <w:pPr>
        <w:pStyle w:val="59"/>
        <w:rPr>
          <w:rFonts w:ascii="Arial" w:hAnsi="Arial" w:cs="Arial"/>
          <w:sz w:val="22"/>
          <w:szCs w:val="22"/>
        </w:rPr>
      </w:pPr>
      <w:r w:rsidRPr="0030358C">
        <w:rPr>
          <w:rFonts w:ascii="Arial" w:hAnsi="Arial" w:cs="Arial"/>
          <w:sz w:val="22"/>
          <w:szCs w:val="22"/>
        </w:rPr>
        <w:t xml:space="preserve">Při těchto činnostech musí být dodržovány následující technické podmínky provozu: průměrný obsah organických rozpouštědel ve všech užívaných čisticích prostředcích nepřesahuje 30 % hmotnostních tam, kde je to technicky možné, a nejsou používána organická rozpouštědla s obsahem těkavých organických látek podle </w:t>
      </w:r>
      <w:hyperlink w:history="1">
        <w:r w:rsidR="00A77B3E" w:rsidRPr="0030358C">
          <w:rPr>
            <w:rFonts w:ascii="Arial" w:hAnsi="Arial" w:cs="Arial"/>
            <w:sz w:val="22"/>
            <w:szCs w:val="22"/>
          </w:rPr>
          <w:t>§ 21 písm. a)</w:t>
        </w:r>
      </w:hyperlink>
      <w:r w:rsidRPr="0030358C">
        <w:rPr>
          <w:rFonts w:ascii="Arial" w:hAnsi="Arial" w:cs="Arial"/>
          <w:sz w:val="22"/>
          <w:szCs w:val="22"/>
        </w:rPr>
        <w:t xml:space="preserve"> nebo </w:t>
      </w:r>
      <w:hyperlink w:history="1">
        <w:r w:rsidR="00A77B3E" w:rsidRPr="0030358C">
          <w:rPr>
            <w:rFonts w:ascii="Arial" w:hAnsi="Arial" w:cs="Arial"/>
            <w:sz w:val="22"/>
            <w:szCs w:val="22"/>
          </w:rPr>
          <w:t>b)</w:t>
        </w:r>
      </w:hyperlink>
      <w:r w:rsidRPr="0030358C">
        <w:rPr>
          <w:rFonts w:ascii="Arial" w:hAnsi="Arial" w:cs="Arial"/>
          <w:sz w:val="22"/>
          <w:szCs w:val="22"/>
        </w:rPr>
        <w:t>. Použitá organická rozpouštědla jsou shromažďována, uchovávána a předávána k dalšímu využití či k odstranění.</w:t>
      </w:r>
    </w:p>
    <w:p w14:paraId="630ACBE7" w14:textId="77777777" w:rsidR="00A77B3E" w:rsidRPr="0030358C" w:rsidRDefault="00000000">
      <w:pPr>
        <w:pStyle w:val="46"/>
        <w:rPr>
          <w:rFonts w:ascii="Arial" w:hAnsi="Arial" w:cs="Arial"/>
          <w:szCs w:val="22"/>
        </w:rPr>
      </w:pPr>
      <w:r w:rsidRPr="0030358C">
        <w:rPr>
          <w:rFonts w:ascii="Arial" w:hAnsi="Arial" w:cs="Arial"/>
          <w:szCs w:val="22"/>
        </w:rPr>
        <w:t xml:space="preserve">3.    Chemické čištění (kód 9.7.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303D497E" w14:textId="77777777" w:rsidR="00A77B3E" w:rsidRPr="0030358C" w:rsidRDefault="00000000">
      <w:pPr>
        <w:pStyle w:val="54"/>
        <w:rPr>
          <w:rFonts w:ascii="Arial" w:hAnsi="Arial" w:cs="Arial"/>
          <w:sz w:val="22"/>
          <w:szCs w:val="22"/>
        </w:rPr>
      </w:pPr>
      <w:r w:rsidRPr="0030358C">
        <w:rPr>
          <w:rFonts w:ascii="Arial" w:hAnsi="Arial" w:cs="Arial"/>
          <w:sz w:val="22"/>
          <w:szCs w:val="22"/>
        </w:rPr>
        <w:t xml:space="preserve">Chemické čištění zahrnuje činnosti využívající organická rozpouštědla v zařízení k čištění oděvů, vybavení bytů a malých spotřebních předmětů s výjimkou ručního odstraňování skvrn a znečištěných míst v textilním a oděvním průmyslu, které jsou zařazeny pod činnosti uvedené v </w:t>
      </w:r>
      <w:hyperlink w:history="1">
        <w:r w:rsidR="00A77B3E" w:rsidRPr="0030358C">
          <w:rPr>
            <w:rFonts w:ascii="Arial" w:hAnsi="Arial" w:cs="Arial"/>
            <w:sz w:val="22"/>
            <w:szCs w:val="22"/>
          </w:rPr>
          <w:t>podbodech 2.1.</w:t>
        </w:r>
      </w:hyperlink>
      <w:r w:rsidRPr="0030358C">
        <w:rPr>
          <w:rFonts w:ascii="Arial" w:hAnsi="Arial" w:cs="Arial"/>
          <w:sz w:val="22"/>
          <w:szCs w:val="22"/>
        </w:rPr>
        <w:t xml:space="preserve"> a </w:t>
      </w:r>
      <w:hyperlink w:history="1">
        <w:r w:rsidR="00A77B3E" w:rsidRPr="0030358C">
          <w:rPr>
            <w:rFonts w:ascii="Arial" w:hAnsi="Arial" w:cs="Arial"/>
            <w:sz w:val="22"/>
            <w:szCs w:val="22"/>
          </w:rPr>
          <w:t>2.2.</w:t>
        </w:r>
      </w:hyperlink>
      <w:r w:rsidRPr="0030358C">
        <w:rPr>
          <w:rFonts w:ascii="Arial" w:hAnsi="Arial" w:cs="Arial"/>
          <w:sz w:val="22"/>
          <w:szCs w:val="22"/>
        </w:rPr>
        <w:t xml:space="preserve"> této přílohy.</w:t>
      </w:r>
    </w:p>
    <w:p w14:paraId="3A3921D1" w14:textId="77777777" w:rsidR="00A77B3E" w:rsidRPr="0030358C" w:rsidRDefault="00000000">
      <w:pPr>
        <w:pStyle w:val="56"/>
        <w:rPr>
          <w:rFonts w:ascii="Arial" w:hAnsi="Arial" w:cs="Arial"/>
          <w:sz w:val="22"/>
          <w:szCs w:val="22"/>
        </w:rPr>
      </w:pPr>
      <w:r w:rsidRPr="0030358C">
        <w:rPr>
          <w:rFonts w:ascii="Arial" w:hAnsi="Arial" w:cs="Arial"/>
          <w:sz w:val="22"/>
          <w:szCs w:val="22"/>
        </w:rPr>
        <w:t>Tato zařízení musí být vybavena systémem záchytu par s úplnou recyklací organických rozpouštědel.</w:t>
      </w:r>
    </w:p>
    <w:p w14:paraId="3CD32DDC"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302"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7370"/>
        <w:gridCol w:w="1932"/>
      </w:tblGrid>
      <w:tr w:rsidR="00E40657" w14:paraId="27F77538" w14:textId="77777777" w:rsidTr="00166782">
        <w:trPr>
          <w:trHeight w:val="416"/>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0C933016"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5A86355"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3CE84DE4" w14:textId="77777777" w:rsidTr="00166782">
        <w:trPr>
          <w:trHeight w:val="142"/>
        </w:trPr>
        <w:tc>
          <w:tcPr>
            <w:tcW w:w="0" w:type="auto"/>
            <w:vMerge/>
            <w:tcBorders>
              <w:left w:val="single" w:sz="12" w:space="0" w:color="000000"/>
              <w:bottom w:val="single" w:sz="12" w:space="0" w:color="000000"/>
              <w:right w:val="single" w:sz="12" w:space="0" w:color="000000"/>
            </w:tcBorders>
            <w:vAlign w:val="center"/>
            <w:hideMark/>
          </w:tcPr>
          <w:p w14:paraId="5B58A7CE"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32A6818"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[g/kg]</w:t>
            </w:r>
          </w:p>
        </w:tc>
      </w:tr>
      <w:tr w:rsidR="00E40657" w14:paraId="2D825699" w14:textId="77777777" w:rsidTr="00166782">
        <w:trPr>
          <w:trHeight w:val="341"/>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700F05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A10B1D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20</w:t>
            </w:r>
          </w:p>
        </w:tc>
      </w:tr>
    </w:tbl>
    <w:p w14:paraId="7C4103D8" w14:textId="77777777" w:rsidR="00A77B3E" w:rsidRPr="0030358C" w:rsidRDefault="00A77B3E">
      <w:pPr>
        <w:pStyle w:val="47"/>
        <w:rPr>
          <w:rFonts w:ascii="Arial" w:hAnsi="Arial" w:cs="Arial"/>
          <w:sz w:val="22"/>
          <w:szCs w:val="22"/>
        </w:rPr>
      </w:pPr>
    </w:p>
    <w:p w14:paraId="653D749F"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01AFDB0C"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Vysvětlivka:</w:t>
      </w:r>
    </w:p>
    <w:p w14:paraId="52730252" w14:textId="77777777" w:rsidR="00A77B3E" w:rsidRPr="0030358C" w:rsidRDefault="00000000">
      <w:pPr>
        <w:pStyle w:val="69"/>
        <w:rPr>
          <w:rFonts w:ascii="Arial" w:hAnsi="Arial" w:cs="Arial"/>
          <w:sz w:val="22"/>
          <w:szCs w:val="22"/>
        </w:rPr>
      </w:pPr>
      <w:r w:rsidRPr="0030358C">
        <w:rPr>
          <w:rFonts w:ascii="Arial" w:hAnsi="Arial" w:cs="Arial"/>
          <w:sz w:val="22"/>
          <w:szCs w:val="22"/>
        </w:rPr>
        <w:t>1)    Podíl hmotnosti emisí těkavých organických látek a celkové hmotnosti vyčištěného a vysušeného výrobku.</w:t>
      </w:r>
    </w:p>
    <w:p w14:paraId="212CEF04" w14:textId="77777777" w:rsidR="00A77B3E" w:rsidRPr="0030358C" w:rsidRDefault="00000000">
      <w:pPr>
        <w:pStyle w:val="46"/>
        <w:rPr>
          <w:rFonts w:ascii="Arial" w:hAnsi="Arial" w:cs="Arial"/>
          <w:szCs w:val="22"/>
        </w:rPr>
      </w:pPr>
      <w:r w:rsidRPr="0030358C">
        <w:rPr>
          <w:rFonts w:ascii="Arial" w:hAnsi="Arial" w:cs="Arial"/>
          <w:szCs w:val="22"/>
        </w:rPr>
        <w:t>4.    Aplikace nátěrových hmot</w:t>
      </w:r>
    </w:p>
    <w:p w14:paraId="53DA3429" w14:textId="77777777" w:rsidR="00A77B3E" w:rsidRPr="0030358C" w:rsidRDefault="00000000">
      <w:pPr>
        <w:pStyle w:val="54"/>
        <w:rPr>
          <w:rFonts w:ascii="Arial" w:hAnsi="Arial" w:cs="Arial"/>
          <w:sz w:val="22"/>
          <w:szCs w:val="22"/>
        </w:rPr>
      </w:pPr>
      <w:r w:rsidRPr="0030358C">
        <w:rPr>
          <w:rFonts w:ascii="Arial" w:hAnsi="Arial" w:cs="Arial"/>
          <w:sz w:val="22"/>
          <w:szCs w:val="22"/>
        </w:rPr>
        <w:t xml:space="preserve">U činností v podbodech 4.1. až 4.7. (kód 9.8. - 9.14. </w:t>
      </w:r>
      <w:hyperlink w:history="1">
        <w:r w:rsidR="00A77B3E" w:rsidRPr="0030358C">
          <w:rPr>
            <w:rFonts w:ascii="Arial" w:hAnsi="Arial" w:cs="Arial"/>
            <w:sz w:val="22"/>
            <w:szCs w:val="22"/>
          </w:rPr>
          <w:t>přílohy č. 2</w:t>
        </w:r>
      </w:hyperlink>
      <w:r w:rsidRPr="0030358C">
        <w:rPr>
          <w:rFonts w:ascii="Arial" w:hAnsi="Arial" w:cs="Arial"/>
          <w:sz w:val="22"/>
          <w:szCs w:val="22"/>
        </w:rPr>
        <w:t xml:space="preserve"> k </w:t>
      </w:r>
      <w:hyperlink w:history="1">
        <w:r w:rsidR="00A77B3E" w:rsidRPr="0030358C">
          <w:rPr>
            <w:rFonts w:ascii="Arial" w:hAnsi="Arial" w:cs="Arial"/>
            <w:sz w:val="22"/>
            <w:szCs w:val="22"/>
          </w:rPr>
          <w:t>zákonu</w:t>
        </w:r>
      </w:hyperlink>
      <w:r w:rsidRPr="0030358C">
        <w:rPr>
          <w:rFonts w:ascii="Arial" w:hAnsi="Arial" w:cs="Arial"/>
          <w:sz w:val="22"/>
          <w:szCs w:val="22"/>
        </w:rPr>
        <w:t>) a v podbodu 4.8. se aplikací nátěrových hmot rozumí jakákoliv činnost zahrnující jednoduchou nebo vícenásobnou aplikaci spojitého filmu nátěrových hmot na různé typy povrchů včetně souvisejících procesů vytěkání, sušení a vypalování.</w:t>
      </w:r>
    </w:p>
    <w:p w14:paraId="750FDC36" w14:textId="77777777" w:rsidR="00A77B3E" w:rsidRPr="0030358C" w:rsidRDefault="00000000">
      <w:pPr>
        <w:pStyle w:val="55"/>
        <w:rPr>
          <w:rFonts w:ascii="Arial" w:hAnsi="Arial" w:cs="Arial"/>
          <w:sz w:val="22"/>
          <w:szCs w:val="22"/>
        </w:rPr>
      </w:pPr>
      <w:r w:rsidRPr="0030358C">
        <w:rPr>
          <w:rFonts w:ascii="Arial" w:hAnsi="Arial" w:cs="Arial"/>
          <w:sz w:val="22"/>
          <w:szCs w:val="22"/>
        </w:rPr>
        <w:t>Pokud aplikace nátěrových hmot zahrnuje operaci, při které je tentýž výrobek potiskován jakoukoli tiskařskou technologií, je tato tiskařská operace považována za součást natírání. Samostatné tiskařské činnosti však do těchto činností zahrnuty nejsou.</w:t>
      </w:r>
    </w:p>
    <w:p w14:paraId="7C800337" w14:textId="77777777" w:rsidR="00A77B3E" w:rsidRPr="0030358C" w:rsidRDefault="00000000">
      <w:pPr>
        <w:pStyle w:val="56"/>
        <w:rPr>
          <w:rFonts w:ascii="Arial" w:hAnsi="Arial" w:cs="Arial"/>
          <w:sz w:val="22"/>
          <w:szCs w:val="22"/>
        </w:rPr>
      </w:pPr>
      <w:r w:rsidRPr="0030358C">
        <w:rPr>
          <w:rFonts w:ascii="Arial" w:hAnsi="Arial" w:cs="Arial"/>
          <w:sz w:val="22"/>
          <w:szCs w:val="22"/>
        </w:rPr>
        <w:t>Nátěrovou hmotou se rozumí jakákoliv směs, včetně transparentních laků a všech organických rozpouštědel nebo směsí obsahujících organická rozpouštědla nezbytných pro její správné použití, k vytváření filmu s dekorativním, ochranným nebo jiným funkčním účinkem na určitém povrchu.</w:t>
      </w:r>
    </w:p>
    <w:p w14:paraId="56086212" w14:textId="77777777" w:rsidR="008C781B" w:rsidRPr="0030358C" w:rsidRDefault="008C781B">
      <w:pPr>
        <w:pStyle w:val="62"/>
        <w:rPr>
          <w:rFonts w:ascii="Arial" w:hAnsi="Arial" w:cs="Arial"/>
          <w:strike/>
          <w:sz w:val="22"/>
          <w:szCs w:val="22"/>
        </w:rPr>
      </w:pPr>
    </w:p>
    <w:p w14:paraId="1AA72794" w14:textId="77777777" w:rsidR="008C781B" w:rsidRPr="0030358C" w:rsidRDefault="00000000" w:rsidP="008C781B">
      <w:pPr>
        <w:pStyle w:val="57"/>
        <w:rPr>
          <w:rFonts w:ascii="Arial" w:hAnsi="Arial" w:cs="Arial"/>
          <w:strike/>
          <w:szCs w:val="22"/>
        </w:rPr>
      </w:pPr>
      <w:r w:rsidRPr="0030358C">
        <w:rPr>
          <w:rFonts w:ascii="Arial" w:hAnsi="Arial" w:cs="Arial"/>
          <w:strike/>
          <w:szCs w:val="22"/>
        </w:rPr>
        <w:t>4.1.    Aplikace nátěrových hmot, včetně kataforetického nanášení, nespadají-li pod činnosti uvedené v podbodech 4.2. až 4.8., s celkovou projektovanou spotřebou organických rozpouštědel 0,6 t za rok nebo větší</w:t>
      </w:r>
    </w:p>
    <w:p w14:paraId="19A626D8" w14:textId="77777777" w:rsidR="008C781B" w:rsidRPr="0030358C" w:rsidRDefault="008C781B" w:rsidP="008C781B">
      <w:pPr>
        <w:pStyle w:val="59"/>
        <w:rPr>
          <w:rFonts w:ascii="Arial" w:hAnsi="Arial" w:cs="Arial"/>
          <w:strike/>
          <w:sz w:val="22"/>
          <w:szCs w:val="22"/>
        </w:rPr>
        <w:sectPr w:rsidR="008C781B" w:rsidRPr="0030358C" w:rsidSect="00D804A3">
          <w:type w:val="continuous"/>
          <w:pgSz w:w="11906" w:h="16838" w:code="9"/>
          <w:pgMar w:top="1417" w:right="1417" w:bottom="1417" w:left="1417" w:header="708" w:footer="708" w:gutter="0"/>
          <w:cols w:space="708"/>
          <w:docGrid w:linePitch="360"/>
        </w:sectPr>
      </w:pPr>
    </w:p>
    <w:tbl>
      <w:tblPr>
        <w:tblStyle w:val="data-tisk-na-sirku"/>
        <w:tblW w:w="943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2674"/>
        <w:gridCol w:w="3162"/>
        <w:gridCol w:w="1273"/>
        <w:gridCol w:w="1331"/>
        <w:gridCol w:w="997"/>
      </w:tblGrid>
      <w:tr w:rsidR="00E40657" w14:paraId="079BE750" w14:textId="77777777" w:rsidTr="008C781B">
        <w:trPr>
          <w:trHeight w:val="366"/>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62CEA4A" w14:textId="77777777" w:rsidR="008C781B" w:rsidRPr="0030358C" w:rsidRDefault="00000000" w:rsidP="007E08F9">
            <w:pPr>
              <w:pStyle w:val="59"/>
              <w:overflowPunct w:val="0"/>
              <w:ind w:left="0"/>
              <w:jc w:val="center"/>
              <w:rPr>
                <w:rFonts w:ascii="Arial" w:hAnsi="Arial" w:cs="Arial"/>
                <w:b/>
                <w:bCs/>
                <w:strike/>
                <w:sz w:val="22"/>
                <w:szCs w:val="22"/>
              </w:rPr>
            </w:pPr>
            <w:r w:rsidRPr="0030358C">
              <w:rPr>
                <w:rFonts w:ascii="Arial" w:hAnsi="Arial" w:cs="Arial"/>
                <w:b/>
                <w:bCs/>
                <w:strike/>
                <w:sz w:val="22"/>
                <w:szCs w:val="22"/>
              </w:rPr>
              <w:t>Činnost</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424C6BD" w14:textId="77777777" w:rsidR="008C781B" w:rsidRPr="0030358C" w:rsidRDefault="00000000" w:rsidP="007E08F9">
            <w:pPr>
              <w:pStyle w:val="59"/>
              <w:overflowPunct w:val="0"/>
              <w:ind w:left="0"/>
              <w:jc w:val="center"/>
              <w:rPr>
                <w:rFonts w:ascii="Arial" w:hAnsi="Arial" w:cs="Arial"/>
                <w:b/>
                <w:bCs/>
                <w:strike/>
                <w:sz w:val="22"/>
                <w:szCs w:val="22"/>
              </w:rPr>
            </w:pPr>
            <w:r w:rsidRPr="0030358C">
              <w:rPr>
                <w:rFonts w:ascii="Arial" w:hAnsi="Arial" w:cs="Arial"/>
                <w:b/>
                <w:bCs/>
                <w:strike/>
                <w:sz w:val="22"/>
                <w:szCs w:val="22"/>
              </w:rPr>
              <w:t>Celková projektovaná spotřeba organických rozpouštědel</w:t>
            </w:r>
            <w:r w:rsidRPr="0030358C">
              <w:rPr>
                <w:rFonts w:ascii="Arial" w:hAnsi="Arial" w:cs="Arial"/>
                <w:b/>
                <w:bCs/>
                <w:strike/>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1E920CC" w14:textId="77777777" w:rsidR="008C781B" w:rsidRPr="0030358C" w:rsidRDefault="00000000" w:rsidP="007E08F9">
            <w:pPr>
              <w:pStyle w:val="59"/>
              <w:overflowPunct w:val="0"/>
              <w:ind w:left="0"/>
              <w:jc w:val="center"/>
              <w:rPr>
                <w:rFonts w:ascii="Arial" w:hAnsi="Arial" w:cs="Arial"/>
                <w:b/>
                <w:bCs/>
                <w:strike/>
                <w:sz w:val="22"/>
                <w:szCs w:val="22"/>
              </w:rPr>
            </w:pPr>
            <w:r w:rsidRPr="0030358C">
              <w:rPr>
                <w:rFonts w:ascii="Arial" w:hAnsi="Arial" w:cs="Arial"/>
                <w:b/>
                <w:bCs/>
                <w:strike/>
                <w:sz w:val="22"/>
                <w:szCs w:val="22"/>
              </w:rPr>
              <w:t>Emisní limit</w:t>
            </w:r>
          </w:p>
        </w:tc>
      </w:tr>
      <w:tr w:rsidR="00E40657" w14:paraId="2308B2B2" w14:textId="77777777" w:rsidTr="008C781B">
        <w:trPr>
          <w:trHeight w:val="125"/>
        </w:trPr>
        <w:tc>
          <w:tcPr>
            <w:tcW w:w="0" w:type="auto"/>
            <w:vMerge/>
            <w:tcBorders>
              <w:left w:val="single" w:sz="12" w:space="0" w:color="000000"/>
              <w:bottom w:val="single" w:sz="12" w:space="0" w:color="000000"/>
              <w:right w:val="single" w:sz="12" w:space="0" w:color="000000"/>
            </w:tcBorders>
            <w:vAlign w:val="center"/>
            <w:hideMark/>
          </w:tcPr>
          <w:p w14:paraId="03059A32" w14:textId="77777777" w:rsidR="008C781B" w:rsidRPr="0030358C" w:rsidRDefault="008C781B" w:rsidP="007E08F9">
            <w:pPr>
              <w:overflowPunct w:val="0"/>
              <w:rPr>
                <w:rFonts w:ascii="Arial" w:hAnsi="Arial" w:cs="Arial"/>
                <w:b/>
                <w:bCs/>
                <w:strike/>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08F91123" w14:textId="77777777" w:rsidR="008C781B" w:rsidRPr="0030358C" w:rsidRDefault="008C781B" w:rsidP="007E08F9">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6131C32" w14:textId="77777777" w:rsidR="008C781B" w:rsidRPr="0030358C" w:rsidRDefault="00000000" w:rsidP="007E08F9">
            <w:pPr>
              <w:pStyle w:val="59"/>
              <w:overflowPunct w:val="0"/>
              <w:ind w:left="0"/>
              <w:jc w:val="center"/>
              <w:rPr>
                <w:rFonts w:ascii="Arial" w:hAnsi="Arial" w:cs="Arial"/>
                <w:b/>
                <w:bCs/>
                <w:strike/>
                <w:sz w:val="22"/>
                <w:szCs w:val="22"/>
              </w:rPr>
            </w:pPr>
            <w:r w:rsidRPr="0030358C">
              <w:rPr>
                <w:rFonts w:ascii="Arial" w:hAnsi="Arial" w:cs="Arial"/>
                <w:b/>
                <w:bCs/>
                <w:strike/>
                <w:sz w:val="22"/>
                <w:szCs w:val="22"/>
              </w:rPr>
              <w:t>TOC</w:t>
            </w:r>
            <w:r w:rsidRPr="0030358C">
              <w:rPr>
                <w:rFonts w:ascii="Arial" w:hAnsi="Arial" w:cs="Arial"/>
                <w:b/>
                <w:bCs/>
                <w:strike/>
                <w:sz w:val="22"/>
                <w:szCs w:val="22"/>
                <w:vertAlign w:val="superscript"/>
              </w:rPr>
              <w:t xml:space="preserve">1),2) </w:t>
            </w:r>
            <w:r w:rsidRPr="0030358C">
              <w:rPr>
                <w:rFonts w:ascii="Arial" w:hAnsi="Arial" w:cs="Arial"/>
                <w:b/>
                <w:bCs/>
                <w:strike/>
                <w:sz w:val="22"/>
                <w:szCs w:val="22"/>
              </w:rPr>
              <w:t>[g/m</w:t>
            </w:r>
            <w:r w:rsidRPr="0030358C">
              <w:rPr>
                <w:rFonts w:ascii="Arial" w:hAnsi="Arial" w:cs="Arial"/>
                <w:b/>
                <w:bCs/>
                <w:strike/>
                <w:sz w:val="22"/>
                <w:szCs w:val="22"/>
                <w:vertAlign w:val="superscript"/>
              </w:rPr>
              <w:t>2</w:t>
            </w:r>
            <w:r w:rsidRPr="0030358C">
              <w:rPr>
                <w:rFonts w:ascii="Arial" w:hAnsi="Arial" w:cs="Arial"/>
                <w:b/>
                <w:bCs/>
                <w:strike/>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2D88A4" w14:textId="77777777" w:rsidR="008C781B" w:rsidRPr="0030358C" w:rsidRDefault="00000000" w:rsidP="007E08F9">
            <w:pPr>
              <w:pStyle w:val="59"/>
              <w:overflowPunct w:val="0"/>
              <w:ind w:left="0"/>
              <w:jc w:val="center"/>
              <w:rPr>
                <w:rFonts w:ascii="Arial" w:hAnsi="Arial" w:cs="Arial"/>
                <w:b/>
                <w:bCs/>
                <w:strike/>
                <w:sz w:val="22"/>
                <w:szCs w:val="22"/>
              </w:rPr>
            </w:pPr>
            <w:r w:rsidRPr="0030358C">
              <w:rPr>
                <w:rFonts w:ascii="Arial" w:hAnsi="Arial" w:cs="Arial"/>
                <w:b/>
                <w:bCs/>
                <w:strike/>
                <w:sz w:val="22"/>
                <w:szCs w:val="22"/>
              </w:rPr>
              <w:t>TOC</w:t>
            </w:r>
            <w:r w:rsidRPr="0030358C">
              <w:rPr>
                <w:rFonts w:ascii="Arial" w:hAnsi="Arial" w:cs="Arial"/>
                <w:b/>
                <w:bCs/>
                <w:strike/>
                <w:sz w:val="22"/>
                <w:szCs w:val="22"/>
                <w:vertAlign w:val="superscript"/>
              </w:rPr>
              <w:t>3)</w:t>
            </w:r>
            <w:r w:rsidRPr="0030358C">
              <w:rPr>
                <w:rFonts w:ascii="Arial" w:hAnsi="Arial" w:cs="Arial"/>
                <w:b/>
                <w:bCs/>
                <w:strike/>
                <w:sz w:val="22"/>
                <w:szCs w:val="22"/>
              </w:rPr>
              <w:t xml:space="preserve">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BDFC802" w14:textId="77777777" w:rsidR="008C781B" w:rsidRPr="0030358C" w:rsidRDefault="00000000" w:rsidP="007E08F9">
            <w:pPr>
              <w:pStyle w:val="59"/>
              <w:overflowPunct w:val="0"/>
              <w:ind w:left="0"/>
              <w:jc w:val="center"/>
              <w:rPr>
                <w:rFonts w:ascii="Arial" w:hAnsi="Arial" w:cs="Arial"/>
                <w:b/>
                <w:bCs/>
                <w:strike/>
                <w:sz w:val="22"/>
                <w:szCs w:val="22"/>
              </w:rPr>
            </w:pPr>
            <w:r w:rsidRPr="0030358C">
              <w:rPr>
                <w:rFonts w:ascii="Arial" w:hAnsi="Arial" w:cs="Arial"/>
                <w:b/>
                <w:bCs/>
                <w:strike/>
                <w:sz w:val="22"/>
                <w:szCs w:val="22"/>
              </w:rPr>
              <w:t>VOC</w:t>
            </w:r>
            <w:r w:rsidRPr="0030358C">
              <w:rPr>
                <w:rFonts w:ascii="Arial" w:hAnsi="Arial" w:cs="Arial"/>
                <w:b/>
                <w:bCs/>
                <w:strike/>
                <w:sz w:val="22"/>
                <w:szCs w:val="22"/>
                <w:vertAlign w:val="subscript"/>
              </w:rPr>
              <w:t xml:space="preserve">F </w:t>
            </w:r>
            <w:r w:rsidRPr="0030358C">
              <w:rPr>
                <w:rFonts w:ascii="Arial" w:hAnsi="Arial" w:cs="Arial"/>
                <w:b/>
                <w:bCs/>
                <w:strike/>
                <w:sz w:val="22"/>
                <w:szCs w:val="22"/>
              </w:rPr>
              <w:t>[%]</w:t>
            </w:r>
          </w:p>
        </w:tc>
      </w:tr>
      <w:tr w:rsidR="00E40657" w14:paraId="42B2CAF3" w14:textId="77777777" w:rsidTr="008C781B">
        <w:trPr>
          <w:trHeight w:val="366"/>
        </w:trPr>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1FBC1276" w14:textId="77777777" w:rsidR="008C781B" w:rsidRPr="0030358C" w:rsidRDefault="00000000" w:rsidP="007E08F9">
            <w:pPr>
              <w:pStyle w:val="59"/>
              <w:overflowPunct w:val="0"/>
              <w:ind w:left="0"/>
              <w:jc w:val="left"/>
              <w:rPr>
                <w:rFonts w:ascii="Arial" w:hAnsi="Arial" w:cs="Arial"/>
                <w:strike/>
                <w:sz w:val="22"/>
                <w:szCs w:val="22"/>
              </w:rPr>
            </w:pPr>
            <w:r w:rsidRPr="0030358C">
              <w:rPr>
                <w:rFonts w:ascii="Arial" w:hAnsi="Arial" w:cs="Arial"/>
                <w:strike/>
                <w:sz w:val="22"/>
                <w:szCs w:val="22"/>
              </w:rPr>
              <w:lastRenderedPageBreak/>
              <w:t>nanášení nátěrových hmot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1CEA66"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0,6 – 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9590101"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90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68854CF"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100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72A740C"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w:t>
            </w:r>
          </w:p>
        </w:tc>
      </w:tr>
      <w:tr w:rsidR="00E40657" w14:paraId="72E398B7" w14:textId="77777777" w:rsidTr="008C781B">
        <w:trPr>
          <w:trHeight w:val="125"/>
        </w:trPr>
        <w:tc>
          <w:tcPr>
            <w:tcW w:w="0" w:type="auto"/>
            <w:vMerge/>
            <w:tcBorders>
              <w:bottom w:val="single" w:sz="3" w:space="0" w:color="000000"/>
              <w:right w:val="single" w:sz="3" w:space="0" w:color="000000"/>
            </w:tcBorders>
            <w:vAlign w:val="center"/>
            <w:hideMark/>
          </w:tcPr>
          <w:p w14:paraId="602096E7" w14:textId="77777777" w:rsidR="008C781B" w:rsidRPr="0030358C" w:rsidRDefault="008C781B" w:rsidP="007E08F9">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D4A18D2"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&gt; 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A7289F"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60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DCE5106"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F07375C"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20</w:t>
            </w:r>
          </w:p>
        </w:tc>
      </w:tr>
      <w:tr w:rsidR="00E40657" w14:paraId="5D73615B" w14:textId="77777777" w:rsidTr="008C781B">
        <w:trPr>
          <w:trHeight w:val="549"/>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20668B96" w14:textId="77777777" w:rsidR="008C781B" w:rsidRPr="0030358C" w:rsidRDefault="00000000" w:rsidP="007E08F9">
            <w:pPr>
              <w:pStyle w:val="59"/>
              <w:overflowPunct w:val="0"/>
              <w:ind w:left="0"/>
              <w:jc w:val="left"/>
              <w:rPr>
                <w:rFonts w:ascii="Arial" w:hAnsi="Arial" w:cs="Arial"/>
                <w:strike/>
                <w:sz w:val="22"/>
                <w:szCs w:val="22"/>
              </w:rPr>
            </w:pPr>
            <w:r w:rsidRPr="0030358C">
              <w:rPr>
                <w:rFonts w:ascii="Arial" w:hAnsi="Arial" w:cs="Arial"/>
                <w:strike/>
                <w:sz w:val="22"/>
                <w:szCs w:val="22"/>
              </w:rPr>
              <w:t>nanášení nátěrových hmot – hromadné či kontinuální</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905AA93"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&gt; 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96D7BE8"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45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8373717"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50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94955F6" w14:textId="77777777" w:rsidR="008C781B" w:rsidRPr="0030358C" w:rsidRDefault="00000000" w:rsidP="007E08F9">
            <w:pPr>
              <w:pStyle w:val="59"/>
              <w:overflowPunct w:val="0"/>
              <w:ind w:left="0"/>
              <w:jc w:val="center"/>
              <w:rPr>
                <w:rFonts w:ascii="Arial" w:hAnsi="Arial" w:cs="Arial"/>
                <w:strike/>
                <w:sz w:val="22"/>
                <w:szCs w:val="22"/>
              </w:rPr>
            </w:pPr>
            <w:r w:rsidRPr="0030358C">
              <w:rPr>
                <w:rFonts w:ascii="Arial" w:hAnsi="Arial" w:cs="Arial"/>
                <w:strike/>
                <w:sz w:val="22"/>
                <w:szCs w:val="22"/>
              </w:rPr>
              <w:t>20</w:t>
            </w:r>
          </w:p>
        </w:tc>
      </w:tr>
    </w:tbl>
    <w:p w14:paraId="2E6AD998" w14:textId="77777777" w:rsidR="008C781B" w:rsidRPr="0030358C" w:rsidRDefault="008C781B" w:rsidP="008C781B">
      <w:pPr>
        <w:pStyle w:val="59"/>
        <w:rPr>
          <w:rFonts w:ascii="Arial" w:hAnsi="Arial" w:cs="Arial"/>
          <w:strike/>
          <w:sz w:val="22"/>
          <w:szCs w:val="22"/>
        </w:rPr>
      </w:pPr>
    </w:p>
    <w:p w14:paraId="542A6785" w14:textId="77777777" w:rsidR="008C781B" w:rsidRPr="0030358C" w:rsidRDefault="008C781B" w:rsidP="008C781B">
      <w:pPr>
        <w:pStyle w:val="60"/>
        <w:rPr>
          <w:rFonts w:ascii="Arial" w:hAnsi="Arial" w:cs="Arial"/>
          <w:strike/>
          <w:sz w:val="22"/>
          <w:szCs w:val="22"/>
        </w:rPr>
        <w:sectPr w:rsidR="008C781B" w:rsidRPr="0030358C" w:rsidSect="00D804A3">
          <w:type w:val="continuous"/>
          <w:pgSz w:w="11906" w:h="16838" w:code="9"/>
          <w:pgMar w:top="1417" w:right="1417" w:bottom="1417" w:left="1417" w:header="708" w:footer="708" w:gutter="0"/>
          <w:cols w:space="708"/>
          <w:docGrid w:linePitch="360"/>
        </w:sectPr>
      </w:pPr>
    </w:p>
    <w:p w14:paraId="79D24835" w14:textId="77777777" w:rsidR="008C781B" w:rsidRPr="0030358C" w:rsidRDefault="00000000" w:rsidP="008C781B">
      <w:pPr>
        <w:pStyle w:val="60"/>
        <w:rPr>
          <w:rFonts w:ascii="Arial" w:hAnsi="Arial" w:cs="Arial"/>
          <w:strike/>
          <w:sz w:val="22"/>
          <w:szCs w:val="22"/>
        </w:rPr>
      </w:pPr>
      <w:r w:rsidRPr="0030358C">
        <w:rPr>
          <w:rFonts w:ascii="Arial" w:hAnsi="Arial" w:cs="Arial"/>
          <w:strike/>
          <w:sz w:val="22"/>
          <w:szCs w:val="22"/>
        </w:rPr>
        <w:t>Vysvětlivky:</w:t>
      </w:r>
    </w:p>
    <w:p w14:paraId="132912DE" w14:textId="77777777" w:rsidR="008C781B" w:rsidRPr="0030358C" w:rsidRDefault="00000000" w:rsidP="008C781B">
      <w:pPr>
        <w:pStyle w:val="61"/>
        <w:rPr>
          <w:rFonts w:ascii="Arial" w:hAnsi="Arial" w:cs="Arial"/>
          <w:strike/>
          <w:sz w:val="22"/>
          <w:szCs w:val="22"/>
        </w:rPr>
      </w:pPr>
      <w:r w:rsidRPr="0030358C">
        <w:rPr>
          <w:rFonts w:ascii="Arial" w:hAnsi="Arial" w:cs="Arial"/>
          <w:strike/>
          <w:sz w:val="22"/>
          <w:szCs w:val="22"/>
        </w:rPr>
        <w:t>1)    Podíl hmotnosti emisí těkavých organických látek vyjádřených jako TOC a celkové velikosti plochy finálního výrobku opatřeného nátěrem bez ohledu na počet aplikovaných nátěrů.</w:t>
      </w:r>
    </w:p>
    <w:p w14:paraId="29C57AA2" w14:textId="77777777" w:rsidR="008C781B" w:rsidRPr="0030358C" w:rsidRDefault="00000000" w:rsidP="008C781B">
      <w:pPr>
        <w:pStyle w:val="61"/>
        <w:rPr>
          <w:rFonts w:ascii="Arial" w:hAnsi="Arial" w:cs="Arial"/>
          <w:strike/>
          <w:sz w:val="22"/>
          <w:szCs w:val="22"/>
        </w:rPr>
      </w:pPr>
      <w:r w:rsidRPr="0030358C">
        <w:rPr>
          <w:rFonts w:ascii="Arial" w:hAnsi="Arial" w:cs="Arial"/>
          <w:strike/>
          <w:sz w:val="22"/>
          <w:szCs w:val="22"/>
        </w:rPr>
        <w:t>2)    Nelze-li technicky a ekonomicky dosáhnout stanovené hodnoty emisního limitu v g/m</w:t>
      </w:r>
      <w:r w:rsidRPr="0030358C">
        <w:rPr>
          <w:rFonts w:ascii="Arial" w:hAnsi="Arial" w:cs="Arial"/>
          <w:strike/>
          <w:sz w:val="22"/>
          <w:szCs w:val="22"/>
          <w:vertAlign w:val="superscript"/>
        </w:rPr>
        <w:t>2</w:t>
      </w:r>
      <w:r w:rsidRPr="0030358C">
        <w:rPr>
          <w:rFonts w:ascii="Arial" w:hAnsi="Arial" w:cs="Arial"/>
          <w:strike/>
          <w:sz w:val="22"/>
          <w:szCs w:val="22"/>
        </w:rPr>
        <w:t>, nebo pokud technicky nelze stanovit velikost upravovaného povrchu, nesmí být překročen emisní limit TOC 50 mg/m</w:t>
      </w:r>
      <w:r w:rsidRPr="0030358C">
        <w:rPr>
          <w:rFonts w:ascii="Arial" w:hAnsi="Arial" w:cs="Arial"/>
          <w:strike/>
          <w:sz w:val="22"/>
          <w:szCs w:val="22"/>
          <w:vertAlign w:val="superscript"/>
        </w:rPr>
        <w:t>3</w:t>
      </w:r>
      <w:r w:rsidRPr="0030358C">
        <w:rPr>
          <w:rFonts w:ascii="Arial" w:hAnsi="Arial" w:cs="Arial"/>
          <w:strike/>
          <w:sz w:val="22"/>
          <w:szCs w:val="22"/>
        </w:rPr>
        <w:t xml:space="preserve"> v žádném z výduchů pro odpadní plyn z jednotlivých prostorů - nanášení, vytěkání, sušení, vypalování.</w:t>
      </w:r>
    </w:p>
    <w:p w14:paraId="17FE643B" w14:textId="77777777" w:rsidR="008C781B" w:rsidRPr="0030358C" w:rsidRDefault="00000000" w:rsidP="008C781B">
      <w:pPr>
        <w:pStyle w:val="62"/>
        <w:rPr>
          <w:rFonts w:ascii="Arial" w:hAnsi="Arial" w:cs="Arial"/>
          <w:strike/>
          <w:sz w:val="22"/>
          <w:szCs w:val="22"/>
        </w:rPr>
      </w:pPr>
      <w:r w:rsidRPr="0030358C">
        <w:rPr>
          <w:rFonts w:ascii="Arial" w:hAnsi="Arial" w:cs="Arial"/>
          <w:strike/>
          <w:sz w:val="22"/>
          <w:szCs w:val="22"/>
        </w:rPr>
        <w:t>3)    Od 1. 1. 2020 platí emisní limit TOC v mg/m</w:t>
      </w:r>
      <w:r w:rsidRPr="0030358C">
        <w:rPr>
          <w:rFonts w:ascii="Arial" w:hAnsi="Arial" w:cs="Arial"/>
          <w:strike/>
          <w:sz w:val="22"/>
          <w:szCs w:val="22"/>
          <w:vertAlign w:val="superscript"/>
        </w:rPr>
        <w:t>3</w:t>
      </w:r>
      <w:r w:rsidRPr="0030358C">
        <w:rPr>
          <w:rFonts w:ascii="Arial" w:hAnsi="Arial" w:cs="Arial"/>
          <w:strike/>
          <w:sz w:val="22"/>
          <w:szCs w:val="22"/>
        </w:rPr>
        <w:t xml:space="preserve"> pro všechny výduchy z jednotlivých prostorů – nanášení, vytěkání, sušení, vypalování – a emisní limit vyjádřený v g/m</w:t>
      </w:r>
      <w:r w:rsidRPr="0030358C">
        <w:rPr>
          <w:rFonts w:ascii="Arial" w:hAnsi="Arial" w:cs="Arial"/>
          <w:strike/>
          <w:sz w:val="22"/>
          <w:szCs w:val="22"/>
          <w:vertAlign w:val="superscript"/>
        </w:rPr>
        <w:t>2</w:t>
      </w:r>
      <w:r w:rsidRPr="0030358C">
        <w:rPr>
          <w:rFonts w:ascii="Arial" w:hAnsi="Arial" w:cs="Arial"/>
          <w:strike/>
          <w:sz w:val="22"/>
          <w:szCs w:val="22"/>
        </w:rPr>
        <w:t xml:space="preserve"> se nadále neuplatňuje.</w:t>
      </w:r>
    </w:p>
    <w:p w14:paraId="1557FAEF" w14:textId="77777777" w:rsidR="008C781B" w:rsidRPr="0030358C" w:rsidRDefault="008C781B">
      <w:pPr>
        <w:pStyle w:val="62"/>
        <w:rPr>
          <w:rFonts w:ascii="Arial" w:hAnsi="Arial" w:cs="Arial"/>
          <w:strike/>
          <w:sz w:val="22"/>
          <w:szCs w:val="22"/>
        </w:rPr>
      </w:pPr>
    </w:p>
    <w:p w14:paraId="6B4271F2" w14:textId="77777777" w:rsidR="00D33352" w:rsidRPr="0030358C" w:rsidRDefault="00D33352">
      <w:pPr>
        <w:pStyle w:val="62"/>
        <w:rPr>
          <w:rFonts w:ascii="Arial" w:hAnsi="Arial" w:cs="Arial"/>
          <w:sz w:val="22"/>
          <w:szCs w:val="22"/>
        </w:rPr>
      </w:pPr>
    </w:p>
    <w:p w14:paraId="6F1A49EC" w14:textId="77777777" w:rsidR="00D33352" w:rsidRPr="0030358C" w:rsidRDefault="00000000" w:rsidP="00D33352">
      <w:pPr>
        <w:pStyle w:val="57"/>
        <w:rPr>
          <w:rFonts w:ascii="Arial" w:hAnsi="Arial" w:cs="Arial"/>
          <w:b/>
          <w:bCs/>
          <w:szCs w:val="22"/>
        </w:rPr>
      </w:pPr>
      <w:bookmarkStart w:id="55" w:name="_Hlk181371330"/>
      <w:r w:rsidRPr="0030358C">
        <w:rPr>
          <w:rFonts w:ascii="Arial" w:hAnsi="Arial" w:cs="Arial"/>
          <w:b/>
          <w:bCs/>
          <w:szCs w:val="22"/>
        </w:rPr>
        <w:t>4.1.    Aplikace nátěrových hmot, včetně kataforetického nanášení, nespadají-li pod činnosti uvedené v podbodech 4.2. až 4.8., s celkovou projektovanou spotřebou organických rozpouštědel 0,6 t za rok nebo větší</w:t>
      </w:r>
    </w:p>
    <w:p w14:paraId="5E92CA0F" w14:textId="77777777" w:rsidR="00D33352" w:rsidRPr="0030358C" w:rsidRDefault="00D33352" w:rsidP="00D33352">
      <w:pPr>
        <w:pStyle w:val="59"/>
        <w:rPr>
          <w:rFonts w:ascii="Arial" w:hAnsi="Arial" w:cs="Arial"/>
          <w:b/>
          <w:bCs/>
          <w:sz w:val="22"/>
          <w:szCs w:val="22"/>
        </w:rPr>
        <w:sectPr w:rsidR="00D33352" w:rsidRPr="0030358C" w:rsidSect="00D804A3">
          <w:type w:val="continuous"/>
          <w:pgSz w:w="11906" w:h="16838" w:code="9"/>
          <w:pgMar w:top="1417" w:right="1417" w:bottom="1417" w:left="1417" w:header="708" w:footer="708" w:gutter="0"/>
          <w:cols w:space="708"/>
          <w:docGrid w:linePitch="360"/>
        </w:sectPr>
      </w:pPr>
    </w:p>
    <w:tbl>
      <w:tblPr>
        <w:tblStyle w:val="data-tisk-na-sirku"/>
        <w:tblW w:w="9228"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2372"/>
        <w:gridCol w:w="4281"/>
        <w:gridCol w:w="1487"/>
        <w:gridCol w:w="1088"/>
      </w:tblGrid>
      <w:tr w:rsidR="00E40657" w14:paraId="30432655" w14:textId="77777777" w:rsidTr="001E105C">
        <w:trPr>
          <w:trHeight w:val="429"/>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05E8DDF"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Činnost</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0675777C"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37590DC"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0E355BD4" w14:textId="77777777" w:rsidTr="002E3637">
        <w:trPr>
          <w:trHeight w:val="147"/>
        </w:trPr>
        <w:tc>
          <w:tcPr>
            <w:tcW w:w="0" w:type="auto"/>
            <w:vMerge/>
            <w:tcBorders>
              <w:left w:val="single" w:sz="12" w:space="0" w:color="000000"/>
              <w:bottom w:val="single" w:sz="12" w:space="0" w:color="000000"/>
              <w:right w:val="single" w:sz="12" w:space="0" w:color="000000"/>
            </w:tcBorders>
            <w:vAlign w:val="center"/>
            <w:hideMark/>
          </w:tcPr>
          <w:p w14:paraId="1B225FA0" w14:textId="77777777" w:rsidR="00D33352" w:rsidRPr="0030358C" w:rsidRDefault="00D33352" w:rsidP="001E105C">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10BB4150" w14:textId="77777777" w:rsidR="00D33352" w:rsidRPr="0030358C" w:rsidRDefault="00D33352" w:rsidP="001E105C">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tcPr>
          <w:p w14:paraId="7AC558C6"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TOC</w:t>
            </w:r>
            <w:r w:rsidRPr="0030358C">
              <w:rPr>
                <w:rFonts w:ascii="Arial" w:hAnsi="Arial" w:cs="Arial"/>
                <w:b/>
                <w:bCs/>
                <w:sz w:val="22"/>
                <w:szCs w:val="22"/>
                <w:vertAlign w:val="superscript"/>
              </w:rPr>
              <w:t>1)</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FEBA567"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2FDD4990" w14:textId="77777777" w:rsidTr="00324BE3">
        <w:trPr>
          <w:trHeight w:val="429"/>
        </w:trPr>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30108DC9" w14:textId="77777777" w:rsidR="00D33352" w:rsidRPr="0030358C" w:rsidRDefault="00000000" w:rsidP="001E105C">
            <w:pPr>
              <w:pStyle w:val="59"/>
              <w:overflowPunct w:val="0"/>
              <w:ind w:left="0"/>
              <w:jc w:val="left"/>
              <w:rPr>
                <w:rFonts w:ascii="Arial" w:hAnsi="Arial" w:cs="Arial"/>
                <w:b/>
                <w:bCs/>
                <w:sz w:val="22"/>
                <w:szCs w:val="22"/>
              </w:rPr>
            </w:pPr>
            <w:r w:rsidRPr="0030358C">
              <w:rPr>
                <w:rFonts w:ascii="Arial" w:hAnsi="Arial" w:cs="Arial"/>
                <w:b/>
                <w:bCs/>
                <w:sz w:val="22"/>
                <w:szCs w:val="22"/>
              </w:rPr>
              <w:t>nanášení nátěrových hmot</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61C3396"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0,6 – 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tcPr>
          <w:p w14:paraId="02F3B3A0"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100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A3EA218"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w:t>
            </w:r>
          </w:p>
        </w:tc>
      </w:tr>
      <w:tr w:rsidR="00E40657" w14:paraId="2C918B4A" w14:textId="77777777" w:rsidTr="00D62F03">
        <w:trPr>
          <w:trHeight w:val="147"/>
        </w:trPr>
        <w:tc>
          <w:tcPr>
            <w:tcW w:w="0" w:type="auto"/>
            <w:vMerge/>
            <w:tcBorders>
              <w:bottom w:val="single" w:sz="3" w:space="0" w:color="000000"/>
              <w:right w:val="single" w:sz="3" w:space="0" w:color="000000"/>
            </w:tcBorders>
            <w:vAlign w:val="center"/>
            <w:hideMark/>
          </w:tcPr>
          <w:p w14:paraId="575BF7CC" w14:textId="77777777" w:rsidR="00D33352" w:rsidRPr="0030358C" w:rsidRDefault="00D33352" w:rsidP="001E105C">
            <w:pPr>
              <w:overflowPunct w:val="0"/>
              <w:rPr>
                <w:rFonts w:ascii="Arial" w:hAnsi="Arial" w:cs="Arial"/>
                <w:b/>
                <w:bCs/>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3E28D1"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&gt; 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tcPr>
          <w:p w14:paraId="31B0E6B8"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A8FE002" w14:textId="77777777" w:rsidR="00D33352"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20</w:t>
            </w:r>
          </w:p>
        </w:tc>
      </w:tr>
    </w:tbl>
    <w:p w14:paraId="66995233" w14:textId="77777777" w:rsidR="00D33352" w:rsidRPr="0030358C" w:rsidRDefault="00D33352" w:rsidP="00D33352">
      <w:pPr>
        <w:pStyle w:val="59"/>
        <w:rPr>
          <w:rFonts w:ascii="Arial" w:hAnsi="Arial" w:cs="Arial"/>
          <w:b/>
          <w:bCs/>
          <w:sz w:val="22"/>
          <w:szCs w:val="22"/>
        </w:rPr>
      </w:pPr>
    </w:p>
    <w:p w14:paraId="22F350D6" w14:textId="77777777" w:rsidR="00D33352" w:rsidRPr="0030358C" w:rsidRDefault="00D33352" w:rsidP="00D33352">
      <w:pPr>
        <w:pStyle w:val="60"/>
        <w:rPr>
          <w:rFonts w:ascii="Arial" w:hAnsi="Arial" w:cs="Arial"/>
          <w:b/>
          <w:bCs/>
          <w:sz w:val="22"/>
          <w:szCs w:val="22"/>
        </w:rPr>
        <w:sectPr w:rsidR="00D33352" w:rsidRPr="0030358C" w:rsidSect="00D804A3">
          <w:type w:val="continuous"/>
          <w:pgSz w:w="11906" w:h="16838" w:code="9"/>
          <w:pgMar w:top="1417" w:right="1417" w:bottom="1417" w:left="1417" w:header="708" w:footer="708" w:gutter="0"/>
          <w:cols w:space="708"/>
          <w:docGrid w:linePitch="360"/>
        </w:sectPr>
      </w:pPr>
    </w:p>
    <w:p w14:paraId="6B70E134" w14:textId="77777777" w:rsidR="00D33352" w:rsidRPr="0030358C" w:rsidRDefault="00000000" w:rsidP="00D33352">
      <w:pPr>
        <w:pStyle w:val="60"/>
        <w:ind w:left="720"/>
        <w:rPr>
          <w:rFonts w:ascii="Arial" w:hAnsi="Arial" w:cs="Arial"/>
          <w:b/>
          <w:bCs/>
          <w:sz w:val="22"/>
          <w:szCs w:val="22"/>
        </w:rPr>
      </w:pPr>
      <w:r w:rsidRPr="0030358C">
        <w:rPr>
          <w:rFonts w:ascii="Arial" w:hAnsi="Arial" w:cs="Arial"/>
          <w:b/>
          <w:bCs/>
          <w:sz w:val="22"/>
          <w:szCs w:val="22"/>
        </w:rPr>
        <w:t>Vysvětlivky:</w:t>
      </w:r>
    </w:p>
    <w:p w14:paraId="647C8252" w14:textId="77777777" w:rsidR="00D33352" w:rsidRPr="0030358C" w:rsidRDefault="00000000" w:rsidP="00D33352">
      <w:pPr>
        <w:pStyle w:val="62"/>
        <w:ind w:left="720"/>
        <w:rPr>
          <w:rFonts w:ascii="Arial" w:hAnsi="Arial" w:cs="Arial"/>
          <w:b/>
          <w:bCs/>
          <w:sz w:val="22"/>
          <w:szCs w:val="22"/>
        </w:rPr>
      </w:pPr>
      <w:r w:rsidRPr="0030358C">
        <w:rPr>
          <w:rFonts w:ascii="Arial" w:hAnsi="Arial" w:cs="Arial"/>
          <w:b/>
          <w:bCs/>
          <w:sz w:val="22"/>
          <w:szCs w:val="22"/>
        </w:rPr>
        <w:t>1)    Emisní limit TOC platí pro všechny výduchy z jednotlivých prostorů – nanášení, vytěkání, sušení, vypalování.</w:t>
      </w:r>
    </w:p>
    <w:bookmarkEnd w:id="55"/>
    <w:p w14:paraId="17A07C80" w14:textId="77777777" w:rsidR="00D33352" w:rsidRPr="0030358C" w:rsidRDefault="00D33352">
      <w:pPr>
        <w:pStyle w:val="62"/>
        <w:rPr>
          <w:rFonts w:ascii="Arial" w:hAnsi="Arial" w:cs="Arial"/>
          <w:sz w:val="22"/>
          <w:szCs w:val="22"/>
        </w:rPr>
      </w:pPr>
    </w:p>
    <w:p w14:paraId="02D505E2" w14:textId="77777777" w:rsidR="00A77B3E" w:rsidRPr="0030358C" w:rsidRDefault="00000000">
      <w:pPr>
        <w:pStyle w:val="57"/>
        <w:rPr>
          <w:rFonts w:ascii="Arial" w:hAnsi="Arial" w:cs="Arial"/>
          <w:szCs w:val="22"/>
        </w:rPr>
      </w:pPr>
      <w:r w:rsidRPr="0030358C">
        <w:rPr>
          <w:rFonts w:ascii="Arial" w:hAnsi="Arial" w:cs="Arial"/>
          <w:szCs w:val="22"/>
        </w:rPr>
        <w:t>4.2.    Nátěry dřevěných povrchů s celkovou projektovanou spotřebou organických rozpouštědel 0,6 t za rok nebo větší</w:t>
      </w:r>
    </w:p>
    <w:p w14:paraId="414F583D"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98"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209"/>
        <w:gridCol w:w="1542"/>
        <w:gridCol w:w="1447"/>
      </w:tblGrid>
      <w:tr w:rsidR="00E40657" w14:paraId="0E0904CF" w14:textId="77777777" w:rsidTr="00166782">
        <w:trPr>
          <w:trHeight w:val="423"/>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BF8EB4A"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767392B"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0F0DF470" w14:textId="77777777" w:rsidTr="00166782">
        <w:trPr>
          <w:trHeight w:val="145"/>
        </w:trPr>
        <w:tc>
          <w:tcPr>
            <w:tcW w:w="0" w:type="auto"/>
            <w:vMerge/>
            <w:tcBorders>
              <w:left w:val="single" w:sz="12" w:space="0" w:color="000000"/>
              <w:bottom w:val="single" w:sz="12" w:space="0" w:color="000000"/>
              <w:right w:val="single" w:sz="12" w:space="0" w:color="000000"/>
            </w:tcBorders>
            <w:vAlign w:val="center"/>
            <w:hideMark/>
          </w:tcPr>
          <w:p w14:paraId="0B0A390B" w14:textId="77777777" w:rsidR="00A77B3E" w:rsidRPr="0030358C" w:rsidRDefault="00A77B3E">
            <w:pPr>
              <w:overflowPunct w:val="0"/>
              <w:rPr>
                <w:rFonts w:ascii="Arial" w:hAnsi="Arial" w:cs="Arial"/>
                <w:b/>
                <w:bCs/>
                <w:sz w:val="22"/>
                <w:szCs w:val="22"/>
              </w:rPr>
            </w:pPr>
          </w:p>
        </w:tc>
        <w:tc>
          <w:tcPr>
            <w:tcW w:w="1542"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23B052F"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447"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D4299AA"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5229AEE9" w14:textId="77777777" w:rsidTr="00166782">
        <w:trPr>
          <w:trHeight w:val="333"/>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56732D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0,6 – 5</w:t>
            </w:r>
          </w:p>
        </w:tc>
        <w:tc>
          <w:tcPr>
            <w:tcW w:w="1542"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3157CBB"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100</w:t>
            </w:r>
          </w:p>
        </w:tc>
        <w:tc>
          <w:tcPr>
            <w:tcW w:w="144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A5ECEA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w:t>
            </w:r>
          </w:p>
        </w:tc>
      </w:tr>
      <w:tr w:rsidR="00E40657" w14:paraId="041626F5" w14:textId="77777777" w:rsidTr="00166782">
        <w:trPr>
          <w:trHeight w:val="605"/>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42808D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lastRenderedPageBreak/>
              <w:t>&gt; 5 – 200</w:t>
            </w:r>
          </w:p>
        </w:tc>
        <w:tc>
          <w:tcPr>
            <w:tcW w:w="1542"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E91FE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r w:rsidRPr="0030358C">
              <w:rPr>
                <w:rFonts w:ascii="Arial" w:hAnsi="Arial" w:cs="Arial"/>
                <w:sz w:val="22"/>
                <w:szCs w:val="22"/>
                <w:vertAlign w:val="superscript"/>
              </w:rPr>
              <w:t>1)</w:t>
            </w:r>
            <w:r w:rsidRPr="0030358C">
              <w:rPr>
                <w:rFonts w:ascii="Arial" w:hAnsi="Arial" w:cs="Arial"/>
                <w:sz w:val="22"/>
                <w:szCs w:val="22"/>
              </w:rPr>
              <w:br/>
              <w:t>75</w:t>
            </w:r>
            <w:r w:rsidRPr="0030358C">
              <w:rPr>
                <w:rFonts w:ascii="Arial" w:hAnsi="Arial" w:cs="Arial"/>
                <w:sz w:val="22"/>
                <w:szCs w:val="22"/>
                <w:vertAlign w:val="superscript"/>
              </w:rPr>
              <w:t>2)</w:t>
            </w:r>
          </w:p>
        </w:tc>
        <w:tc>
          <w:tcPr>
            <w:tcW w:w="144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0792F3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20</w:t>
            </w:r>
          </w:p>
        </w:tc>
      </w:tr>
      <w:tr w:rsidR="00E40657" w14:paraId="0D45AED1" w14:textId="77777777" w:rsidTr="00166782">
        <w:trPr>
          <w:trHeight w:val="635"/>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0E138C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200</w:t>
            </w:r>
          </w:p>
        </w:tc>
        <w:tc>
          <w:tcPr>
            <w:tcW w:w="1542"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B4C17D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r w:rsidRPr="0030358C">
              <w:rPr>
                <w:rFonts w:ascii="Arial" w:hAnsi="Arial" w:cs="Arial"/>
                <w:sz w:val="22"/>
                <w:szCs w:val="22"/>
                <w:vertAlign w:val="superscript"/>
              </w:rPr>
              <w:t>1)</w:t>
            </w:r>
            <w:r w:rsidRPr="0030358C">
              <w:rPr>
                <w:rFonts w:ascii="Arial" w:hAnsi="Arial" w:cs="Arial"/>
                <w:sz w:val="22"/>
                <w:szCs w:val="22"/>
              </w:rPr>
              <w:br/>
              <w:t>75</w:t>
            </w:r>
            <w:r w:rsidRPr="0030358C">
              <w:rPr>
                <w:rFonts w:ascii="Arial" w:hAnsi="Arial" w:cs="Arial"/>
                <w:sz w:val="22"/>
                <w:szCs w:val="22"/>
                <w:vertAlign w:val="superscript"/>
              </w:rPr>
              <w:t>2)</w:t>
            </w:r>
          </w:p>
        </w:tc>
        <w:tc>
          <w:tcPr>
            <w:tcW w:w="1447"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13B5C02"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15</w:t>
            </w:r>
            <w:r w:rsidRPr="0030358C">
              <w:rPr>
                <w:rFonts w:ascii="Arial" w:hAnsi="Arial" w:cs="Arial"/>
                <w:strike/>
                <w:sz w:val="22"/>
                <w:szCs w:val="22"/>
                <w:vertAlign w:val="superscript"/>
              </w:rPr>
              <w:t>3)</w:t>
            </w:r>
          </w:p>
        </w:tc>
      </w:tr>
    </w:tbl>
    <w:p w14:paraId="45504597" w14:textId="77777777" w:rsidR="00A77B3E" w:rsidRPr="0030358C" w:rsidRDefault="00A77B3E">
      <w:pPr>
        <w:pStyle w:val="59"/>
        <w:rPr>
          <w:rFonts w:ascii="Arial" w:hAnsi="Arial" w:cs="Arial"/>
          <w:sz w:val="22"/>
          <w:szCs w:val="22"/>
        </w:rPr>
      </w:pPr>
    </w:p>
    <w:p w14:paraId="338A9E81" w14:textId="77777777" w:rsidR="00A77B3E" w:rsidRPr="0030358C" w:rsidRDefault="00A77B3E">
      <w:pPr>
        <w:pStyle w:val="60"/>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67EF7CDF"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Vysvětlivky:</w:t>
      </w:r>
    </w:p>
    <w:p w14:paraId="69967830" w14:textId="77777777" w:rsidR="00A77B3E" w:rsidRPr="0030358C" w:rsidRDefault="00000000">
      <w:pPr>
        <w:pStyle w:val="61"/>
        <w:rPr>
          <w:rFonts w:ascii="Arial" w:hAnsi="Arial" w:cs="Arial"/>
          <w:sz w:val="22"/>
          <w:szCs w:val="22"/>
        </w:rPr>
      </w:pPr>
      <w:r w:rsidRPr="0030358C">
        <w:rPr>
          <w:rFonts w:ascii="Arial" w:hAnsi="Arial" w:cs="Arial"/>
          <w:sz w:val="22"/>
          <w:szCs w:val="22"/>
        </w:rPr>
        <w:t>1)    Platí pro sušící procesy.</w:t>
      </w:r>
    </w:p>
    <w:p w14:paraId="4C8DA8F8" w14:textId="77777777" w:rsidR="00A77B3E" w:rsidRPr="0030358C" w:rsidRDefault="00000000">
      <w:pPr>
        <w:pStyle w:val="61"/>
        <w:rPr>
          <w:rFonts w:ascii="Arial" w:hAnsi="Arial" w:cs="Arial"/>
          <w:sz w:val="22"/>
          <w:szCs w:val="22"/>
        </w:rPr>
      </w:pPr>
      <w:r w:rsidRPr="0030358C">
        <w:rPr>
          <w:rFonts w:ascii="Arial" w:hAnsi="Arial" w:cs="Arial"/>
          <w:sz w:val="22"/>
          <w:szCs w:val="22"/>
        </w:rPr>
        <w:t>2)    Platí pro proces nanášení nátěrových hmot.</w:t>
      </w:r>
    </w:p>
    <w:p w14:paraId="719822A2"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3)    Platí od 1. ledna 2019.</w:t>
      </w:r>
    </w:p>
    <w:p w14:paraId="74759A4F" w14:textId="77777777" w:rsidR="00A77B3E" w:rsidRPr="0030358C" w:rsidRDefault="00000000">
      <w:pPr>
        <w:pStyle w:val="57"/>
        <w:rPr>
          <w:rFonts w:ascii="Arial" w:hAnsi="Arial" w:cs="Arial"/>
          <w:szCs w:val="22"/>
        </w:rPr>
      </w:pPr>
      <w:r w:rsidRPr="0030358C">
        <w:rPr>
          <w:rFonts w:ascii="Arial" w:hAnsi="Arial" w:cs="Arial"/>
          <w:szCs w:val="22"/>
        </w:rPr>
        <w:t>4.3.    Přestříkávání vozidel – opravárenství s celkovou projektovanou spotřebou organických rozpouštědel 0,5 t za rok nebo větší a nátěry při výrobě nových silničních a kolejových vozidel s celkovou projektovanou spotřebou organických rozpouštědel menší než 15 t za rok</w:t>
      </w:r>
    </w:p>
    <w:p w14:paraId="5EADB378" w14:textId="77777777" w:rsidR="00A77B3E" w:rsidRPr="0030358C" w:rsidRDefault="00000000">
      <w:pPr>
        <w:pStyle w:val="59"/>
        <w:rPr>
          <w:rFonts w:ascii="Arial" w:hAnsi="Arial" w:cs="Arial"/>
          <w:sz w:val="22"/>
          <w:szCs w:val="22"/>
        </w:rPr>
      </w:pPr>
      <w:r w:rsidRPr="0030358C">
        <w:rPr>
          <w:rFonts w:ascii="Arial" w:hAnsi="Arial" w:cs="Arial"/>
          <w:sz w:val="22"/>
          <w:szCs w:val="22"/>
        </w:rPr>
        <w:t>Jakákoli činnost zahrnující jednoduchou nebo vícenásobnou aplikaci spojitého nátěrového filmu a související operace odmašťování, kterými se provádí</w:t>
      </w:r>
    </w:p>
    <w:p w14:paraId="48CAFCA7" w14:textId="77777777" w:rsidR="00A77B3E" w:rsidRPr="0030358C" w:rsidRDefault="00000000">
      <w:pPr>
        <w:pStyle w:val="85"/>
        <w:rPr>
          <w:rFonts w:ascii="Arial" w:hAnsi="Arial" w:cs="Arial"/>
          <w:sz w:val="22"/>
          <w:szCs w:val="22"/>
        </w:rPr>
      </w:pPr>
      <w:r w:rsidRPr="0030358C">
        <w:rPr>
          <w:rFonts w:ascii="Arial" w:hAnsi="Arial" w:cs="Arial"/>
          <w:sz w:val="22"/>
          <w:szCs w:val="22"/>
        </w:rPr>
        <w:t>a)    nanášení nátěrů na silniční a kolejová vozidla nebo na jejich části prováděné jako součást oprav, konzervace nebo dekorace vozidla mimo původní výrobní zařízení,</w:t>
      </w:r>
    </w:p>
    <w:p w14:paraId="2E4B6863" w14:textId="77777777" w:rsidR="00A77B3E" w:rsidRPr="0030358C" w:rsidRDefault="00000000">
      <w:pPr>
        <w:pStyle w:val="86"/>
        <w:rPr>
          <w:rFonts w:ascii="Arial" w:hAnsi="Arial" w:cs="Arial"/>
          <w:sz w:val="22"/>
          <w:szCs w:val="22"/>
        </w:rPr>
      </w:pPr>
      <w:r w:rsidRPr="0030358C">
        <w:rPr>
          <w:rFonts w:ascii="Arial" w:hAnsi="Arial" w:cs="Arial"/>
          <w:sz w:val="22"/>
          <w:szCs w:val="22"/>
        </w:rPr>
        <w:t>b)    nanášení originálních nátěrů na silniční a kolejová vozidla nebo na jejich části za použití výrobků určených k přestříkávání vozidel, které je prováděno mimo původní výrobní zařízení,</w:t>
      </w:r>
    </w:p>
    <w:p w14:paraId="1DF07004" w14:textId="77777777" w:rsidR="00A77B3E" w:rsidRPr="0030358C" w:rsidRDefault="00000000">
      <w:pPr>
        <w:pStyle w:val="86"/>
        <w:rPr>
          <w:rFonts w:ascii="Arial" w:hAnsi="Arial" w:cs="Arial"/>
          <w:sz w:val="22"/>
          <w:szCs w:val="22"/>
        </w:rPr>
      </w:pPr>
      <w:r w:rsidRPr="0030358C">
        <w:rPr>
          <w:rFonts w:ascii="Arial" w:hAnsi="Arial" w:cs="Arial"/>
          <w:sz w:val="22"/>
          <w:szCs w:val="22"/>
        </w:rPr>
        <w:t>c)    nanášení nátěrů na přívěsy (včetně polopřívěsů),</w:t>
      </w:r>
    </w:p>
    <w:p w14:paraId="2C05F8F6" w14:textId="77777777" w:rsidR="00A77B3E" w:rsidRPr="0030358C" w:rsidRDefault="00000000">
      <w:pPr>
        <w:pStyle w:val="87"/>
        <w:rPr>
          <w:rFonts w:ascii="Arial" w:hAnsi="Arial" w:cs="Arial"/>
          <w:sz w:val="22"/>
          <w:szCs w:val="22"/>
        </w:rPr>
      </w:pPr>
      <w:r w:rsidRPr="0030358C">
        <w:rPr>
          <w:rFonts w:ascii="Arial" w:hAnsi="Arial" w:cs="Arial"/>
          <w:sz w:val="22"/>
          <w:szCs w:val="22"/>
        </w:rPr>
        <w:t>d)    nátěry při výrobě nových silničních a kolejových vozidel s projektovanou spotřebou organických rozpouštědel menší než 15 tun za rok.</w:t>
      </w:r>
    </w:p>
    <w:p w14:paraId="7C2CAEFC"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12"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220"/>
        <w:gridCol w:w="1531"/>
        <w:gridCol w:w="1461"/>
      </w:tblGrid>
      <w:tr w:rsidR="00E40657" w14:paraId="7F6EF871" w14:textId="77777777" w:rsidTr="00166782">
        <w:trPr>
          <w:trHeight w:val="404"/>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941ED89"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1428180"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4F007CB6" w14:textId="77777777" w:rsidTr="00166782">
        <w:trPr>
          <w:trHeight w:val="138"/>
        </w:trPr>
        <w:tc>
          <w:tcPr>
            <w:tcW w:w="0" w:type="auto"/>
            <w:vMerge/>
            <w:tcBorders>
              <w:left w:val="single" w:sz="12" w:space="0" w:color="000000"/>
              <w:bottom w:val="single" w:sz="12" w:space="0" w:color="000000"/>
              <w:right w:val="single" w:sz="12" w:space="0" w:color="000000"/>
            </w:tcBorders>
            <w:vAlign w:val="center"/>
            <w:hideMark/>
          </w:tcPr>
          <w:p w14:paraId="5F3E0B4C" w14:textId="77777777" w:rsidR="00A77B3E" w:rsidRPr="0030358C" w:rsidRDefault="00A77B3E">
            <w:pPr>
              <w:overflowPunct w:val="0"/>
              <w:rPr>
                <w:rFonts w:ascii="Arial" w:hAnsi="Arial" w:cs="Arial"/>
                <w:b/>
                <w:bCs/>
                <w:sz w:val="22"/>
                <w:szCs w:val="22"/>
              </w:rPr>
            </w:pPr>
          </w:p>
        </w:tc>
        <w:tc>
          <w:tcPr>
            <w:tcW w:w="1531"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A445360"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461"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A3F71E0"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28270EBE" w14:textId="77777777" w:rsidTr="00166782">
        <w:trPr>
          <w:trHeight w:val="332"/>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0BD1FE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trike/>
                <w:sz w:val="22"/>
                <w:szCs w:val="22"/>
              </w:rPr>
              <w:t>&gt; 0,5</w:t>
            </w:r>
            <w:r w:rsidR="00BB277F" w:rsidRPr="0030358C">
              <w:rPr>
                <w:rFonts w:ascii="Arial" w:hAnsi="Arial" w:cs="Arial"/>
                <w:sz w:val="22"/>
                <w:szCs w:val="22"/>
              </w:rPr>
              <w:t xml:space="preserve"> </w:t>
            </w:r>
            <w:r w:rsidR="00BB277F" w:rsidRPr="0030358C">
              <w:rPr>
                <w:rFonts w:ascii="Arial" w:hAnsi="Arial" w:cs="Arial"/>
                <w:b/>
                <w:bCs/>
                <w:color w:val="000000"/>
                <w:sz w:val="22"/>
                <w:szCs w:val="22"/>
              </w:rPr>
              <w:t>≥ 5</w:t>
            </w:r>
          </w:p>
        </w:tc>
        <w:tc>
          <w:tcPr>
            <w:tcW w:w="1531"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27D5C7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p>
        </w:tc>
        <w:tc>
          <w:tcPr>
            <w:tcW w:w="1461"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E5258D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25</w:t>
            </w:r>
          </w:p>
        </w:tc>
      </w:tr>
    </w:tbl>
    <w:p w14:paraId="7D6D524E" w14:textId="77777777" w:rsidR="00A77B3E" w:rsidRPr="0030358C" w:rsidRDefault="00A77B3E">
      <w:pPr>
        <w:pStyle w:val="59"/>
        <w:rPr>
          <w:rFonts w:ascii="Arial" w:hAnsi="Arial" w:cs="Arial"/>
          <w:sz w:val="22"/>
          <w:szCs w:val="22"/>
        </w:rPr>
      </w:pPr>
    </w:p>
    <w:p w14:paraId="65FB7EE2"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7C3F8A60" w14:textId="77777777" w:rsidR="00A77B3E" w:rsidRPr="0030358C" w:rsidRDefault="00000000">
      <w:pPr>
        <w:pStyle w:val="59"/>
        <w:rPr>
          <w:rFonts w:ascii="Arial" w:hAnsi="Arial" w:cs="Arial"/>
          <w:sz w:val="22"/>
          <w:szCs w:val="22"/>
        </w:rPr>
      </w:pPr>
      <w:r w:rsidRPr="0030358C">
        <w:rPr>
          <w:rFonts w:ascii="Arial" w:hAnsi="Arial" w:cs="Arial"/>
          <w:sz w:val="22"/>
          <w:szCs w:val="22"/>
        </w:rPr>
        <w:t xml:space="preserve">Pro zdroje spadající pod činnost uvedenou pod </w:t>
      </w:r>
      <w:hyperlink w:history="1">
        <w:r w:rsidR="00A77B3E" w:rsidRPr="0030358C">
          <w:rPr>
            <w:rFonts w:ascii="Arial" w:hAnsi="Arial" w:cs="Arial"/>
            <w:sz w:val="22"/>
            <w:szCs w:val="22"/>
          </w:rPr>
          <w:t>písm. a)</w:t>
        </w:r>
      </w:hyperlink>
      <w:r w:rsidRPr="0030358C">
        <w:rPr>
          <w:rFonts w:ascii="Arial" w:hAnsi="Arial" w:cs="Arial"/>
          <w:sz w:val="22"/>
          <w:szCs w:val="22"/>
        </w:rPr>
        <w:t xml:space="preserve"> se namísto výše uvedených emisních limitů TOC a VOC uplatňuje tato technická podmínka provozu: V uvedených zdrojích jsou používány výhradně vybrané výrobky uvedené v </w:t>
      </w:r>
      <w:hyperlink w:history="1">
        <w:r w:rsidR="00A77B3E" w:rsidRPr="0030358C">
          <w:rPr>
            <w:rFonts w:ascii="Arial" w:hAnsi="Arial" w:cs="Arial"/>
            <w:sz w:val="22"/>
            <w:szCs w:val="22"/>
          </w:rPr>
          <w:t>části I kategorii B přílohy č. 7</w:t>
        </w:r>
      </w:hyperlink>
      <w:r w:rsidRPr="0030358C">
        <w:rPr>
          <w:rFonts w:ascii="Arial" w:hAnsi="Arial" w:cs="Arial"/>
          <w:sz w:val="22"/>
          <w:szCs w:val="22"/>
        </w:rPr>
        <w:t xml:space="preserve">, splňující limitní hodnoty obsahu VOC stanovené pro tyto výrobky v </w:t>
      </w:r>
      <w:hyperlink w:history="1">
        <w:r w:rsidR="00A77B3E" w:rsidRPr="0030358C">
          <w:rPr>
            <w:rFonts w:ascii="Arial" w:hAnsi="Arial" w:cs="Arial"/>
            <w:sz w:val="22"/>
            <w:szCs w:val="22"/>
          </w:rPr>
          <w:t>bodu 2. části II přílohy č. 7</w:t>
        </w:r>
      </w:hyperlink>
      <w:r w:rsidRPr="0030358C">
        <w:rPr>
          <w:rFonts w:ascii="Arial" w:hAnsi="Arial" w:cs="Arial"/>
          <w:sz w:val="22"/>
          <w:szCs w:val="22"/>
        </w:rPr>
        <w:t>.</w:t>
      </w:r>
    </w:p>
    <w:p w14:paraId="2CAC82C2" w14:textId="77777777" w:rsidR="00A77B3E" w:rsidRPr="0030358C" w:rsidRDefault="00000000">
      <w:pPr>
        <w:pStyle w:val="57"/>
        <w:rPr>
          <w:rFonts w:ascii="Arial" w:hAnsi="Arial" w:cs="Arial"/>
          <w:strike/>
          <w:szCs w:val="22"/>
        </w:rPr>
      </w:pPr>
      <w:r w:rsidRPr="0030358C">
        <w:rPr>
          <w:rFonts w:ascii="Arial" w:hAnsi="Arial" w:cs="Arial"/>
          <w:strike/>
          <w:szCs w:val="22"/>
        </w:rPr>
        <w:t>4.4.    Nanášení práškových plastů</w:t>
      </w:r>
    </w:p>
    <w:p w14:paraId="712105F2" w14:textId="77777777" w:rsidR="00A77B3E" w:rsidRPr="0030358C" w:rsidRDefault="00A77B3E">
      <w:pPr>
        <w:pStyle w:val="59"/>
        <w:rPr>
          <w:rFonts w:ascii="Arial" w:hAnsi="Arial" w:cs="Arial"/>
          <w:strike/>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9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974"/>
        <w:gridCol w:w="2223"/>
      </w:tblGrid>
      <w:tr w:rsidR="00E40657" w14:paraId="41C3AB54" w14:textId="77777777" w:rsidTr="00166782">
        <w:trPr>
          <w:trHeight w:val="410"/>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AEDFAF8"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Celková projektovaná spotřeba práškových plastů</w:t>
            </w:r>
            <w:r w:rsidRPr="0030358C">
              <w:rPr>
                <w:rFonts w:ascii="Arial" w:hAnsi="Arial" w:cs="Arial"/>
                <w:b/>
                <w:bCs/>
                <w:strike/>
                <w:sz w:val="22"/>
                <w:szCs w:val="22"/>
              </w:rPr>
              <w:br/>
              <w:t>[t/rok]</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6C1BEDB"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Emisní limit</w:t>
            </w:r>
          </w:p>
        </w:tc>
      </w:tr>
      <w:tr w:rsidR="00E40657" w14:paraId="7584022A" w14:textId="77777777" w:rsidTr="00166782">
        <w:trPr>
          <w:trHeight w:val="140"/>
        </w:trPr>
        <w:tc>
          <w:tcPr>
            <w:tcW w:w="0" w:type="auto"/>
            <w:vMerge/>
            <w:tcBorders>
              <w:left w:val="single" w:sz="12" w:space="0" w:color="000000"/>
              <w:bottom w:val="single" w:sz="12" w:space="0" w:color="000000"/>
              <w:right w:val="single" w:sz="12" w:space="0" w:color="000000"/>
            </w:tcBorders>
            <w:vAlign w:val="center"/>
            <w:hideMark/>
          </w:tcPr>
          <w:p w14:paraId="0A909235" w14:textId="77777777" w:rsidR="00A77B3E" w:rsidRPr="0030358C" w:rsidRDefault="00A77B3E">
            <w:pPr>
              <w:overflowPunct w:val="0"/>
              <w:rPr>
                <w:rFonts w:ascii="Arial" w:hAnsi="Arial" w:cs="Arial"/>
                <w:b/>
                <w:bCs/>
                <w:strike/>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745A2D0"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trike/>
                <w:sz w:val="22"/>
                <w:szCs w:val="22"/>
              </w:rPr>
              <w:t>TOC</w:t>
            </w:r>
            <w:r w:rsidRPr="0030358C">
              <w:rPr>
                <w:rFonts w:ascii="Arial" w:hAnsi="Arial" w:cs="Arial"/>
                <w:b/>
                <w:bCs/>
                <w:strike/>
                <w:sz w:val="22"/>
                <w:szCs w:val="22"/>
                <w:vertAlign w:val="superscript"/>
              </w:rPr>
              <w:t>1)</w:t>
            </w:r>
            <w:r w:rsidRPr="0030358C">
              <w:rPr>
                <w:rFonts w:ascii="Arial" w:hAnsi="Arial" w:cs="Arial"/>
                <w:b/>
                <w:bCs/>
                <w:strike/>
                <w:sz w:val="22"/>
                <w:szCs w:val="22"/>
              </w:rPr>
              <w:t xml:space="preserve">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18852E71" w14:textId="77777777" w:rsidTr="00166782">
        <w:trPr>
          <w:trHeight w:val="336"/>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454081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 1</w:t>
            </w:r>
            <w:r w:rsidR="00A7555C" w:rsidRPr="0030358C">
              <w:rPr>
                <w:rFonts w:ascii="Arial" w:hAnsi="Arial" w:cs="Arial"/>
                <w:strike/>
                <w:sz w:val="22"/>
                <w:szCs w:val="22"/>
              </w:rPr>
              <w:t xml:space="preserve"> </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6C6ED2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50</w:t>
            </w:r>
          </w:p>
        </w:tc>
      </w:tr>
    </w:tbl>
    <w:p w14:paraId="485351C8" w14:textId="77777777" w:rsidR="00A77B3E" w:rsidRPr="0030358C" w:rsidRDefault="00A77B3E">
      <w:pPr>
        <w:pStyle w:val="59"/>
        <w:rPr>
          <w:rFonts w:ascii="Arial" w:hAnsi="Arial" w:cs="Arial"/>
          <w:strike/>
          <w:sz w:val="22"/>
          <w:szCs w:val="22"/>
        </w:rPr>
      </w:pPr>
    </w:p>
    <w:p w14:paraId="3F75505B" w14:textId="77777777" w:rsidR="00A77B3E" w:rsidRPr="0030358C" w:rsidRDefault="00A77B3E">
      <w:pPr>
        <w:pStyle w:val="60"/>
        <w:rPr>
          <w:rFonts w:ascii="Arial" w:hAnsi="Arial" w:cs="Arial"/>
          <w:strike/>
          <w:sz w:val="22"/>
          <w:szCs w:val="22"/>
        </w:rPr>
      </w:pPr>
    </w:p>
    <w:p w14:paraId="12987FB7" w14:textId="77777777" w:rsidR="00A7555C" w:rsidRPr="0030358C" w:rsidRDefault="00A7555C">
      <w:pPr>
        <w:pStyle w:val="60"/>
        <w:rPr>
          <w:rFonts w:ascii="Arial" w:hAnsi="Arial" w:cs="Arial"/>
          <w:strike/>
          <w:sz w:val="22"/>
          <w:szCs w:val="22"/>
        </w:rPr>
        <w:sectPr w:rsidR="00A7555C" w:rsidRPr="0030358C" w:rsidSect="00D804A3">
          <w:type w:val="continuous"/>
          <w:pgSz w:w="11906" w:h="16838" w:code="9"/>
          <w:pgMar w:top="1417" w:right="1417" w:bottom="1417" w:left="1417" w:header="708" w:footer="708" w:gutter="0"/>
          <w:cols w:space="708"/>
          <w:docGrid w:linePitch="360"/>
        </w:sectPr>
      </w:pPr>
    </w:p>
    <w:p w14:paraId="7F683BFC"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lastRenderedPageBreak/>
        <w:t>Vysvětlivka:</w:t>
      </w:r>
    </w:p>
    <w:p w14:paraId="5CD22EB4"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1)    Týká se vypalování a chlazení výrobků.</w:t>
      </w:r>
    </w:p>
    <w:p w14:paraId="0656887C" w14:textId="77777777" w:rsidR="00580B00" w:rsidRPr="0030358C" w:rsidRDefault="00580B00">
      <w:pPr>
        <w:pStyle w:val="62"/>
        <w:rPr>
          <w:rFonts w:ascii="Arial" w:hAnsi="Arial" w:cs="Arial"/>
          <w:sz w:val="22"/>
          <w:szCs w:val="22"/>
        </w:rPr>
      </w:pPr>
    </w:p>
    <w:p w14:paraId="40BEAF66" w14:textId="77777777" w:rsidR="00580B00" w:rsidRPr="0030358C" w:rsidRDefault="00000000" w:rsidP="00580B00">
      <w:pPr>
        <w:pStyle w:val="57"/>
        <w:rPr>
          <w:rFonts w:ascii="Arial" w:hAnsi="Arial" w:cs="Arial"/>
          <w:b/>
          <w:bCs/>
          <w:szCs w:val="22"/>
        </w:rPr>
      </w:pPr>
      <w:bookmarkStart w:id="56" w:name="_Hlk181371694"/>
      <w:r w:rsidRPr="0030358C">
        <w:rPr>
          <w:rFonts w:ascii="Arial" w:hAnsi="Arial" w:cs="Arial"/>
          <w:b/>
          <w:bCs/>
          <w:szCs w:val="22"/>
        </w:rPr>
        <w:t>4.4.    Nanášení práškových plastů</w:t>
      </w:r>
    </w:p>
    <w:p w14:paraId="6E5BB84A" w14:textId="77777777" w:rsidR="00580B00" w:rsidRPr="0030358C" w:rsidRDefault="00580B00" w:rsidP="00580B00">
      <w:pPr>
        <w:pStyle w:val="59"/>
        <w:rPr>
          <w:rFonts w:ascii="Arial" w:hAnsi="Arial" w:cs="Arial"/>
          <w:b/>
          <w:bCs/>
          <w:sz w:val="22"/>
          <w:szCs w:val="22"/>
        </w:rPr>
        <w:sectPr w:rsidR="00580B00" w:rsidRPr="0030358C" w:rsidSect="00D804A3">
          <w:type w:val="continuous"/>
          <w:pgSz w:w="11906" w:h="16838" w:code="9"/>
          <w:pgMar w:top="1417" w:right="1417" w:bottom="1417" w:left="1417" w:header="708" w:footer="708" w:gutter="0"/>
          <w:cols w:space="708"/>
          <w:docGrid w:linePitch="360"/>
        </w:sectPr>
      </w:pPr>
    </w:p>
    <w:tbl>
      <w:tblPr>
        <w:tblStyle w:val="data-tisk-na-sirku"/>
        <w:tblW w:w="919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974"/>
        <w:gridCol w:w="2223"/>
      </w:tblGrid>
      <w:tr w:rsidR="00E40657" w14:paraId="3561774E" w14:textId="77777777" w:rsidTr="001E105C">
        <w:trPr>
          <w:trHeight w:val="410"/>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FB9DFB9" w14:textId="77777777" w:rsidR="00580B00"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práškových plastů</w:t>
            </w:r>
            <w:r w:rsidRPr="0030358C">
              <w:rPr>
                <w:rFonts w:ascii="Arial" w:hAnsi="Arial" w:cs="Arial"/>
                <w:b/>
                <w:bCs/>
                <w:sz w:val="22"/>
                <w:szCs w:val="22"/>
              </w:rPr>
              <w:br/>
              <w:t>[t/rok]</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C8AB54" w14:textId="77777777" w:rsidR="00580B00"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62648F4A" w14:textId="77777777" w:rsidTr="001E105C">
        <w:trPr>
          <w:trHeight w:val="140"/>
        </w:trPr>
        <w:tc>
          <w:tcPr>
            <w:tcW w:w="0" w:type="auto"/>
            <w:vMerge/>
            <w:tcBorders>
              <w:left w:val="single" w:sz="12" w:space="0" w:color="000000"/>
              <w:bottom w:val="single" w:sz="12" w:space="0" w:color="000000"/>
              <w:right w:val="single" w:sz="12" w:space="0" w:color="000000"/>
            </w:tcBorders>
            <w:vAlign w:val="center"/>
            <w:hideMark/>
          </w:tcPr>
          <w:p w14:paraId="772AB13E" w14:textId="77777777" w:rsidR="00580B00" w:rsidRPr="0030358C" w:rsidRDefault="00580B00" w:rsidP="001E105C">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BDE836C" w14:textId="77777777" w:rsidR="00580B00"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TOC</w:t>
            </w:r>
            <w:r w:rsidRPr="0030358C">
              <w:rPr>
                <w:rFonts w:ascii="Arial" w:hAnsi="Arial" w:cs="Arial"/>
                <w:b/>
                <w:bCs/>
                <w:sz w:val="22"/>
                <w:szCs w:val="22"/>
                <w:vertAlign w:val="superscript"/>
              </w:rPr>
              <w:t>1)</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5016068D" w14:textId="77777777" w:rsidTr="001E105C">
        <w:trPr>
          <w:trHeight w:val="336"/>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6D9E78B" w14:textId="77777777" w:rsidR="00580B00"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 10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0949B49" w14:textId="77777777" w:rsidR="00580B00" w:rsidRPr="0030358C" w:rsidRDefault="00000000" w:rsidP="001E105C">
            <w:pPr>
              <w:pStyle w:val="59"/>
              <w:overflowPunct w:val="0"/>
              <w:ind w:left="0"/>
              <w:jc w:val="center"/>
              <w:rPr>
                <w:rFonts w:ascii="Arial" w:hAnsi="Arial" w:cs="Arial"/>
                <w:b/>
                <w:bCs/>
                <w:sz w:val="22"/>
                <w:szCs w:val="22"/>
              </w:rPr>
            </w:pPr>
            <w:r w:rsidRPr="0030358C">
              <w:rPr>
                <w:rFonts w:ascii="Arial" w:hAnsi="Arial" w:cs="Arial"/>
                <w:b/>
                <w:bCs/>
                <w:sz w:val="22"/>
                <w:szCs w:val="22"/>
              </w:rPr>
              <w:t>50</w:t>
            </w:r>
          </w:p>
        </w:tc>
      </w:tr>
    </w:tbl>
    <w:p w14:paraId="7806308D" w14:textId="77777777" w:rsidR="00580B00" w:rsidRPr="0030358C" w:rsidRDefault="00580B00" w:rsidP="00580B00">
      <w:pPr>
        <w:pStyle w:val="59"/>
        <w:rPr>
          <w:rFonts w:ascii="Arial" w:hAnsi="Arial" w:cs="Arial"/>
          <w:b/>
          <w:bCs/>
          <w:sz w:val="22"/>
          <w:szCs w:val="22"/>
        </w:rPr>
      </w:pPr>
    </w:p>
    <w:p w14:paraId="20818F8E" w14:textId="77777777" w:rsidR="00580B00" w:rsidRPr="0030358C" w:rsidRDefault="00580B00" w:rsidP="00580B00">
      <w:pPr>
        <w:pStyle w:val="60"/>
        <w:ind w:left="0"/>
        <w:rPr>
          <w:rFonts w:ascii="Arial" w:hAnsi="Arial" w:cs="Arial"/>
          <w:b/>
          <w:bCs/>
          <w:sz w:val="22"/>
          <w:szCs w:val="22"/>
        </w:rPr>
        <w:sectPr w:rsidR="00580B00" w:rsidRPr="0030358C" w:rsidSect="00D804A3">
          <w:type w:val="continuous"/>
          <w:pgSz w:w="11906" w:h="16838" w:code="9"/>
          <w:pgMar w:top="1417" w:right="1417" w:bottom="1417" w:left="1417" w:header="708" w:footer="708" w:gutter="0"/>
          <w:cols w:space="708"/>
          <w:docGrid w:linePitch="360"/>
        </w:sectPr>
      </w:pPr>
    </w:p>
    <w:p w14:paraId="256CF7A8" w14:textId="77777777" w:rsidR="00580B00" w:rsidRPr="0030358C" w:rsidRDefault="00000000" w:rsidP="00580B00">
      <w:pPr>
        <w:pStyle w:val="60"/>
        <w:rPr>
          <w:rFonts w:ascii="Arial" w:hAnsi="Arial" w:cs="Arial"/>
          <w:b/>
          <w:bCs/>
          <w:sz w:val="22"/>
          <w:szCs w:val="22"/>
        </w:rPr>
      </w:pPr>
      <w:r w:rsidRPr="0030358C">
        <w:rPr>
          <w:rFonts w:ascii="Arial" w:hAnsi="Arial" w:cs="Arial"/>
          <w:b/>
          <w:bCs/>
          <w:sz w:val="22"/>
          <w:szCs w:val="22"/>
        </w:rPr>
        <w:t>Vysvětlivka:</w:t>
      </w:r>
    </w:p>
    <w:p w14:paraId="60659CEE" w14:textId="77777777" w:rsidR="00580B00" w:rsidRPr="0030358C" w:rsidRDefault="00000000" w:rsidP="00580B00">
      <w:pPr>
        <w:pStyle w:val="62"/>
        <w:rPr>
          <w:rFonts w:ascii="Arial" w:hAnsi="Arial" w:cs="Arial"/>
          <w:b/>
          <w:bCs/>
          <w:sz w:val="22"/>
          <w:szCs w:val="22"/>
        </w:rPr>
      </w:pPr>
      <w:r w:rsidRPr="0030358C">
        <w:rPr>
          <w:rFonts w:ascii="Arial" w:hAnsi="Arial" w:cs="Arial"/>
          <w:b/>
          <w:bCs/>
          <w:sz w:val="22"/>
          <w:szCs w:val="22"/>
        </w:rPr>
        <w:t>1)    Týká se vypalování a chlazení výrobků.</w:t>
      </w:r>
    </w:p>
    <w:bookmarkEnd w:id="56"/>
    <w:p w14:paraId="35423971" w14:textId="77777777" w:rsidR="00580B00" w:rsidRPr="0030358C" w:rsidRDefault="00580B00">
      <w:pPr>
        <w:pStyle w:val="62"/>
        <w:rPr>
          <w:rFonts w:ascii="Arial" w:hAnsi="Arial" w:cs="Arial"/>
          <w:sz w:val="22"/>
          <w:szCs w:val="22"/>
        </w:rPr>
      </w:pPr>
    </w:p>
    <w:p w14:paraId="48A27BDE" w14:textId="77777777" w:rsidR="00A77B3E" w:rsidRPr="0030358C" w:rsidRDefault="00000000">
      <w:pPr>
        <w:pStyle w:val="57"/>
        <w:rPr>
          <w:rFonts w:ascii="Arial" w:hAnsi="Arial" w:cs="Arial"/>
          <w:szCs w:val="22"/>
        </w:rPr>
      </w:pPr>
      <w:r w:rsidRPr="0030358C">
        <w:rPr>
          <w:rFonts w:ascii="Arial" w:hAnsi="Arial" w:cs="Arial"/>
          <w:szCs w:val="22"/>
        </w:rPr>
        <w:t>4.5.    Nátěry kůže s celkovou projektovanou spotřebou organických rozpouštědel 5 t za rok nebo větší</w:t>
      </w:r>
    </w:p>
    <w:p w14:paraId="1C76C8FF"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66"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7247"/>
        <w:gridCol w:w="1919"/>
      </w:tblGrid>
      <w:tr w:rsidR="00E40657" w14:paraId="292D1AE1" w14:textId="77777777" w:rsidTr="00760B1A">
        <w:trPr>
          <w:trHeight w:val="526"/>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14098DD8"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D935B94"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7F76A02E" w14:textId="77777777" w:rsidTr="00760B1A">
        <w:trPr>
          <w:trHeight w:val="179"/>
        </w:trPr>
        <w:tc>
          <w:tcPr>
            <w:tcW w:w="0" w:type="auto"/>
            <w:vMerge/>
            <w:tcBorders>
              <w:left w:val="single" w:sz="12" w:space="0" w:color="000000"/>
              <w:bottom w:val="single" w:sz="12" w:space="0" w:color="000000"/>
              <w:right w:val="single" w:sz="12" w:space="0" w:color="000000"/>
            </w:tcBorders>
            <w:vAlign w:val="center"/>
            <w:hideMark/>
          </w:tcPr>
          <w:p w14:paraId="426CE29C"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63E4F57"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[g/m</w:t>
            </w:r>
            <w:r w:rsidRPr="0030358C">
              <w:rPr>
                <w:rFonts w:ascii="Arial" w:hAnsi="Arial" w:cs="Arial"/>
                <w:b/>
                <w:bCs/>
                <w:sz w:val="22"/>
                <w:szCs w:val="22"/>
                <w:vertAlign w:val="superscript"/>
              </w:rPr>
              <w:t>2</w:t>
            </w:r>
            <w:r w:rsidRPr="0030358C">
              <w:rPr>
                <w:rFonts w:ascii="Arial" w:hAnsi="Arial" w:cs="Arial"/>
                <w:b/>
                <w:bCs/>
                <w:sz w:val="22"/>
                <w:szCs w:val="22"/>
              </w:rPr>
              <w:t>]</w:t>
            </w:r>
          </w:p>
        </w:tc>
      </w:tr>
      <w:tr w:rsidR="00E40657" w14:paraId="7DBDF62F" w14:textId="77777777" w:rsidTr="00760B1A">
        <w:trPr>
          <w:trHeight w:val="772"/>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4EC144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trike/>
                <w:sz w:val="22"/>
                <w:szCs w:val="22"/>
              </w:rPr>
              <w:t>&gt; 0,5</w:t>
            </w:r>
            <w:r w:rsidRPr="0030358C">
              <w:rPr>
                <w:rFonts w:ascii="Arial" w:hAnsi="Arial" w:cs="Arial"/>
                <w:sz w:val="22"/>
                <w:szCs w:val="22"/>
              </w:rPr>
              <w:t xml:space="preserve"> </w:t>
            </w:r>
            <w:r w:rsidRPr="0030358C">
              <w:rPr>
                <w:rFonts w:ascii="Arial" w:hAnsi="Arial" w:cs="Arial"/>
                <w:b/>
                <w:bCs/>
                <w:color w:val="000000"/>
                <w:sz w:val="22"/>
                <w:szCs w:val="22"/>
              </w:rPr>
              <w:t>≥ 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FD29C2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75</w:t>
            </w:r>
            <w:r w:rsidRPr="0030358C">
              <w:rPr>
                <w:rFonts w:ascii="Arial" w:hAnsi="Arial" w:cs="Arial"/>
                <w:sz w:val="22"/>
                <w:szCs w:val="22"/>
              </w:rPr>
              <w:br/>
              <w:t>150</w:t>
            </w:r>
            <w:r w:rsidRPr="0030358C">
              <w:rPr>
                <w:rFonts w:ascii="Arial" w:hAnsi="Arial" w:cs="Arial"/>
                <w:sz w:val="22"/>
                <w:szCs w:val="22"/>
                <w:vertAlign w:val="superscript"/>
              </w:rPr>
              <w:t>2)</w:t>
            </w:r>
          </w:p>
        </w:tc>
      </w:tr>
    </w:tbl>
    <w:p w14:paraId="7B9A5DE2" w14:textId="77777777" w:rsidR="00A77B3E" w:rsidRPr="0030358C" w:rsidRDefault="00A77B3E">
      <w:pPr>
        <w:pStyle w:val="59"/>
        <w:rPr>
          <w:rFonts w:ascii="Arial" w:hAnsi="Arial" w:cs="Arial"/>
          <w:sz w:val="22"/>
          <w:szCs w:val="22"/>
        </w:rPr>
      </w:pPr>
    </w:p>
    <w:p w14:paraId="6C10AE32" w14:textId="77777777" w:rsidR="00A77B3E" w:rsidRPr="0030358C" w:rsidRDefault="00A77B3E">
      <w:pPr>
        <w:pStyle w:val="60"/>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56F7A12F"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Vysvětlivky:</w:t>
      </w:r>
    </w:p>
    <w:p w14:paraId="74EF6D00" w14:textId="77777777" w:rsidR="00A77B3E" w:rsidRPr="0030358C" w:rsidRDefault="00000000">
      <w:pPr>
        <w:pStyle w:val="61"/>
        <w:rPr>
          <w:rFonts w:ascii="Arial" w:hAnsi="Arial" w:cs="Arial"/>
          <w:sz w:val="22"/>
          <w:szCs w:val="22"/>
        </w:rPr>
      </w:pPr>
      <w:r w:rsidRPr="0030358C">
        <w:rPr>
          <w:rFonts w:ascii="Arial" w:hAnsi="Arial" w:cs="Arial"/>
          <w:sz w:val="22"/>
          <w:szCs w:val="22"/>
        </w:rPr>
        <w:t>1)    Podíl hmotnosti emisí těkavých organických látek a celkové plochy výrobku.</w:t>
      </w:r>
    </w:p>
    <w:p w14:paraId="20358C8B" w14:textId="77777777" w:rsidR="00A77B3E" w:rsidRPr="0030358C" w:rsidRDefault="00000000">
      <w:pPr>
        <w:pStyle w:val="62"/>
        <w:rPr>
          <w:rFonts w:ascii="Arial" w:hAnsi="Arial" w:cs="Arial"/>
          <w:sz w:val="22"/>
          <w:szCs w:val="22"/>
        </w:rPr>
      </w:pPr>
      <w:r w:rsidRPr="0030358C">
        <w:rPr>
          <w:rFonts w:ascii="Arial" w:hAnsi="Arial" w:cs="Arial"/>
          <w:sz w:val="22"/>
          <w:szCs w:val="22"/>
        </w:rPr>
        <w:t>2)    Platí pro nátěry bytových doplňků a malých kožených předmětů jako jsou tašky, peněženky, opasky a jiné.</w:t>
      </w:r>
    </w:p>
    <w:p w14:paraId="415D6792" w14:textId="77777777" w:rsidR="00A77B3E" w:rsidRPr="0030358C" w:rsidRDefault="00000000">
      <w:pPr>
        <w:pStyle w:val="57"/>
        <w:rPr>
          <w:rFonts w:ascii="Arial" w:hAnsi="Arial" w:cs="Arial"/>
          <w:szCs w:val="22"/>
        </w:rPr>
      </w:pPr>
      <w:r w:rsidRPr="0030358C">
        <w:rPr>
          <w:rFonts w:ascii="Arial" w:hAnsi="Arial" w:cs="Arial"/>
          <w:szCs w:val="22"/>
        </w:rPr>
        <w:t>4.6.    Nátěry pásů a svitků</w:t>
      </w:r>
    </w:p>
    <w:p w14:paraId="375B12EC" w14:textId="77777777" w:rsidR="00A77B3E" w:rsidRPr="0030358C" w:rsidRDefault="00000000">
      <w:pPr>
        <w:pStyle w:val="59"/>
        <w:rPr>
          <w:rFonts w:ascii="Arial" w:hAnsi="Arial" w:cs="Arial"/>
          <w:sz w:val="22"/>
          <w:szCs w:val="22"/>
        </w:rPr>
      </w:pPr>
      <w:r w:rsidRPr="0030358C">
        <w:rPr>
          <w:rFonts w:ascii="Arial" w:hAnsi="Arial" w:cs="Arial"/>
          <w:sz w:val="22"/>
          <w:szCs w:val="22"/>
        </w:rPr>
        <w:t>Jakákoli činnost, při níž je nanášen souvislý film nátěrových hmot na pásové svitky kovových a jiných materiálů.</w:t>
      </w:r>
    </w:p>
    <w:p w14:paraId="3BF1BB21"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5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258"/>
        <w:gridCol w:w="1493"/>
        <w:gridCol w:w="1506"/>
      </w:tblGrid>
      <w:tr w:rsidR="00E40657" w14:paraId="35A6EA09" w14:textId="77777777" w:rsidTr="00166782">
        <w:trPr>
          <w:trHeight w:val="403"/>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3A4C132"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2947DB2"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7CBD5426" w14:textId="77777777" w:rsidTr="00166782">
        <w:trPr>
          <w:trHeight w:val="138"/>
        </w:trPr>
        <w:tc>
          <w:tcPr>
            <w:tcW w:w="0" w:type="auto"/>
            <w:vMerge/>
            <w:tcBorders>
              <w:left w:val="single" w:sz="12" w:space="0" w:color="000000"/>
              <w:bottom w:val="single" w:sz="12" w:space="0" w:color="000000"/>
              <w:right w:val="single" w:sz="12" w:space="0" w:color="000000"/>
            </w:tcBorders>
            <w:vAlign w:val="center"/>
            <w:hideMark/>
          </w:tcPr>
          <w:p w14:paraId="5F6D22F9" w14:textId="77777777" w:rsidR="00A77B3E" w:rsidRPr="0030358C" w:rsidRDefault="00A77B3E">
            <w:pPr>
              <w:overflowPunct w:val="0"/>
              <w:rPr>
                <w:rFonts w:ascii="Arial" w:hAnsi="Arial" w:cs="Arial"/>
                <w:b/>
                <w:bCs/>
                <w:sz w:val="22"/>
                <w:szCs w:val="22"/>
              </w:rPr>
            </w:pPr>
          </w:p>
        </w:tc>
        <w:tc>
          <w:tcPr>
            <w:tcW w:w="1493"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8E3A423"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506"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01CD251"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59A56076" w14:textId="77777777" w:rsidTr="00166782">
        <w:trPr>
          <w:trHeight w:val="590"/>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6523723"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5</w:t>
            </w:r>
          </w:p>
        </w:tc>
        <w:tc>
          <w:tcPr>
            <w:tcW w:w="1493"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B19DA9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50</w:t>
            </w:r>
            <w:r w:rsidRPr="0030358C">
              <w:rPr>
                <w:rFonts w:ascii="Arial" w:hAnsi="Arial" w:cs="Arial"/>
                <w:sz w:val="22"/>
                <w:szCs w:val="22"/>
              </w:rPr>
              <w:br/>
              <w:t>150</w:t>
            </w:r>
            <w:r w:rsidRPr="0030358C">
              <w:rPr>
                <w:rFonts w:ascii="Arial" w:hAnsi="Arial" w:cs="Arial"/>
                <w:sz w:val="22"/>
                <w:szCs w:val="22"/>
                <w:vertAlign w:val="superscript"/>
              </w:rPr>
              <w:t>1)</w:t>
            </w:r>
          </w:p>
        </w:tc>
        <w:tc>
          <w:tcPr>
            <w:tcW w:w="1506"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49E4628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w:t>
            </w:r>
          </w:p>
        </w:tc>
      </w:tr>
    </w:tbl>
    <w:p w14:paraId="38727346" w14:textId="77777777" w:rsidR="00A77B3E" w:rsidRPr="0030358C" w:rsidRDefault="00A77B3E">
      <w:pPr>
        <w:pStyle w:val="59"/>
        <w:rPr>
          <w:rFonts w:ascii="Arial" w:hAnsi="Arial" w:cs="Arial"/>
          <w:sz w:val="22"/>
          <w:szCs w:val="22"/>
        </w:rPr>
      </w:pPr>
    </w:p>
    <w:p w14:paraId="19BD0732" w14:textId="77777777" w:rsidR="00A77B3E" w:rsidRPr="0030358C" w:rsidRDefault="00A77B3E">
      <w:pPr>
        <w:pStyle w:val="60"/>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03C9B693"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Vysvětlivka:</w:t>
      </w:r>
    </w:p>
    <w:p w14:paraId="6C6DDBB9" w14:textId="77777777" w:rsidR="00A77B3E" w:rsidRPr="0030358C" w:rsidRDefault="00000000">
      <w:pPr>
        <w:pStyle w:val="62"/>
        <w:rPr>
          <w:rFonts w:ascii="Arial" w:hAnsi="Arial" w:cs="Arial"/>
          <w:sz w:val="22"/>
          <w:szCs w:val="22"/>
        </w:rPr>
      </w:pPr>
      <w:r w:rsidRPr="0030358C">
        <w:rPr>
          <w:rFonts w:ascii="Arial" w:hAnsi="Arial" w:cs="Arial"/>
          <w:sz w:val="22"/>
          <w:szCs w:val="22"/>
        </w:rPr>
        <w:t>1)    Platí pro stacionární zdroje, které opětovně využívají regenerovaná organická rozpouštědla.</w:t>
      </w:r>
    </w:p>
    <w:p w14:paraId="4D933C7F" w14:textId="77777777" w:rsidR="00A77B3E" w:rsidRPr="0030358C" w:rsidRDefault="00000000">
      <w:pPr>
        <w:pStyle w:val="57"/>
        <w:rPr>
          <w:rFonts w:ascii="Arial" w:hAnsi="Arial" w:cs="Arial"/>
          <w:szCs w:val="22"/>
        </w:rPr>
      </w:pPr>
      <w:r w:rsidRPr="0030358C">
        <w:rPr>
          <w:rFonts w:ascii="Arial" w:hAnsi="Arial" w:cs="Arial"/>
          <w:szCs w:val="22"/>
        </w:rPr>
        <w:t>4.7.    Nátěry při výrobě nových silničních a kolejových vozidel s celkovou projektovanou spotřebou organických rozpouštědel 15 t za rok nebo větší</w:t>
      </w:r>
    </w:p>
    <w:p w14:paraId="2484AA62" w14:textId="77777777" w:rsidR="00A77B3E" w:rsidRPr="0030358C" w:rsidRDefault="00000000">
      <w:pPr>
        <w:pStyle w:val="59"/>
        <w:rPr>
          <w:rFonts w:ascii="Arial" w:hAnsi="Arial" w:cs="Arial"/>
          <w:sz w:val="22"/>
          <w:szCs w:val="22"/>
        </w:rPr>
      </w:pPr>
      <w:r w:rsidRPr="0030358C">
        <w:rPr>
          <w:rFonts w:ascii="Arial" w:hAnsi="Arial" w:cs="Arial"/>
          <w:sz w:val="22"/>
          <w:szCs w:val="22"/>
        </w:rPr>
        <w:lastRenderedPageBreak/>
        <w:t>Velikost povrchu opatřeného nátěrem je v případech výrobků uvedených v této části definována jako</w:t>
      </w:r>
    </w:p>
    <w:p w14:paraId="108927B4" w14:textId="77777777" w:rsidR="00A77B3E" w:rsidRPr="0030358C" w:rsidRDefault="00000000">
      <w:pPr>
        <w:pStyle w:val="85"/>
        <w:rPr>
          <w:rFonts w:ascii="Arial" w:hAnsi="Arial" w:cs="Arial"/>
          <w:sz w:val="22"/>
          <w:szCs w:val="22"/>
        </w:rPr>
      </w:pPr>
      <w:r w:rsidRPr="0030358C">
        <w:rPr>
          <w:rFonts w:ascii="Arial" w:hAnsi="Arial" w:cs="Arial"/>
          <w:sz w:val="22"/>
          <w:szCs w:val="22"/>
        </w:rPr>
        <w:t>a)    plocha povrchu vypočtená jako součet celkové velikosti povrchu opatřeného elektroforeticky nanášenou vrstvou nátěrové hmoty a velikosti povrchů všech částí připojených k výrobku v dalších fázích výroby, které jsou natírány stejným nátěrovým systémem, nebo</w:t>
      </w:r>
    </w:p>
    <w:p w14:paraId="78C4DD68" w14:textId="77777777" w:rsidR="00A77B3E" w:rsidRPr="0030358C" w:rsidRDefault="00000000">
      <w:pPr>
        <w:pStyle w:val="87"/>
        <w:rPr>
          <w:rFonts w:ascii="Arial" w:hAnsi="Arial" w:cs="Arial"/>
          <w:sz w:val="22"/>
          <w:szCs w:val="22"/>
        </w:rPr>
      </w:pPr>
      <w:r w:rsidRPr="0030358C">
        <w:rPr>
          <w:rFonts w:ascii="Arial" w:hAnsi="Arial" w:cs="Arial"/>
          <w:sz w:val="22"/>
          <w:szCs w:val="22"/>
        </w:rPr>
        <w:t>b)    celková velikost povrchu výrobku opatřeného nátěrovými hmotami v daném zařízení.</w:t>
      </w:r>
    </w:p>
    <w:p w14:paraId="336EE7C0" w14:textId="77777777" w:rsidR="00A77B3E" w:rsidRPr="0030358C" w:rsidRDefault="00000000">
      <w:pPr>
        <w:pStyle w:val="59"/>
        <w:rPr>
          <w:rFonts w:ascii="Arial" w:hAnsi="Arial" w:cs="Arial"/>
          <w:sz w:val="22"/>
          <w:szCs w:val="22"/>
        </w:rPr>
      </w:pPr>
      <w:r w:rsidRPr="0030358C">
        <w:rPr>
          <w:rFonts w:ascii="Arial" w:hAnsi="Arial" w:cs="Arial"/>
          <w:sz w:val="22"/>
          <w:szCs w:val="22"/>
        </w:rPr>
        <w:t>Velikost povrchu opatřeného elektroforeticky nanášenou vrstvou nátěrové hmoty se vypočítává ze vztahu:</w:t>
      </w:r>
    </w:p>
    <w:p w14:paraId="40BD8C16" w14:textId="77777777" w:rsidR="00A77B3E" w:rsidRPr="0030358C" w:rsidRDefault="00000000">
      <w:pPr>
        <w:pStyle w:val="59"/>
        <w:rPr>
          <w:rFonts w:ascii="Arial" w:hAnsi="Arial" w:cs="Arial"/>
          <w:sz w:val="22"/>
          <w:szCs w:val="22"/>
        </w:rPr>
      </w:pPr>
      <w:r w:rsidRPr="0030358C">
        <w:rPr>
          <w:rFonts w:ascii="Arial" w:hAnsi="Arial" w:cs="Arial"/>
          <w:sz w:val="22"/>
          <w:szCs w:val="22"/>
        </w:rPr>
        <w:t>[2 x hmotnost karosérie] / [průměrná tloušťka plechu x hustota materiálu plechu]</w:t>
      </w:r>
    </w:p>
    <w:p w14:paraId="42B411F1" w14:textId="77777777" w:rsidR="00A77B3E" w:rsidRPr="0030358C" w:rsidRDefault="00000000">
      <w:pPr>
        <w:pStyle w:val="60"/>
        <w:rPr>
          <w:rFonts w:ascii="Arial" w:hAnsi="Arial" w:cs="Arial"/>
          <w:sz w:val="22"/>
          <w:szCs w:val="22"/>
        </w:rPr>
      </w:pPr>
      <w:r w:rsidRPr="0030358C">
        <w:rPr>
          <w:rFonts w:ascii="Arial" w:hAnsi="Arial" w:cs="Arial"/>
          <w:sz w:val="22"/>
          <w:szCs w:val="22"/>
        </w:rPr>
        <w:t>Tuto metodu lze rovněž použít pro jiné výrobky z plechu. K výpočtu celkové velikosti povrchu výrobku opatřovaného v daném zařízení vrstvou nátěrové hmoty lze rovněž využít softwarové systémy nebo jiné ekvivalentní metody. Jednotkou pro výpočet velikosti povrchu je m</w:t>
      </w:r>
      <w:r w:rsidRPr="0030358C">
        <w:rPr>
          <w:rFonts w:ascii="Arial" w:hAnsi="Arial" w:cs="Arial"/>
          <w:sz w:val="22"/>
          <w:szCs w:val="22"/>
          <w:vertAlign w:val="superscript"/>
        </w:rPr>
        <w:t>2</w:t>
      </w:r>
      <w:r w:rsidRPr="0030358C">
        <w:rPr>
          <w:rFonts w:ascii="Arial" w:hAnsi="Arial" w:cs="Arial"/>
          <w:sz w:val="22"/>
          <w:szCs w:val="22"/>
        </w:rPr>
        <w:t>.</w:t>
      </w:r>
    </w:p>
    <w:p w14:paraId="11211E40" w14:textId="77777777" w:rsidR="00A77B3E" w:rsidRPr="0030358C" w:rsidRDefault="00000000">
      <w:pPr>
        <w:pStyle w:val="88"/>
        <w:rPr>
          <w:rFonts w:ascii="Arial" w:hAnsi="Arial" w:cs="Arial"/>
          <w:sz w:val="22"/>
          <w:szCs w:val="22"/>
        </w:rPr>
      </w:pPr>
      <w:r w:rsidRPr="0030358C">
        <w:rPr>
          <w:rFonts w:ascii="Arial" w:hAnsi="Arial" w:cs="Arial"/>
          <w:sz w:val="22"/>
          <w:szCs w:val="22"/>
        </w:rPr>
        <w:t xml:space="preserve">Pro nátěry při výrobě nových silničních a kolejových vozidel s roční projektovanou spotřebou organických rozpouštědel </w:t>
      </w:r>
      <w:bookmarkStart w:id="57" w:name="_Hlk190853863"/>
      <w:r w:rsidRPr="0030358C">
        <w:rPr>
          <w:rFonts w:ascii="Arial" w:hAnsi="Arial" w:cs="Arial"/>
          <w:strike/>
          <w:sz w:val="22"/>
          <w:szCs w:val="22"/>
        </w:rPr>
        <w:t>od 15 t/rok</w:t>
      </w:r>
      <w:r w:rsidR="0036745E" w:rsidRPr="0030358C">
        <w:rPr>
          <w:rFonts w:ascii="Arial" w:hAnsi="Arial" w:cs="Arial"/>
          <w:sz w:val="22"/>
          <w:szCs w:val="22"/>
        </w:rPr>
        <w:t xml:space="preserve"> </w:t>
      </w:r>
      <w:r w:rsidR="0036745E" w:rsidRPr="0030358C">
        <w:rPr>
          <w:rFonts w:ascii="Arial" w:hAnsi="Arial" w:cs="Arial"/>
          <w:b/>
          <w:bCs/>
          <w:sz w:val="22"/>
          <w:szCs w:val="22"/>
        </w:rPr>
        <w:t>15 t/rok nebo větší</w:t>
      </w:r>
      <w:r w:rsidRPr="0030358C">
        <w:rPr>
          <w:rFonts w:ascii="Arial" w:hAnsi="Arial" w:cs="Arial"/>
          <w:sz w:val="22"/>
          <w:szCs w:val="22"/>
        </w:rPr>
        <w:t xml:space="preserve"> </w:t>
      </w:r>
      <w:bookmarkEnd w:id="57"/>
      <w:r w:rsidRPr="0030358C">
        <w:rPr>
          <w:rFonts w:ascii="Arial" w:hAnsi="Arial" w:cs="Arial"/>
          <w:sz w:val="22"/>
          <w:szCs w:val="22"/>
        </w:rPr>
        <w:t>platí údaje v následující tabulce.</w:t>
      </w:r>
    </w:p>
    <w:p w14:paraId="3E922C9B" w14:textId="77777777" w:rsidR="00A77B3E" w:rsidRPr="0030358C" w:rsidRDefault="00000000">
      <w:pPr>
        <w:pStyle w:val="72"/>
        <w:rPr>
          <w:rFonts w:ascii="Arial" w:hAnsi="Arial" w:cs="Arial"/>
          <w:sz w:val="22"/>
          <w:szCs w:val="22"/>
        </w:rPr>
      </w:pPr>
      <w:r w:rsidRPr="0030358C">
        <w:rPr>
          <w:rFonts w:ascii="Arial" w:hAnsi="Arial" w:cs="Arial"/>
          <w:sz w:val="22"/>
          <w:szCs w:val="22"/>
        </w:rPr>
        <w:t xml:space="preserve">Pro nátěry při výrobě nových silničních a kolejových vozidel s roční projektovanou spotřebou organických rozpouštědel menší než 15 t/rok platí požadavky stanovené v </w:t>
      </w:r>
      <w:hyperlink w:history="1">
        <w:r w:rsidR="00A77B3E" w:rsidRPr="0030358C">
          <w:rPr>
            <w:rFonts w:ascii="Arial" w:hAnsi="Arial" w:cs="Arial"/>
            <w:sz w:val="22"/>
            <w:szCs w:val="22"/>
          </w:rPr>
          <w:t>podbodu 4.3.</w:t>
        </w:r>
      </w:hyperlink>
      <w:r w:rsidRPr="0030358C">
        <w:rPr>
          <w:rFonts w:ascii="Arial" w:hAnsi="Arial" w:cs="Arial"/>
          <w:sz w:val="22"/>
          <w:szCs w:val="22"/>
        </w:rPr>
        <w:t xml:space="preserve"> této přílohy - Přestříkávání vozidel - opravárenství.</w:t>
      </w:r>
    </w:p>
    <w:p w14:paraId="08C6085C" w14:textId="77777777" w:rsidR="00A77B3E" w:rsidRPr="0030358C" w:rsidRDefault="00A77B3E">
      <w:pPr>
        <w:pStyle w:val="59"/>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88"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3595"/>
        <w:gridCol w:w="4450"/>
        <w:gridCol w:w="1243"/>
      </w:tblGrid>
      <w:tr w:rsidR="00E40657" w14:paraId="26DDA1FE" w14:textId="77777777" w:rsidTr="00166782">
        <w:trPr>
          <w:trHeight w:val="686"/>
        </w:trPr>
        <w:tc>
          <w:tcPr>
            <w:tcW w:w="3595" w:type="dxa"/>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303B60ED" w14:textId="77777777" w:rsidR="00A77B3E" w:rsidRPr="0030358C" w:rsidRDefault="00000000">
            <w:pPr>
              <w:pStyle w:val="59"/>
              <w:overflowPunct w:val="0"/>
              <w:ind w:left="0"/>
              <w:jc w:val="center"/>
              <w:rPr>
                <w:rFonts w:ascii="Arial" w:hAnsi="Arial" w:cs="Arial"/>
                <w:b/>
                <w:bCs/>
                <w:strike/>
                <w:sz w:val="22"/>
                <w:szCs w:val="22"/>
              </w:rPr>
            </w:pPr>
            <w:r w:rsidRPr="0030358C">
              <w:rPr>
                <w:rFonts w:ascii="Arial" w:hAnsi="Arial" w:cs="Arial"/>
                <w:b/>
                <w:bCs/>
                <w:sz w:val="22"/>
                <w:szCs w:val="22"/>
              </w:rPr>
              <w:t>Činnost s celkovou projektovanou spotřebou organických rozpouštědel</w:t>
            </w:r>
            <w:r w:rsidRPr="0030358C">
              <w:rPr>
                <w:rFonts w:ascii="Arial" w:hAnsi="Arial" w:cs="Arial"/>
                <w:b/>
                <w:bCs/>
                <w:sz w:val="22"/>
                <w:szCs w:val="22"/>
              </w:rPr>
              <w:br/>
            </w:r>
            <w:bookmarkStart w:id="58" w:name="_Hlk190853935"/>
            <w:r w:rsidRPr="0030358C">
              <w:rPr>
                <w:rFonts w:ascii="Arial" w:hAnsi="Arial" w:cs="Arial"/>
                <w:b/>
                <w:bCs/>
                <w:strike/>
                <w:sz w:val="22"/>
                <w:szCs w:val="22"/>
              </w:rPr>
              <w:t>&gt; 15 t/rok</w:t>
            </w:r>
            <w:bookmarkEnd w:id="58"/>
          </w:p>
          <w:p w14:paraId="71024414" w14:textId="77777777" w:rsidR="00CA5FE4"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 15 t/rok</w:t>
            </w:r>
          </w:p>
        </w:tc>
        <w:tc>
          <w:tcPr>
            <w:tcW w:w="4450" w:type="dxa"/>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EFAA740"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Roční produkce [ks]</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0EF4958"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4D2EDD5C" w14:textId="77777777" w:rsidTr="00166782">
        <w:trPr>
          <w:trHeight w:val="143"/>
        </w:trPr>
        <w:tc>
          <w:tcPr>
            <w:tcW w:w="3595" w:type="dxa"/>
            <w:vMerge/>
            <w:tcBorders>
              <w:left w:val="single" w:sz="12" w:space="0" w:color="000000"/>
              <w:bottom w:val="single" w:sz="12" w:space="0" w:color="000000"/>
              <w:right w:val="single" w:sz="12" w:space="0" w:color="000000"/>
            </w:tcBorders>
            <w:vAlign w:val="center"/>
            <w:hideMark/>
          </w:tcPr>
          <w:p w14:paraId="1F9C4BD7" w14:textId="77777777" w:rsidR="00A77B3E" w:rsidRPr="0030358C" w:rsidRDefault="00A77B3E">
            <w:pPr>
              <w:overflowPunct w:val="0"/>
              <w:rPr>
                <w:rFonts w:ascii="Arial" w:hAnsi="Arial" w:cs="Arial"/>
                <w:b/>
                <w:bCs/>
                <w:sz w:val="22"/>
                <w:szCs w:val="22"/>
              </w:rPr>
            </w:pPr>
          </w:p>
        </w:tc>
        <w:tc>
          <w:tcPr>
            <w:tcW w:w="4450" w:type="dxa"/>
            <w:vMerge/>
            <w:tcBorders>
              <w:left w:val="single" w:sz="12" w:space="0" w:color="000000"/>
              <w:bottom w:val="single" w:sz="12" w:space="0" w:color="000000"/>
              <w:right w:val="single" w:sz="12" w:space="0" w:color="000000"/>
            </w:tcBorders>
            <w:vAlign w:val="center"/>
            <w:hideMark/>
          </w:tcPr>
          <w:p w14:paraId="4A164448"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3465B71" w14:textId="77777777" w:rsidR="00A77B3E" w:rsidRPr="0030358C" w:rsidRDefault="00000000">
            <w:pPr>
              <w:pStyle w:val="59"/>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[g/m</w:t>
            </w:r>
            <w:r w:rsidRPr="0030358C">
              <w:rPr>
                <w:rFonts w:ascii="Arial" w:hAnsi="Arial" w:cs="Arial"/>
                <w:b/>
                <w:bCs/>
                <w:sz w:val="22"/>
                <w:szCs w:val="22"/>
                <w:vertAlign w:val="superscript"/>
              </w:rPr>
              <w:t>2</w:t>
            </w:r>
            <w:r w:rsidRPr="0030358C">
              <w:rPr>
                <w:rFonts w:ascii="Arial" w:hAnsi="Arial" w:cs="Arial"/>
                <w:b/>
                <w:bCs/>
                <w:sz w:val="22"/>
                <w:szCs w:val="22"/>
              </w:rPr>
              <w:t>]</w:t>
            </w:r>
          </w:p>
        </w:tc>
      </w:tr>
      <w:tr w:rsidR="00E40657" w14:paraId="2ECCB5DA" w14:textId="77777777" w:rsidTr="00166782">
        <w:trPr>
          <w:trHeight w:val="686"/>
        </w:trPr>
        <w:tc>
          <w:tcPr>
            <w:tcW w:w="3595" w:type="dxa"/>
            <w:vMerge w:val="restart"/>
            <w:tcBorders>
              <w:top w:val="single" w:sz="3" w:space="0" w:color="000000"/>
              <w:right w:val="single" w:sz="3" w:space="0" w:color="000000"/>
            </w:tcBorders>
            <w:tcMar>
              <w:top w:w="85" w:type="dxa"/>
              <w:left w:w="157" w:type="dxa"/>
              <w:bottom w:w="85" w:type="dxa"/>
              <w:right w:w="146" w:type="dxa"/>
            </w:tcMar>
            <w:vAlign w:val="center"/>
            <w:hideMark/>
          </w:tcPr>
          <w:p w14:paraId="19EEEE10"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nátěry nových osobních automobilů</w:t>
            </w:r>
          </w:p>
        </w:tc>
        <w:tc>
          <w:tcPr>
            <w:tcW w:w="4450"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2F94E8"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5000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27071D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45</w:t>
            </w:r>
            <w:r w:rsidRPr="0030358C">
              <w:rPr>
                <w:rFonts w:ascii="Arial" w:hAnsi="Arial" w:cs="Arial"/>
                <w:sz w:val="22"/>
                <w:szCs w:val="22"/>
              </w:rPr>
              <w:br/>
              <w:t>35</w:t>
            </w:r>
            <w:r w:rsidRPr="0030358C">
              <w:rPr>
                <w:rFonts w:ascii="Arial" w:hAnsi="Arial" w:cs="Arial"/>
                <w:sz w:val="22"/>
                <w:szCs w:val="22"/>
                <w:vertAlign w:val="superscript"/>
              </w:rPr>
              <w:t>2)</w:t>
            </w:r>
          </w:p>
        </w:tc>
      </w:tr>
      <w:tr w:rsidR="00E40657" w14:paraId="60820599" w14:textId="77777777" w:rsidTr="00166782">
        <w:trPr>
          <w:trHeight w:val="143"/>
        </w:trPr>
        <w:tc>
          <w:tcPr>
            <w:tcW w:w="3595" w:type="dxa"/>
            <w:vMerge/>
            <w:tcBorders>
              <w:bottom w:val="single" w:sz="3" w:space="0" w:color="000000"/>
              <w:right w:val="single" w:sz="3" w:space="0" w:color="000000"/>
            </w:tcBorders>
            <w:vAlign w:val="center"/>
            <w:hideMark/>
          </w:tcPr>
          <w:p w14:paraId="7E69371F" w14:textId="77777777" w:rsidR="00A77B3E" w:rsidRPr="0030358C" w:rsidRDefault="00A77B3E">
            <w:pPr>
              <w:overflowPunct w:val="0"/>
              <w:rPr>
                <w:rFonts w:ascii="Arial" w:hAnsi="Arial" w:cs="Arial"/>
                <w:sz w:val="22"/>
                <w:szCs w:val="22"/>
                <w:vertAlign w:val="superscript"/>
              </w:rPr>
            </w:pPr>
          </w:p>
        </w:tc>
        <w:tc>
          <w:tcPr>
            <w:tcW w:w="4450"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574A9AF"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5000 samonosných karosérií nebo</w:t>
            </w:r>
            <w:r w:rsidRPr="0030358C">
              <w:rPr>
                <w:rFonts w:ascii="Arial" w:hAnsi="Arial" w:cs="Arial"/>
                <w:sz w:val="22"/>
                <w:szCs w:val="22"/>
              </w:rPr>
              <w:br/>
              <w:t>&gt; 3500 karoserií upevněných na podvozek</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79E5726"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90</w:t>
            </w:r>
          </w:p>
        </w:tc>
      </w:tr>
      <w:tr w:rsidR="00E40657" w14:paraId="7C2F3CAD" w14:textId="77777777" w:rsidTr="00166782">
        <w:trPr>
          <w:trHeight w:val="418"/>
        </w:trPr>
        <w:tc>
          <w:tcPr>
            <w:tcW w:w="3595" w:type="dxa"/>
            <w:vMerge w:val="restart"/>
            <w:tcBorders>
              <w:top w:val="single" w:sz="3" w:space="0" w:color="000000"/>
              <w:right w:val="single" w:sz="3" w:space="0" w:color="000000"/>
            </w:tcBorders>
            <w:tcMar>
              <w:top w:w="85" w:type="dxa"/>
              <w:left w:w="157" w:type="dxa"/>
              <w:bottom w:w="85" w:type="dxa"/>
              <w:right w:w="146" w:type="dxa"/>
            </w:tcMar>
            <w:vAlign w:val="center"/>
            <w:hideMark/>
          </w:tcPr>
          <w:p w14:paraId="771DB2A5"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nátěry nových kabin nákladních automobilů a dodávek</w:t>
            </w:r>
          </w:p>
        </w:tc>
        <w:tc>
          <w:tcPr>
            <w:tcW w:w="4450"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95B4BA4"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5000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71BB67"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65</w:t>
            </w:r>
          </w:p>
        </w:tc>
      </w:tr>
      <w:tr w:rsidR="00E40657" w14:paraId="511BD73E" w14:textId="77777777" w:rsidTr="00166782">
        <w:trPr>
          <w:trHeight w:val="143"/>
        </w:trPr>
        <w:tc>
          <w:tcPr>
            <w:tcW w:w="3595" w:type="dxa"/>
            <w:vMerge/>
            <w:tcBorders>
              <w:bottom w:val="single" w:sz="3" w:space="0" w:color="000000"/>
              <w:right w:val="single" w:sz="3" w:space="0" w:color="000000"/>
            </w:tcBorders>
            <w:vAlign w:val="center"/>
            <w:hideMark/>
          </w:tcPr>
          <w:p w14:paraId="3B37A605" w14:textId="77777777" w:rsidR="00A77B3E" w:rsidRPr="0030358C" w:rsidRDefault="00A77B3E">
            <w:pPr>
              <w:overflowPunct w:val="0"/>
              <w:rPr>
                <w:rFonts w:ascii="Arial" w:hAnsi="Arial" w:cs="Arial"/>
                <w:sz w:val="22"/>
                <w:szCs w:val="22"/>
              </w:rPr>
            </w:pPr>
          </w:p>
        </w:tc>
        <w:tc>
          <w:tcPr>
            <w:tcW w:w="4450"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E8DA5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5000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00C40B9"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55</w:t>
            </w:r>
          </w:p>
        </w:tc>
      </w:tr>
      <w:tr w:rsidR="00E40657" w14:paraId="04A48C2A" w14:textId="77777777" w:rsidTr="00166782">
        <w:trPr>
          <w:trHeight w:val="418"/>
        </w:trPr>
        <w:tc>
          <w:tcPr>
            <w:tcW w:w="3595" w:type="dxa"/>
            <w:vMerge w:val="restart"/>
            <w:tcBorders>
              <w:top w:val="single" w:sz="3" w:space="0" w:color="000000"/>
              <w:right w:val="single" w:sz="3" w:space="0" w:color="000000"/>
            </w:tcBorders>
            <w:tcMar>
              <w:top w:w="85" w:type="dxa"/>
              <w:left w:w="157" w:type="dxa"/>
              <w:bottom w:w="85" w:type="dxa"/>
              <w:right w:w="146" w:type="dxa"/>
            </w:tcMar>
            <w:vAlign w:val="center"/>
            <w:hideMark/>
          </w:tcPr>
          <w:p w14:paraId="341D3DCA"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nátěry nových nákladních automobilů</w:t>
            </w:r>
          </w:p>
        </w:tc>
        <w:tc>
          <w:tcPr>
            <w:tcW w:w="4450"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0D8472C"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2500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42F4630"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90</w:t>
            </w:r>
          </w:p>
        </w:tc>
      </w:tr>
      <w:tr w:rsidR="00E40657" w14:paraId="121AE3A7" w14:textId="77777777" w:rsidTr="00166782">
        <w:trPr>
          <w:trHeight w:val="143"/>
        </w:trPr>
        <w:tc>
          <w:tcPr>
            <w:tcW w:w="3595" w:type="dxa"/>
            <w:vMerge/>
            <w:tcBorders>
              <w:bottom w:val="single" w:sz="3" w:space="0" w:color="000000"/>
              <w:right w:val="single" w:sz="3" w:space="0" w:color="000000"/>
            </w:tcBorders>
            <w:vAlign w:val="center"/>
            <w:hideMark/>
          </w:tcPr>
          <w:p w14:paraId="37A1C9E0" w14:textId="77777777" w:rsidR="00A77B3E" w:rsidRPr="0030358C" w:rsidRDefault="00A77B3E">
            <w:pPr>
              <w:overflowPunct w:val="0"/>
              <w:rPr>
                <w:rFonts w:ascii="Arial" w:hAnsi="Arial" w:cs="Arial"/>
                <w:sz w:val="22"/>
                <w:szCs w:val="22"/>
              </w:rPr>
            </w:pPr>
          </w:p>
        </w:tc>
        <w:tc>
          <w:tcPr>
            <w:tcW w:w="4450"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4CA6D1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2500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4C70515"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70</w:t>
            </w:r>
            <w:r w:rsidRPr="0030358C">
              <w:rPr>
                <w:rFonts w:ascii="Arial" w:hAnsi="Arial" w:cs="Arial"/>
                <w:sz w:val="22"/>
                <w:szCs w:val="22"/>
              </w:rPr>
              <w:br/>
              <w:t>50</w:t>
            </w:r>
            <w:r w:rsidRPr="0030358C">
              <w:rPr>
                <w:rFonts w:ascii="Arial" w:hAnsi="Arial" w:cs="Arial"/>
                <w:sz w:val="22"/>
                <w:szCs w:val="22"/>
                <w:vertAlign w:val="superscript"/>
              </w:rPr>
              <w:t>2)</w:t>
            </w:r>
          </w:p>
        </w:tc>
      </w:tr>
      <w:tr w:rsidR="00E40657" w14:paraId="613C7755" w14:textId="77777777" w:rsidTr="00166782">
        <w:trPr>
          <w:trHeight w:val="328"/>
        </w:trPr>
        <w:tc>
          <w:tcPr>
            <w:tcW w:w="3595"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C9C3C3C"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nátěry nových autobusů,</w:t>
            </w:r>
          </w:p>
        </w:tc>
        <w:tc>
          <w:tcPr>
            <w:tcW w:w="4450"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BF96FA"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 2000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10FABB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90</w:t>
            </w:r>
          </w:p>
        </w:tc>
      </w:tr>
      <w:tr w:rsidR="00E40657" w14:paraId="13168816" w14:textId="77777777" w:rsidTr="00166782">
        <w:trPr>
          <w:trHeight w:val="343"/>
        </w:trPr>
        <w:tc>
          <w:tcPr>
            <w:tcW w:w="3595" w:type="dxa"/>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7BADEFA" w14:textId="77777777" w:rsidR="00A77B3E" w:rsidRPr="0030358C" w:rsidRDefault="00000000">
            <w:pPr>
              <w:pStyle w:val="59"/>
              <w:overflowPunct w:val="0"/>
              <w:ind w:left="0"/>
              <w:jc w:val="left"/>
              <w:rPr>
                <w:rFonts w:ascii="Arial" w:hAnsi="Arial" w:cs="Arial"/>
                <w:sz w:val="22"/>
                <w:szCs w:val="22"/>
              </w:rPr>
            </w:pPr>
            <w:r w:rsidRPr="0030358C">
              <w:rPr>
                <w:rFonts w:ascii="Arial" w:hAnsi="Arial" w:cs="Arial"/>
                <w:sz w:val="22"/>
                <w:szCs w:val="22"/>
              </w:rPr>
              <w:t>trolejbusů a kolejových vozidel</w:t>
            </w:r>
          </w:p>
        </w:tc>
        <w:tc>
          <w:tcPr>
            <w:tcW w:w="4450"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7091AA1"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&gt; 2000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34F44FE" w14:textId="77777777" w:rsidR="00A77B3E" w:rsidRPr="0030358C" w:rsidRDefault="00000000">
            <w:pPr>
              <w:pStyle w:val="59"/>
              <w:overflowPunct w:val="0"/>
              <w:ind w:left="0"/>
              <w:jc w:val="center"/>
              <w:rPr>
                <w:rFonts w:ascii="Arial" w:hAnsi="Arial" w:cs="Arial"/>
                <w:sz w:val="22"/>
                <w:szCs w:val="22"/>
              </w:rPr>
            </w:pPr>
            <w:r w:rsidRPr="0030358C">
              <w:rPr>
                <w:rFonts w:ascii="Arial" w:hAnsi="Arial" w:cs="Arial"/>
                <w:sz w:val="22"/>
                <w:szCs w:val="22"/>
              </w:rPr>
              <w:t>70</w:t>
            </w:r>
          </w:p>
        </w:tc>
      </w:tr>
    </w:tbl>
    <w:p w14:paraId="626F763B" w14:textId="77777777" w:rsidR="00A77B3E" w:rsidRPr="0030358C" w:rsidRDefault="00A77B3E">
      <w:pPr>
        <w:pStyle w:val="59"/>
        <w:rPr>
          <w:rFonts w:ascii="Arial" w:hAnsi="Arial" w:cs="Arial"/>
          <w:sz w:val="22"/>
          <w:szCs w:val="22"/>
        </w:rPr>
      </w:pPr>
    </w:p>
    <w:p w14:paraId="691795CA" w14:textId="77777777" w:rsidR="00A77B3E" w:rsidRPr="0030358C" w:rsidRDefault="00A77B3E">
      <w:pPr>
        <w:pStyle w:val="60"/>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48DA56DA" w14:textId="77777777" w:rsidR="00A77B3E" w:rsidRPr="0030358C" w:rsidRDefault="00000000">
      <w:pPr>
        <w:pStyle w:val="60"/>
        <w:rPr>
          <w:rFonts w:ascii="Arial" w:hAnsi="Arial" w:cs="Arial"/>
          <w:sz w:val="22"/>
          <w:szCs w:val="22"/>
        </w:rPr>
      </w:pPr>
      <w:r w:rsidRPr="0030358C">
        <w:rPr>
          <w:rFonts w:ascii="Arial" w:hAnsi="Arial" w:cs="Arial"/>
          <w:sz w:val="22"/>
          <w:szCs w:val="22"/>
        </w:rPr>
        <w:t>Vysvětlivky:</w:t>
      </w:r>
    </w:p>
    <w:p w14:paraId="7B42B552" w14:textId="77777777" w:rsidR="00A77B3E" w:rsidRPr="0030358C" w:rsidRDefault="00000000">
      <w:pPr>
        <w:pStyle w:val="61"/>
        <w:rPr>
          <w:rFonts w:ascii="Arial" w:hAnsi="Arial" w:cs="Arial"/>
          <w:sz w:val="22"/>
          <w:szCs w:val="22"/>
        </w:rPr>
      </w:pPr>
      <w:r w:rsidRPr="0030358C">
        <w:rPr>
          <w:rFonts w:ascii="Arial" w:hAnsi="Arial" w:cs="Arial"/>
          <w:sz w:val="22"/>
          <w:szCs w:val="22"/>
        </w:rPr>
        <w:t xml:space="preserve">1)    Podíl hmotnosti emisí těkavých organických látek a celkové plochy výrobku. Hodnota podílu je vztažena na všechny fáze procesu provozovaného ve stejném </w:t>
      </w:r>
      <w:r w:rsidRPr="0030358C">
        <w:rPr>
          <w:rFonts w:ascii="Arial" w:hAnsi="Arial" w:cs="Arial"/>
          <w:sz w:val="22"/>
          <w:szCs w:val="22"/>
        </w:rPr>
        <w:lastRenderedPageBreak/>
        <w:t>zařízení elektroforetickým nanášením nebo jakýmkoli jiným typem procesu aplikace nátěrových hmot, včetně konečné konzervace voskem a leštění vrchního nátěru, včetně použití organických rozpouštědel k čištění provozního zařízení.</w:t>
      </w:r>
    </w:p>
    <w:p w14:paraId="4932F99C" w14:textId="77777777" w:rsidR="00A77B3E" w:rsidRPr="0030358C" w:rsidRDefault="00000000">
      <w:pPr>
        <w:pStyle w:val="62"/>
        <w:rPr>
          <w:rFonts w:ascii="Arial" w:hAnsi="Arial" w:cs="Arial"/>
          <w:sz w:val="22"/>
          <w:szCs w:val="22"/>
        </w:rPr>
      </w:pPr>
      <w:r w:rsidRPr="0030358C">
        <w:rPr>
          <w:rFonts w:ascii="Arial" w:hAnsi="Arial" w:cs="Arial"/>
          <w:sz w:val="22"/>
          <w:szCs w:val="22"/>
        </w:rPr>
        <w:t xml:space="preserve">2)    Platí </w:t>
      </w:r>
      <w:r w:rsidRPr="0030358C">
        <w:rPr>
          <w:rFonts w:ascii="Arial" w:hAnsi="Arial" w:cs="Arial"/>
          <w:strike/>
          <w:sz w:val="22"/>
          <w:szCs w:val="22"/>
        </w:rPr>
        <w:t>od 1. ledna 2019,</w:t>
      </w:r>
      <w:r w:rsidRPr="0030358C">
        <w:rPr>
          <w:rFonts w:ascii="Arial" w:hAnsi="Arial" w:cs="Arial"/>
          <w:sz w:val="22"/>
          <w:szCs w:val="22"/>
        </w:rPr>
        <w:t xml:space="preserve"> při celkové projektované spotřebě organických rozpouštědel &gt; 200 t/rok.</w:t>
      </w:r>
    </w:p>
    <w:p w14:paraId="439EA206" w14:textId="77777777" w:rsidR="00A77B3E" w:rsidRPr="0030358C" w:rsidRDefault="00000000">
      <w:pPr>
        <w:pStyle w:val="73"/>
        <w:rPr>
          <w:rFonts w:ascii="Arial" w:hAnsi="Arial" w:cs="Arial"/>
          <w:szCs w:val="22"/>
        </w:rPr>
      </w:pPr>
      <w:r w:rsidRPr="0030358C">
        <w:rPr>
          <w:rFonts w:ascii="Arial" w:hAnsi="Arial" w:cs="Arial"/>
          <w:szCs w:val="22"/>
        </w:rPr>
        <w:t xml:space="preserve">4.8.    Jednorázové aplikace nátěrových hmot, které se z důvodu nadměrných rozměrů natíraných povrchů uskutečňují mimo prostory lakoven, a jejichž celková spotřeba organických rozpouštědel je vyšší než 0,1 tun (stacionární zdroje neuvedené v </w:t>
      </w:r>
      <w:hyperlink w:history="1">
        <w:r w:rsidR="00A77B3E" w:rsidRPr="0030358C">
          <w:rPr>
            <w:rFonts w:ascii="Arial" w:hAnsi="Arial" w:cs="Arial"/>
            <w:szCs w:val="22"/>
          </w:rPr>
          <w:t>příloze č. 2</w:t>
        </w:r>
      </w:hyperlink>
      <w:r w:rsidRPr="0030358C">
        <w:rPr>
          <w:rFonts w:ascii="Arial" w:hAnsi="Arial" w:cs="Arial"/>
          <w:szCs w:val="22"/>
        </w:rPr>
        <w:t xml:space="preserve"> </w:t>
      </w:r>
      <w:hyperlink w:history="1">
        <w:r w:rsidR="00A77B3E" w:rsidRPr="0030358C">
          <w:rPr>
            <w:rFonts w:ascii="Arial" w:hAnsi="Arial" w:cs="Arial"/>
            <w:szCs w:val="22"/>
          </w:rPr>
          <w:t>zákona</w:t>
        </w:r>
      </w:hyperlink>
      <w:r w:rsidRPr="0030358C">
        <w:rPr>
          <w:rFonts w:ascii="Arial" w:hAnsi="Arial" w:cs="Arial"/>
          <w:szCs w:val="22"/>
        </w:rPr>
        <w:t>)</w:t>
      </w:r>
    </w:p>
    <w:p w14:paraId="37BA9D8B" w14:textId="77777777" w:rsidR="00A77B3E" w:rsidRPr="0030358C" w:rsidRDefault="00000000">
      <w:pPr>
        <w:pStyle w:val="74"/>
        <w:rPr>
          <w:rFonts w:ascii="Arial" w:hAnsi="Arial" w:cs="Arial"/>
          <w:sz w:val="22"/>
          <w:szCs w:val="22"/>
        </w:rPr>
      </w:pPr>
      <w:r w:rsidRPr="0030358C">
        <w:rPr>
          <w:rFonts w:ascii="Arial" w:hAnsi="Arial" w:cs="Arial"/>
          <w:sz w:val="22"/>
          <w:szCs w:val="22"/>
        </w:rPr>
        <w:t>Tyto činnosti zahrnují jednorázové aplikace nátěrových hmot, jako je natírání rozměrných dílů mimo prostory lakoven v areálu provozovny, nebo natírání na vnitřních nebo venkovních plochách, zejména na budovách, konstrukcích, stožárech atp.</w:t>
      </w:r>
    </w:p>
    <w:p w14:paraId="0D3A9D6A" w14:textId="77777777" w:rsidR="00A77B3E" w:rsidRPr="0030358C" w:rsidRDefault="00000000">
      <w:pPr>
        <w:pStyle w:val="74"/>
        <w:rPr>
          <w:rFonts w:ascii="Arial" w:hAnsi="Arial" w:cs="Arial"/>
          <w:sz w:val="22"/>
          <w:szCs w:val="22"/>
        </w:rPr>
      </w:pPr>
      <w:r w:rsidRPr="0030358C">
        <w:rPr>
          <w:rFonts w:ascii="Arial" w:hAnsi="Arial" w:cs="Arial"/>
          <w:sz w:val="22"/>
          <w:szCs w:val="22"/>
        </w:rPr>
        <w:t>Technická podmínka provozu:</w:t>
      </w:r>
    </w:p>
    <w:p w14:paraId="1CB59CAA" w14:textId="77777777" w:rsidR="00A77B3E" w:rsidRPr="0030358C" w:rsidRDefault="00000000">
      <w:pPr>
        <w:pStyle w:val="74"/>
        <w:rPr>
          <w:rFonts w:ascii="Arial" w:hAnsi="Arial" w:cs="Arial"/>
          <w:sz w:val="22"/>
          <w:szCs w:val="22"/>
        </w:rPr>
      </w:pPr>
      <w:r w:rsidRPr="0030358C">
        <w:rPr>
          <w:rFonts w:ascii="Arial" w:hAnsi="Arial" w:cs="Arial"/>
          <w:sz w:val="22"/>
          <w:szCs w:val="22"/>
        </w:rPr>
        <w:t>Přijmout vhodná opatření k minimalizaci emisí těkavých organických látek, např. použitím nátěrových hmot se sníženým obsahem organických rozpouštědel, zvolením vhodné aplikační techniky (aplikace nátěrových hmot válečkováním či štětcem), omezením přestřiků.</w:t>
      </w:r>
    </w:p>
    <w:p w14:paraId="7E47DF39" w14:textId="77777777" w:rsidR="00A77B3E" w:rsidRPr="0030358C" w:rsidRDefault="00000000">
      <w:pPr>
        <w:pStyle w:val="46"/>
        <w:rPr>
          <w:rFonts w:ascii="Arial" w:hAnsi="Arial" w:cs="Arial"/>
          <w:szCs w:val="22"/>
        </w:rPr>
      </w:pPr>
      <w:r w:rsidRPr="0030358C">
        <w:rPr>
          <w:rFonts w:ascii="Arial" w:hAnsi="Arial" w:cs="Arial"/>
          <w:szCs w:val="22"/>
        </w:rPr>
        <w:t xml:space="preserve">5.    Navalování navíjených drátů s celkovou projektovanou spotřebou organických rozpouštědel 0,6 t za rok nebo větší (kód 9.15.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264B9A20" w14:textId="77777777" w:rsidR="00A77B3E" w:rsidRPr="0030358C" w:rsidRDefault="00000000">
      <w:pPr>
        <w:pStyle w:val="47"/>
        <w:rPr>
          <w:rFonts w:ascii="Arial" w:hAnsi="Arial" w:cs="Arial"/>
          <w:sz w:val="22"/>
          <w:szCs w:val="22"/>
        </w:rPr>
      </w:pPr>
      <w:r w:rsidRPr="0030358C">
        <w:rPr>
          <w:rFonts w:ascii="Arial" w:hAnsi="Arial" w:cs="Arial"/>
          <w:sz w:val="22"/>
          <w:szCs w:val="22"/>
        </w:rPr>
        <w:t>Jakákoli činnost natírání kovových vodičů používaných k navíjení cívek v transformátorech, motorech atd.</w:t>
      </w:r>
    </w:p>
    <w:p w14:paraId="3D648063"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43"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7323"/>
        <w:gridCol w:w="1920"/>
      </w:tblGrid>
      <w:tr w:rsidR="00E40657" w14:paraId="12BDAA7A" w14:textId="77777777" w:rsidTr="00166782">
        <w:trPr>
          <w:trHeight w:val="463"/>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39E29BC"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5B3EDFB"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5592534B" w14:textId="77777777" w:rsidTr="00166782">
        <w:trPr>
          <w:trHeight w:val="158"/>
        </w:trPr>
        <w:tc>
          <w:tcPr>
            <w:tcW w:w="0" w:type="auto"/>
            <w:vMerge/>
            <w:tcBorders>
              <w:left w:val="single" w:sz="12" w:space="0" w:color="000000"/>
              <w:bottom w:val="single" w:sz="12" w:space="0" w:color="000000"/>
              <w:right w:val="single" w:sz="12" w:space="0" w:color="000000"/>
            </w:tcBorders>
            <w:vAlign w:val="center"/>
            <w:hideMark/>
          </w:tcPr>
          <w:p w14:paraId="1141BA34"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19112FE"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[g/kg]</w:t>
            </w:r>
          </w:p>
        </w:tc>
      </w:tr>
      <w:tr w:rsidR="00E40657" w14:paraId="5815EF5B" w14:textId="77777777" w:rsidTr="00166782">
        <w:trPr>
          <w:trHeight w:val="678"/>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99246D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BB4F48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w:t>
            </w:r>
            <w:r w:rsidRPr="0030358C">
              <w:rPr>
                <w:rFonts w:ascii="Arial" w:hAnsi="Arial" w:cs="Arial"/>
                <w:sz w:val="22"/>
                <w:szCs w:val="22"/>
                <w:vertAlign w:val="superscript"/>
              </w:rPr>
              <w:t>2)</w:t>
            </w:r>
            <w:r w:rsidRPr="0030358C">
              <w:rPr>
                <w:rFonts w:ascii="Arial" w:hAnsi="Arial" w:cs="Arial"/>
                <w:sz w:val="22"/>
                <w:szCs w:val="22"/>
              </w:rPr>
              <w:br/>
              <w:t>5</w:t>
            </w:r>
            <w:r w:rsidRPr="0030358C">
              <w:rPr>
                <w:rFonts w:ascii="Arial" w:hAnsi="Arial" w:cs="Arial"/>
                <w:sz w:val="22"/>
                <w:szCs w:val="22"/>
                <w:vertAlign w:val="superscript"/>
              </w:rPr>
              <w:t>3)</w:t>
            </w:r>
          </w:p>
        </w:tc>
      </w:tr>
    </w:tbl>
    <w:p w14:paraId="5C8C49C1" w14:textId="77777777" w:rsidR="00A77B3E" w:rsidRPr="0030358C" w:rsidRDefault="00A77B3E">
      <w:pPr>
        <w:pStyle w:val="47"/>
        <w:rPr>
          <w:rFonts w:ascii="Arial" w:hAnsi="Arial" w:cs="Arial"/>
          <w:sz w:val="22"/>
          <w:szCs w:val="22"/>
        </w:rPr>
      </w:pPr>
    </w:p>
    <w:p w14:paraId="0CF646D6"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5F082B6C"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5776CA77" w14:textId="77777777" w:rsidR="00A77B3E" w:rsidRPr="0030358C" w:rsidRDefault="00000000">
      <w:pPr>
        <w:pStyle w:val="89"/>
        <w:rPr>
          <w:rFonts w:ascii="Arial" w:hAnsi="Arial" w:cs="Arial"/>
          <w:sz w:val="22"/>
          <w:szCs w:val="22"/>
        </w:rPr>
      </w:pPr>
      <w:r w:rsidRPr="0030358C">
        <w:rPr>
          <w:rFonts w:ascii="Arial" w:hAnsi="Arial" w:cs="Arial"/>
          <w:sz w:val="22"/>
          <w:szCs w:val="22"/>
        </w:rPr>
        <w:t>1)    Podíl hmotnosti emisí těkavých organických látek a celkové hmotnosti výrobku.</w:t>
      </w:r>
    </w:p>
    <w:p w14:paraId="03421738" w14:textId="77777777" w:rsidR="00A77B3E" w:rsidRPr="0030358C" w:rsidRDefault="00000000">
      <w:pPr>
        <w:pStyle w:val="89"/>
        <w:rPr>
          <w:rFonts w:ascii="Arial" w:hAnsi="Arial" w:cs="Arial"/>
          <w:sz w:val="22"/>
          <w:szCs w:val="22"/>
        </w:rPr>
      </w:pPr>
      <w:r w:rsidRPr="0030358C">
        <w:rPr>
          <w:rFonts w:ascii="Arial" w:hAnsi="Arial" w:cs="Arial"/>
          <w:sz w:val="22"/>
          <w:szCs w:val="22"/>
        </w:rPr>
        <w:t>2)    Platí pro nátěry drátu o průměru menším než 0,1 mm.</w:t>
      </w:r>
    </w:p>
    <w:p w14:paraId="1981669C" w14:textId="77777777" w:rsidR="00A77B3E" w:rsidRPr="0030358C" w:rsidRDefault="00000000">
      <w:pPr>
        <w:pStyle w:val="69"/>
        <w:rPr>
          <w:rFonts w:ascii="Arial" w:hAnsi="Arial" w:cs="Arial"/>
          <w:sz w:val="22"/>
          <w:szCs w:val="22"/>
        </w:rPr>
      </w:pPr>
      <w:r w:rsidRPr="0030358C">
        <w:rPr>
          <w:rFonts w:ascii="Arial" w:hAnsi="Arial" w:cs="Arial"/>
          <w:sz w:val="22"/>
          <w:szCs w:val="22"/>
        </w:rPr>
        <w:t>3)    Platí v ostatních případech.</w:t>
      </w:r>
    </w:p>
    <w:p w14:paraId="144A290C" w14:textId="77777777" w:rsidR="00A77B3E" w:rsidRPr="0030358C" w:rsidRDefault="00000000">
      <w:pPr>
        <w:pStyle w:val="46"/>
        <w:rPr>
          <w:rFonts w:ascii="Arial" w:hAnsi="Arial" w:cs="Arial"/>
          <w:szCs w:val="22"/>
        </w:rPr>
      </w:pPr>
      <w:r w:rsidRPr="0030358C">
        <w:rPr>
          <w:rFonts w:ascii="Arial" w:hAnsi="Arial" w:cs="Arial"/>
          <w:szCs w:val="22"/>
        </w:rPr>
        <w:t xml:space="preserve">6.    Nanášení adhesivních materiálů s celkovou projektovanou spotřebou organických rozpouštědel 0,6 t za rok nebo větší (kód 9.16.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7C156894" w14:textId="77777777" w:rsidR="00A77B3E" w:rsidRPr="0030358C" w:rsidRDefault="00000000">
      <w:pPr>
        <w:pStyle w:val="54"/>
        <w:rPr>
          <w:rFonts w:ascii="Arial" w:hAnsi="Arial" w:cs="Arial"/>
          <w:sz w:val="22"/>
          <w:szCs w:val="22"/>
        </w:rPr>
      </w:pPr>
      <w:r w:rsidRPr="0030358C">
        <w:rPr>
          <w:rFonts w:ascii="Arial" w:hAnsi="Arial" w:cs="Arial"/>
          <w:sz w:val="22"/>
          <w:szCs w:val="22"/>
        </w:rPr>
        <w:t>Jakákoli činnost zahrnující aplikaci adhesivních materiálů na povrchy včetně následného lisování těchto materiálů, s výjimkou adhesivních nátěrů a laminování v polygrafii.</w:t>
      </w:r>
    </w:p>
    <w:p w14:paraId="5C59F0F2" w14:textId="77777777" w:rsidR="00A77B3E" w:rsidRPr="0030358C" w:rsidRDefault="00000000">
      <w:pPr>
        <w:pStyle w:val="55"/>
        <w:rPr>
          <w:rFonts w:ascii="Arial" w:hAnsi="Arial" w:cs="Arial"/>
          <w:sz w:val="22"/>
          <w:szCs w:val="22"/>
        </w:rPr>
      </w:pPr>
      <w:r w:rsidRPr="0030358C">
        <w:rPr>
          <w:rFonts w:ascii="Arial" w:hAnsi="Arial" w:cs="Arial"/>
          <w:sz w:val="22"/>
          <w:szCs w:val="22"/>
        </w:rPr>
        <w:t>Pokud aplikace adhesivních materiálů zahrnuje operaci, při které je tentýž výrobek potiskován jakoukoli tiskařskou technologií, je tato tiskařská operace považována za součást nanášení adhesivních materiálů. Samostatné tiskařské činnosti však do těchto činností zahrnuty nejsou.</w:t>
      </w:r>
    </w:p>
    <w:p w14:paraId="017D656F" w14:textId="77777777" w:rsidR="00A77B3E" w:rsidRPr="0030358C" w:rsidRDefault="00000000">
      <w:pPr>
        <w:pStyle w:val="56"/>
        <w:rPr>
          <w:rFonts w:ascii="Arial" w:hAnsi="Arial" w:cs="Arial"/>
          <w:sz w:val="22"/>
          <w:szCs w:val="22"/>
        </w:rPr>
      </w:pPr>
      <w:r w:rsidRPr="0030358C">
        <w:rPr>
          <w:rFonts w:ascii="Arial" w:hAnsi="Arial" w:cs="Arial"/>
          <w:sz w:val="22"/>
          <w:szCs w:val="22"/>
        </w:rPr>
        <w:t>Adhesivním materiálem se rozumí jakákoliv směs, včetně organických rozpouštědel a včetně složek nezbytných pro její správnou aplikaci, která je použita ke spojování oddělených částí vyráběných výrobků.</w:t>
      </w:r>
    </w:p>
    <w:p w14:paraId="42A90DEB"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82"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171"/>
        <w:gridCol w:w="2273"/>
        <w:gridCol w:w="1738"/>
      </w:tblGrid>
      <w:tr w:rsidR="00E40657" w14:paraId="22CB1515" w14:textId="77777777" w:rsidTr="00760B1A">
        <w:trPr>
          <w:trHeight w:val="825"/>
        </w:trPr>
        <w:tc>
          <w:tcPr>
            <w:tcW w:w="5171" w:type="dxa"/>
            <w:vMerge w:val="restart"/>
            <w:tcBorders>
              <w:top w:val="single" w:sz="12" w:space="0" w:color="000000"/>
              <w:left w:val="single" w:sz="12" w:space="0" w:color="000000"/>
              <w:right w:val="single" w:sz="4" w:space="0" w:color="auto"/>
            </w:tcBorders>
            <w:tcMar>
              <w:top w:w="85" w:type="dxa"/>
              <w:left w:w="157" w:type="dxa"/>
              <w:bottom w:w="85" w:type="dxa"/>
              <w:right w:w="157" w:type="dxa"/>
            </w:tcMar>
            <w:vAlign w:val="center"/>
            <w:hideMark/>
          </w:tcPr>
          <w:p w14:paraId="6A87CBDC" w14:textId="77777777" w:rsidR="00F4711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lastRenderedPageBreak/>
              <w:t>Celková projektovaná spotřeba organických rozpouštědel</w:t>
            </w:r>
            <w:r w:rsidRPr="0030358C">
              <w:rPr>
                <w:rFonts w:ascii="Arial" w:hAnsi="Arial" w:cs="Arial"/>
                <w:b/>
                <w:bCs/>
                <w:sz w:val="22"/>
                <w:szCs w:val="22"/>
              </w:rPr>
              <w:br/>
              <w:t>[t/rok]</w:t>
            </w:r>
          </w:p>
        </w:tc>
        <w:tc>
          <w:tcPr>
            <w:tcW w:w="4011" w:type="dxa"/>
            <w:gridSpan w:val="2"/>
            <w:tcBorders>
              <w:top w:val="single" w:sz="4" w:space="0" w:color="auto"/>
              <w:left w:val="single" w:sz="4" w:space="0" w:color="auto"/>
            </w:tcBorders>
          </w:tcPr>
          <w:p w14:paraId="76A493E8" w14:textId="77777777" w:rsidR="00F4711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5656279A" w14:textId="77777777" w:rsidTr="00760B1A">
        <w:trPr>
          <w:trHeight w:val="283"/>
        </w:trPr>
        <w:tc>
          <w:tcPr>
            <w:tcW w:w="5171" w:type="dxa"/>
            <w:vMerge/>
            <w:tcBorders>
              <w:left w:val="single" w:sz="12" w:space="0" w:color="000000"/>
              <w:bottom w:val="single" w:sz="12" w:space="0" w:color="000000"/>
              <w:right w:val="single" w:sz="12" w:space="0" w:color="000000"/>
            </w:tcBorders>
            <w:vAlign w:val="center"/>
            <w:hideMark/>
          </w:tcPr>
          <w:p w14:paraId="63F48C63" w14:textId="77777777" w:rsidR="00A77B3E" w:rsidRPr="0030358C" w:rsidRDefault="00A77B3E">
            <w:pPr>
              <w:overflowPunct w:val="0"/>
              <w:rPr>
                <w:rFonts w:ascii="Arial" w:hAnsi="Arial" w:cs="Arial"/>
                <w:b/>
                <w:bCs/>
                <w:sz w:val="22"/>
                <w:szCs w:val="22"/>
              </w:rPr>
            </w:pPr>
          </w:p>
        </w:tc>
        <w:tc>
          <w:tcPr>
            <w:tcW w:w="2273" w:type="dxa"/>
            <w:tcBorders>
              <w:top w:val="single" w:sz="4" w:space="0" w:color="auto"/>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7BA8FED"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738"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B304866"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6A1D57DB" w14:textId="77777777" w:rsidTr="00760B1A">
        <w:trPr>
          <w:trHeight w:val="1179"/>
        </w:trPr>
        <w:tc>
          <w:tcPr>
            <w:tcW w:w="51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23A21C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5 - 15</w:t>
            </w:r>
          </w:p>
        </w:tc>
        <w:tc>
          <w:tcPr>
            <w:tcW w:w="227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B2E992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50</w:t>
            </w:r>
            <w:r w:rsidRPr="0030358C">
              <w:rPr>
                <w:rFonts w:ascii="Arial" w:hAnsi="Arial" w:cs="Arial"/>
                <w:sz w:val="22"/>
                <w:szCs w:val="22"/>
              </w:rPr>
              <w:br/>
              <w:t>150</w:t>
            </w:r>
            <w:r w:rsidRPr="0030358C">
              <w:rPr>
                <w:rFonts w:ascii="Arial" w:hAnsi="Arial" w:cs="Arial"/>
                <w:sz w:val="22"/>
                <w:szCs w:val="22"/>
                <w:vertAlign w:val="superscript"/>
              </w:rPr>
              <w:t>1)</w:t>
            </w:r>
          </w:p>
        </w:tc>
        <w:tc>
          <w:tcPr>
            <w:tcW w:w="173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5B70A9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25</w:t>
            </w:r>
          </w:p>
        </w:tc>
      </w:tr>
      <w:tr w:rsidR="00E40657" w14:paraId="7B3362AB" w14:textId="77777777" w:rsidTr="00760B1A">
        <w:trPr>
          <w:trHeight w:val="1208"/>
        </w:trPr>
        <w:tc>
          <w:tcPr>
            <w:tcW w:w="51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2C05E1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15 – 200</w:t>
            </w:r>
          </w:p>
        </w:tc>
        <w:tc>
          <w:tcPr>
            <w:tcW w:w="227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8E5DFD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50</w:t>
            </w:r>
            <w:r w:rsidRPr="0030358C">
              <w:rPr>
                <w:rFonts w:ascii="Arial" w:hAnsi="Arial" w:cs="Arial"/>
                <w:sz w:val="22"/>
                <w:szCs w:val="22"/>
              </w:rPr>
              <w:br/>
              <w:t>150</w:t>
            </w:r>
            <w:r w:rsidRPr="0030358C">
              <w:rPr>
                <w:rFonts w:ascii="Arial" w:hAnsi="Arial" w:cs="Arial"/>
                <w:sz w:val="22"/>
                <w:szCs w:val="22"/>
                <w:vertAlign w:val="superscript"/>
              </w:rPr>
              <w:t>1)</w:t>
            </w:r>
          </w:p>
        </w:tc>
        <w:tc>
          <w:tcPr>
            <w:tcW w:w="173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5C9D66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20</w:t>
            </w:r>
          </w:p>
        </w:tc>
      </w:tr>
      <w:tr w:rsidR="00E40657" w14:paraId="693ADB7B" w14:textId="77777777" w:rsidTr="00760B1A">
        <w:trPr>
          <w:trHeight w:val="1208"/>
        </w:trPr>
        <w:tc>
          <w:tcPr>
            <w:tcW w:w="5171" w:type="dxa"/>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D5D22D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200</w:t>
            </w:r>
          </w:p>
        </w:tc>
        <w:tc>
          <w:tcPr>
            <w:tcW w:w="2273"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90F9C7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50</w:t>
            </w:r>
            <w:r w:rsidRPr="0030358C">
              <w:rPr>
                <w:rFonts w:ascii="Arial" w:hAnsi="Arial" w:cs="Arial"/>
                <w:sz w:val="22"/>
                <w:szCs w:val="22"/>
              </w:rPr>
              <w:br/>
              <w:t>100</w:t>
            </w:r>
            <w:r w:rsidRPr="0030358C">
              <w:rPr>
                <w:rFonts w:ascii="Arial" w:hAnsi="Arial" w:cs="Arial"/>
                <w:sz w:val="22"/>
                <w:szCs w:val="22"/>
                <w:vertAlign w:val="superscript"/>
              </w:rPr>
              <w:t>1),</w:t>
            </w:r>
            <w:r w:rsidRPr="0030358C">
              <w:rPr>
                <w:rFonts w:ascii="Arial" w:hAnsi="Arial" w:cs="Arial"/>
                <w:strike/>
                <w:sz w:val="22"/>
                <w:szCs w:val="22"/>
                <w:vertAlign w:val="superscript"/>
              </w:rPr>
              <w:t>2)</w:t>
            </w:r>
          </w:p>
        </w:tc>
        <w:tc>
          <w:tcPr>
            <w:tcW w:w="1738"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6F1E71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15</w:t>
            </w:r>
            <w:r w:rsidRPr="0030358C">
              <w:rPr>
                <w:rFonts w:ascii="Arial" w:hAnsi="Arial" w:cs="Arial"/>
                <w:strike/>
                <w:sz w:val="22"/>
                <w:szCs w:val="22"/>
                <w:vertAlign w:val="superscript"/>
              </w:rPr>
              <w:t>2)</w:t>
            </w:r>
          </w:p>
        </w:tc>
      </w:tr>
    </w:tbl>
    <w:p w14:paraId="1202E922" w14:textId="77777777" w:rsidR="00A77B3E" w:rsidRPr="0030358C" w:rsidRDefault="00A77B3E">
      <w:pPr>
        <w:pStyle w:val="47"/>
        <w:rPr>
          <w:rFonts w:ascii="Arial" w:hAnsi="Arial" w:cs="Arial"/>
          <w:sz w:val="22"/>
          <w:szCs w:val="22"/>
        </w:rPr>
      </w:pPr>
    </w:p>
    <w:p w14:paraId="14B682F7"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38CAE764"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5B1BC0DE" w14:textId="77777777" w:rsidR="00A77B3E" w:rsidRPr="0030358C" w:rsidRDefault="00000000">
      <w:pPr>
        <w:pStyle w:val="89"/>
        <w:rPr>
          <w:rFonts w:ascii="Arial" w:hAnsi="Arial" w:cs="Arial"/>
          <w:sz w:val="22"/>
          <w:szCs w:val="22"/>
        </w:rPr>
      </w:pPr>
      <w:r w:rsidRPr="0030358C">
        <w:rPr>
          <w:rFonts w:ascii="Arial" w:hAnsi="Arial" w:cs="Arial"/>
          <w:sz w:val="22"/>
          <w:szCs w:val="22"/>
        </w:rPr>
        <w:t>1)    Platí pro stacionární zdroje, které opětovně využívají regenerovaná organická rozpouštědla.</w:t>
      </w:r>
    </w:p>
    <w:p w14:paraId="52C2E0CF" w14:textId="77777777" w:rsidR="00A77B3E" w:rsidRPr="0030358C" w:rsidRDefault="00000000">
      <w:pPr>
        <w:pStyle w:val="69"/>
        <w:rPr>
          <w:rFonts w:ascii="Arial" w:hAnsi="Arial" w:cs="Arial"/>
          <w:strike/>
          <w:sz w:val="22"/>
          <w:szCs w:val="22"/>
        </w:rPr>
      </w:pPr>
      <w:r w:rsidRPr="0030358C">
        <w:rPr>
          <w:rFonts w:ascii="Arial" w:hAnsi="Arial" w:cs="Arial"/>
          <w:strike/>
          <w:sz w:val="22"/>
          <w:szCs w:val="22"/>
        </w:rPr>
        <w:t>2)    Platí od 1. ledna 2019.</w:t>
      </w:r>
    </w:p>
    <w:p w14:paraId="19374F13" w14:textId="77777777" w:rsidR="00A77B3E" w:rsidRPr="0030358C" w:rsidRDefault="00000000">
      <w:pPr>
        <w:pStyle w:val="46"/>
        <w:rPr>
          <w:rFonts w:ascii="Arial" w:hAnsi="Arial" w:cs="Arial"/>
          <w:szCs w:val="22"/>
        </w:rPr>
      </w:pPr>
      <w:r w:rsidRPr="0030358C">
        <w:rPr>
          <w:rFonts w:ascii="Arial" w:hAnsi="Arial" w:cs="Arial"/>
          <w:szCs w:val="22"/>
        </w:rPr>
        <w:t xml:space="preserve">7.    Impregnace dřeva s celkovou projektovanou spotřebou organických rozpouštědel 0,6 t za rok nebo větší (kód 9.17.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79E158A0" w14:textId="77777777" w:rsidR="00A77B3E" w:rsidRPr="0030358C" w:rsidRDefault="00000000">
      <w:pPr>
        <w:pStyle w:val="47"/>
        <w:rPr>
          <w:rFonts w:ascii="Arial" w:hAnsi="Arial" w:cs="Arial"/>
          <w:sz w:val="22"/>
          <w:szCs w:val="22"/>
        </w:rPr>
      </w:pPr>
      <w:r w:rsidRPr="0030358C">
        <w:rPr>
          <w:rFonts w:ascii="Arial" w:hAnsi="Arial" w:cs="Arial"/>
          <w:sz w:val="22"/>
          <w:szCs w:val="22"/>
        </w:rPr>
        <w:t>Jakákoliv činnost zavádějící ochranné prostředky do dřeva.</w:t>
      </w:r>
    </w:p>
    <w:p w14:paraId="5511F254"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11"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245"/>
        <w:gridCol w:w="1747"/>
        <w:gridCol w:w="1743"/>
        <w:gridCol w:w="1476"/>
      </w:tblGrid>
      <w:tr w:rsidR="00E40657" w14:paraId="1E5B0122" w14:textId="77777777" w:rsidTr="00166782">
        <w:trPr>
          <w:trHeight w:val="480"/>
        </w:trPr>
        <w:tc>
          <w:tcPr>
            <w:tcW w:w="4245" w:type="dxa"/>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2C8A5244"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4966" w:type="dxa"/>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182B4B2"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490EB82D" w14:textId="77777777" w:rsidTr="00166782">
        <w:trPr>
          <w:trHeight w:val="164"/>
        </w:trPr>
        <w:tc>
          <w:tcPr>
            <w:tcW w:w="4245" w:type="dxa"/>
            <w:vMerge/>
            <w:tcBorders>
              <w:left w:val="single" w:sz="12" w:space="0" w:color="000000"/>
              <w:bottom w:val="single" w:sz="12" w:space="0" w:color="000000"/>
              <w:right w:val="single" w:sz="12" w:space="0" w:color="000000"/>
            </w:tcBorders>
            <w:vAlign w:val="center"/>
            <w:hideMark/>
          </w:tcPr>
          <w:p w14:paraId="2447417B" w14:textId="77777777" w:rsidR="00A77B3E" w:rsidRPr="0030358C" w:rsidRDefault="00A77B3E">
            <w:pPr>
              <w:overflowPunct w:val="0"/>
              <w:rPr>
                <w:rFonts w:ascii="Arial" w:hAnsi="Arial" w:cs="Arial"/>
                <w:b/>
                <w:bCs/>
                <w:sz w:val="22"/>
                <w:szCs w:val="22"/>
              </w:rPr>
            </w:pPr>
          </w:p>
        </w:tc>
        <w:tc>
          <w:tcPr>
            <w:tcW w:w="1747"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CA7D423"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[kg/m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743"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D82355B"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TOC</w:t>
            </w:r>
            <w:r w:rsidRPr="0030358C">
              <w:rPr>
                <w:rFonts w:ascii="Arial" w:hAnsi="Arial" w:cs="Arial"/>
                <w:b/>
                <w:bCs/>
                <w:sz w:val="22"/>
                <w:szCs w:val="22"/>
                <w:vertAlign w:val="superscript"/>
              </w:rPr>
              <w:t>2)</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1475"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745BA73"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 xml:space="preserve">F </w:t>
            </w:r>
            <w:r w:rsidRPr="0030358C">
              <w:rPr>
                <w:rFonts w:ascii="Arial" w:hAnsi="Arial" w:cs="Arial"/>
                <w:b/>
                <w:bCs/>
                <w:sz w:val="22"/>
                <w:szCs w:val="22"/>
              </w:rPr>
              <w:t>[%]</w:t>
            </w:r>
          </w:p>
        </w:tc>
      </w:tr>
      <w:tr w:rsidR="00E40657" w14:paraId="4EB0EC9A" w14:textId="77777777" w:rsidTr="00166782">
        <w:trPr>
          <w:trHeight w:val="377"/>
        </w:trPr>
        <w:tc>
          <w:tcPr>
            <w:tcW w:w="4245"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4BC6D7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0,6 - 5</w:t>
            </w:r>
          </w:p>
        </w:tc>
        <w:tc>
          <w:tcPr>
            <w:tcW w:w="1747"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C137C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11</w:t>
            </w:r>
          </w:p>
        </w:tc>
        <w:tc>
          <w:tcPr>
            <w:tcW w:w="174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E852E8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c>
          <w:tcPr>
            <w:tcW w:w="1475"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655A53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w:t>
            </w:r>
          </w:p>
        </w:tc>
      </w:tr>
      <w:tr w:rsidR="00E40657" w14:paraId="6F128625" w14:textId="77777777" w:rsidTr="00166782">
        <w:trPr>
          <w:trHeight w:val="377"/>
        </w:trPr>
        <w:tc>
          <w:tcPr>
            <w:tcW w:w="4245"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471A8E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5 – 200</w:t>
            </w:r>
          </w:p>
        </w:tc>
        <w:tc>
          <w:tcPr>
            <w:tcW w:w="1747"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768D73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11</w:t>
            </w:r>
          </w:p>
        </w:tc>
        <w:tc>
          <w:tcPr>
            <w:tcW w:w="1743"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164A2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c>
          <w:tcPr>
            <w:tcW w:w="1475"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E2791D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45</w:t>
            </w:r>
          </w:p>
        </w:tc>
      </w:tr>
      <w:tr w:rsidR="00E40657" w14:paraId="51A257F6" w14:textId="77777777" w:rsidTr="00166782">
        <w:trPr>
          <w:trHeight w:val="394"/>
        </w:trPr>
        <w:tc>
          <w:tcPr>
            <w:tcW w:w="4245" w:type="dxa"/>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4B13D9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200</w:t>
            </w:r>
          </w:p>
        </w:tc>
        <w:tc>
          <w:tcPr>
            <w:tcW w:w="1747"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E9599C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9</w:t>
            </w:r>
            <w:r w:rsidRPr="0030358C">
              <w:rPr>
                <w:rFonts w:ascii="Arial" w:hAnsi="Arial" w:cs="Arial"/>
                <w:strike/>
                <w:sz w:val="22"/>
                <w:szCs w:val="22"/>
                <w:vertAlign w:val="superscript"/>
              </w:rPr>
              <w:t>3)</w:t>
            </w:r>
          </w:p>
        </w:tc>
        <w:tc>
          <w:tcPr>
            <w:tcW w:w="1743"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C388CA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c>
          <w:tcPr>
            <w:tcW w:w="1475"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4077DE9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35</w:t>
            </w:r>
            <w:r w:rsidRPr="0030358C">
              <w:rPr>
                <w:rFonts w:ascii="Arial" w:hAnsi="Arial" w:cs="Arial"/>
                <w:strike/>
                <w:sz w:val="22"/>
                <w:szCs w:val="22"/>
                <w:vertAlign w:val="superscript"/>
              </w:rPr>
              <w:t>3)</w:t>
            </w:r>
          </w:p>
        </w:tc>
      </w:tr>
    </w:tbl>
    <w:p w14:paraId="5C1558CC" w14:textId="77777777" w:rsidR="00A77B3E" w:rsidRPr="0030358C" w:rsidRDefault="00A77B3E">
      <w:pPr>
        <w:pStyle w:val="47"/>
        <w:rPr>
          <w:rFonts w:ascii="Arial" w:hAnsi="Arial" w:cs="Arial"/>
          <w:sz w:val="22"/>
          <w:szCs w:val="22"/>
        </w:rPr>
      </w:pPr>
    </w:p>
    <w:p w14:paraId="39FC818C"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27029FDE"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2ABBD07B" w14:textId="77777777" w:rsidR="00A77B3E" w:rsidRPr="0030358C" w:rsidRDefault="00000000">
      <w:pPr>
        <w:pStyle w:val="89"/>
        <w:rPr>
          <w:rFonts w:ascii="Arial" w:hAnsi="Arial" w:cs="Arial"/>
          <w:sz w:val="22"/>
          <w:szCs w:val="22"/>
        </w:rPr>
      </w:pPr>
      <w:r w:rsidRPr="0030358C">
        <w:rPr>
          <w:rFonts w:ascii="Arial" w:hAnsi="Arial" w:cs="Arial"/>
          <w:sz w:val="22"/>
          <w:szCs w:val="22"/>
        </w:rPr>
        <w:t>1)    Podíl hmotnosti emisí těkavých organických látek a celkového objemu impregnovaného dřeva. Emisní limit VOC</w:t>
      </w:r>
      <w:r w:rsidRPr="0030358C">
        <w:rPr>
          <w:rFonts w:ascii="Arial" w:hAnsi="Arial" w:cs="Arial"/>
          <w:sz w:val="22"/>
          <w:szCs w:val="22"/>
          <w:vertAlign w:val="subscript"/>
        </w:rPr>
        <w:t>E</w:t>
      </w:r>
      <w:r w:rsidRPr="0030358C">
        <w:rPr>
          <w:rFonts w:ascii="Arial" w:hAnsi="Arial" w:cs="Arial"/>
          <w:sz w:val="22"/>
          <w:szCs w:val="22"/>
        </w:rPr>
        <w:t xml:space="preserve"> se uplatňuje, pokud zdroj zjišťuje úroveň emisí výpočtem namísto měřením.</w:t>
      </w:r>
    </w:p>
    <w:p w14:paraId="0239C771" w14:textId="77777777" w:rsidR="00A77B3E" w:rsidRPr="0030358C" w:rsidRDefault="00000000">
      <w:pPr>
        <w:pStyle w:val="89"/>
        <w:rPr>
          <w:rFonts w:ascii="Arial" w:hAnsi="Arial" w:cs="Arial"/>
          <w:sz w:val="22"/>
          <w:szCs w:val="22"/>
        </w:rPr>
      </w:pPr>
      <w:r w:rsidRPr="0030358C">
        <w:rPr>
          <w:rFonts w:ascii="Arial" w:hAnsi="Arial" w:cs="Arial"/>
          <w:sz w:val="22"/>
          <w:szCs w:val="22"/>
        </w:rPr>
        <w:t>2)    Uvedený emisní limit TOC neplatí pro zařízení využívající k impregnaci dřeva kreosot.</w:t>
      </w:r>
    </w:p>
    <w:p w14:paraId="7DA4FBD6" w14:textId="77777777" w:rsidR="00A77B3E" w:rsidRPr="0030358C" w:rsidRDefault="00000000">
      <w:pPr>
        <w:pStyle w:val="69"/>
        <w:rPr>
          <w:rFonts w:ascii="Arial" w:hAnsi="Arial" w:cs="Arial"/>
          <w:strike/>
          <w:sz w:val="22"/>
          <w:szCs w:val="22"/>
        </w:rPr>
      </w:pPr>
      <w:r w:rsidRPr="0030358C">
        <w:rPr>
          <w:rFonts w:ascii="Arial" w:hAnsi="Arial" w:cs="Arial"/>
          <w:strike/>
          <w:sz w:val="22"/>
          <w:szCs w:val="22"/>
        </w:rPr>
        <w:t>3)    Platí od 1. ledna 2019.</w:t>
      </w:r>
    </w:p>
    <w:p w14:paraId="3D5E2D04" w14:textId="77777777" w:rsidR="00A77B3E" w:rsidRPr="0030358C" w:rsidRDefault="00000000">
      <w:pPr>
        <w:pStyle w:val="46"/>
        <w:rPr>
          <w:rFonts w:ascii="Arial" w:hAnsi="Arial" w:cs="Arial"/>
          <w:szCs w:val="22"/>
        </w:rPr>
      </w:pPr>
      <w:r w:rsidRPr="0030358C">
        <w:rPr>
          <w:rFonts w:ascii="Arial" w:hAnsi="Arial" w:cs="Arial"/>
          <w:szCs w:val="22"/>
        </w:rPr>
        <w:lastRenderedPageBreak/>
        <w:t xml:space="preserve">8.    Laminování dřeva a plastů s celkovou projektovanou spotřebou organických rozpouštědel 0,6 t za rok nebo větší (kód 9.18.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60F1CEFD" w14:textId="77777777" w:rsidR="00A77B3E" w:rsidRPr="0030358C" w:rsidRDefault="00000000">
      <w:pPr>
        <w:pStyle w:val="47"/>
        <w:rPr>
          <w:rFonts w:ascii="Arial" w:hAnsi="Arial" w:cs="Arial"/>
          <w:sz w:val="22"/>
          <w:szCs w:val="22"/>
        </w:rPr>
      </w:pPr>
      <w:r w:rsidRPr="0030358C">
        <w:rPr>
          <w:rFonts w:ascii="Arial" w:hAnsi="Arial" w:cs="Arial"/>
          <w:sz w:val="22"/>
          <w:szCs w:val="22"/>
        </w:rPr>
        <w:t>Jakákoli činnost spojování vrstev dřeva a/nebo plastů k výrobě laminátů.</w:t>
      </w:r>
    </w:p>
    <w:p w14:paraId="379EA643"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26"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256"/>
        <w:gridCol w:w="2551"/>
        <w:gridCol w:w="2419"/>
      </w:tblGrid>
      <w:tr w:rsidR="00E40657" w14:paraId="346C8E37" w14:textId="77777777" w:rsidTr="00166782">
        <w:trPr>
          <w:trHeight w:val="720"/>
        </w:trPr>
        <w:tc>
          <w:tcPr>
            <w:tcW w:w="4256" w:type="dxa"/>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C5D36D3"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4970" w:type="dxa"/>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F0D185C"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75EB2884" w14:textId="77777777" w:rsidTr="00166782">
        <w:trPr>
          <w:trHeight w:val="190"/>
        </w:trPr>
        <w:tc>
          <w:tcPr>
            <w:tcW w:w="4256" w:type="dxa"/>
            <w:vMerge/>
            <w:tcBorders>
              <w:left w:val="single" w:sz="12" w:space="0" w:color="000000"/>
              <w:bottom w:val="single" w:sz="12" w:space="0" w:color="000000"/>
              <w:right w:val="single" w:sz="12" w:space="0" w:color="000000"/>
            </w:tcBorders>
            <w:vAlign w:val="center"/>
            <w:hideMark/>
          </w:tcPr>
          <w:p w14:paraId="43989325" w14:textId="77777777" w:rsidR="00A77B3E" w:rsidRPr="0030358C" w:rsidRDefault="00A77B3E">
            <w:pPr>
              <w:overflowPunct w:val="0"/>
              <w:rPr>
                <w:rFonts w:ascii="Arial" w:hAnsi="Arial" w:cs="Arial"/>
                <w:b/>
                <w:bCs/>
                <w:sz w:val="22"/>
                <w:szCs w:val="22"/>
              </w:rPr>
            </w:pPr>
          </w:p>
        </w:tc>
        <w:tc>
          <w:tcPr>
            <w:tcW w:w="2551"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F51D100"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[g/m</w:t>
            </w:r>
            <w:r w:rsidRPr="0030358C">
              <w:rPr>
                <w:rFonts w:ascii="Arial" w:hAnsi="Arial" w:cs="Arial"/>
                <w:b/>
                <w:bCs/>
                <w:sz w:val="22"/>
                <w:szCs w:val="22"/>
                <w:vertAlign w:val="superscript"/>
              </w:rPr>
              <w:t>2</w:t>
            </w:r>
            <w:r w:rsidRPr="0030358C">
              <w:rPr>
                <w:rFonts w:ascii="Arial" w:hAnsi="Arial" w:cs="Arial"/>
                <w:b/>
                <w:bCs/>
                <w:sz w:val="22"/>
                <w:szCs w:val="22"/>
              </w:rPr>
              <w:t>]</w:t>
            </w:r>
          </w:p>
        </w:tc>
        <w:tc>
          <w:tcPr>
            <w:tcW w:w="2419"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0CBCFAF"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TZL</w:t>
            </w:r>
            <w:r w:rsidRPr="0030358C">
              <w:rPr>
                <w:rFonts w:ascii="Arial" w:hAnsi="Arial" w:cs="Arial"/>
                <w:b/>
                <w:bCs/>
                <w:sz w:val="22"/>
                <w:szCs w:val="22"/>
                <w:vertAlign w:val="superscript"/>
              </w:rPr>
              <w:t>2)</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1A942EE7" w14:textId="77777777" w:rsidTr="00166782">
        <w:trPr>
          <w:trHeight w:val="459"/>
        </w:trPr>
        <w:tc>
          <w:tcPr>
            <w:tcW w:w="4256" w:type="dxa"/>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97E35C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5</w:t>
            </w:r>
          </w:p>
        </w:tc>
        <w:tc>
          <w:tcPr>
            <w:tcW w:w="2551"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9E20DC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30</w:t>
            </w:r>
          </w:p>
        </w:tc>
        <w:tc>
          <w:tcPr>
            <w:tcW w:w="2419"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0384AA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bl>
    <w:p w14:paraId="41D805AC" w14:textId="77777777" w:rsidR="00A77B3E" w:rsidRPr="0030358C" w:rsidRDefault="00A77B3E">
      <w:pPr>
        <w:pStyle w:val="47"/>
        <w:rPr>
          <w:rFonts w:ascii="Arial" w:hAnsi="Arial" w:cs="Arial"/>
          <w:sz w:val="22"/>
          <w:szCs w:val="22"/>
        </w:rPr>
      </w:pPr>
    </w:p>
    <w:p w14:paraId="175E6257"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1AEF68B1"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6D9013E8" w14:textId="77777777" w:rsidR="00A77B3E" w:rsidRPr="0030358C" w:rsidRDefault="00000000">
      <w:pPr>
        <w:pStyle w:val="89"/>
        <w:rPr>
          <w:rFonts w:ascii="Arial" w:hAnsi="Arial" w:cs="Arial"/>
          <w:sz w:val="22"/>
          <w:szCs w:val="22"/>
        </w:rPr>
      </w:pPr>
      <w:r w:rsidRPr="0030358C">
        <w:rPr>
          <w:rFonts w:ascii="Arial" w:hAnsi="Arial" w:cs="Arial"/>
          <w:sz w:val="22"/>
          <w:szCs w:val="22"/>
        </w:rPr>
        <w:t>1)    Podíl hmotnosti emisí těkavých organických látek a celkové velikosti povrchu finální nalaminované plochy, ze které dochází k uvolňování těkavých organických látek do ovzduší.</w:t>
      </w:r>
    </w:p>
    <w:p w14:paraId="4B58A1AB" w14:textId="77777777" w:rsidR="00A77B3E" w:rsidRPr="0030358C" w:rsidRDefault="00000000">
      <w:pPr>
        <w:pStyle w:val="69"/>
        <w:rPr>
          <w:rFonts w:ascii="Arial" w:hAnsi="Arial" w:cs="Arial"/>
          <w:sz w:val="22"/>
          <w:szCs w:val="22"/>
        </w:rPr>
      </w:pPr>
      <w:r w:rsidRPr="0030358C">
        <w:rPr>
          <w:rFonts w:ascii="Arial" w:hAnsi="Arial" w:cs="Arial"/>
          <w:sz w:val="22"/>
          <w:szCs w:val="22"/>
        </w:rPr>
        <w:t>2)    Platí v případech broušení a řezání laminátů v rámci daného zdroje.</w:t>
      </w:r>
    </w:p>
    <w:p w14:paraId="223EF6AA" w14:textId="77777777" w:rsidR="00A77B3E" w:rsidRPr="0030358C" w:rsidRDefault="00000000">
      <w:pPr>
        <w:pStyle w:val="46"/>
        <w:rPr>
          <w:rFonts w:ascii="Arial" w:hAnsi="Arial" w:cs="Arial"/>
          <w:szCs w:val="22"/>
        </w:rPr>
      </w:pPr>
      <w:r w:rsidRPr="0030358C">
        <w:rPr>
          <w:rFonts w:ascii="Arial" w:hAnsi="Arial" w:cs="Arial"/>
          <w:szCs w:val="22"/>
        </w:rPr>
        <w:t xml:space="preserve">9.    Výroba kompozitů za použití kapalných nenasycených polyesterových pryskyřic s obsahem styrenu s celkovou projektovanou spotřebou těkavých organických látek 0,6 t za rok nebo větší (kód 9.19.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64898D8E" w14:textId="77777777" w:rsidR="00A77B3E" w:rsidRPr="0030358C" w:rsidRDefault="00000000">
      <w:pPr>
        <w:pStyle w:val="47"/>
        <w:rPr>
          <w:rFonts w:ascii="Arial" w:hAnsi="Arial" w:cs="Arial"/>
          <w:sz w:val="22"/>
          <w:szCs w:val="22"/>
        </w:rPr>
      </w:pPr>
      <w:r w:rsidRPr="0030358C">
        <w:rPr>
          <w:rFonts w:ascii="Arial" w:hAnsi="Arial" w:cs="Arial"/>
          <w:sz w:val="22"/>
          <w:szCs w:val="22"/>
        </w:rPr>
        <w:t>Jakákoli činnost, při které jsou používány kapalné nenasycené polyesterové pryskyřice s obsahem styrenu k výrobě kompozitů.</w:t>
      </w:r>
    </w:p>
    <w:p w14:paraId="0C086A77"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27"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248"/>
        <w:gridCol w:w="1610"/>
        <w:gridCol w:w="1653"/>
        <w:gridCol w:w="1716"/>
      </w:tblGrid>
      <w:tr w:rsidR="00E40657" w14:paraId="7E9E331E" w14:textId="77777777" w:rsidTr="00166782">
        <w:trPr>
          <w:trHeight w:val="440"/>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39E8FD98"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VOC</w:t>
            </w:r>
            <w:r w:rsidRPr="0030358C">
              <w:rPr>
                <w:rFonts w:ascii="Arial" w:hAnsi="Arial" w:cs="Arial"/>
                <w:b/>
                <w:bCs/>
                <w:sz w:val="22"/>
                <w:szCs w:val="22"/>
                <w:vertAlign w:val="superscript"/>
              </w:rPr>
              <w:t>1)</w:t>
            </w:r>
            <w:r w:rsidRPr="0030358C">
              <w:rPr>
                <w:rFonts w:ascii="Arial" w:hAnsi="Arial" w:cs="Arial"/>
                <w:b/>
                <w:bCs/>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A558A0F"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0F7103EB" w14:textId="77777777" w:rsidTr="00166782">
        <w:trPr>
          <w:trHeight w:val="150"/>
        </w:trPr>
        <w:tc>
          <w:tcPr>
            <w:tcW w:w="0" w:type="auto"/>
            <w:vMerge/>
            <w:tcBorders>
              <w:left w:val="single" w:sz="12" w:space="0" w:color="000000"/>
              <w:bottom w:val="single" w:sz="12" w:space="0" w:color="000000"/>
              <w:right w:val="single" w:sz="12" w:space="0" w:color="000000"/>
            </w:tcBorders>
            <w:vAlign w:val="center"/>
            <w:hideMark/>
          </w:tcPr>
          <w:p w14:paraId="161C05A7"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C11A5F8"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2)</w:t>
            </w:r>
            <w:r w:rsidRPr="0030358C">
              <w:rPr>
                <w:rFonts w:ascii="Arial" w:hAnsi="Arial" w:cs="Arial"/>
                <w:b/>
                <w:bCs/>
                <w:sz w:val="22"/>
                <w:szCs w:val="22"/>
              </w:rPr>
              <w:t xml:space="preserve"> [kg/t]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C18EDD0"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36832C8"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TZL</w:t>
            </w:r>
            <w:r w:rsidRPr="0030358C">
              <w:rPr>
                <w:rFonts w:ascii="Arial" w:hAnsi="Arial" w:cs="Arial"/>
                <w:b/>
                <w:bCs/>
                <w:sz w:val="22"/>
                <w:szCs w:val="22"/>
                <w:vertAlign w:val="superscript"/>
              </w:rPr>
              <w:t>3)</w:t>
            </w:r>
            <w:r w:rsidRPr="0030358C">
              <w:rPr>
                <w:rFonts w:ascii="Arial" w:hAnsi="Arial" w:cs="Arial"/>
                <w:b/>
                <w:bCs/>
                <w:sz w:val="22"/>
                <w:szCs w:val="22"/>
              </w:rPr>
              <w:t xml:space="preserve"> [mg/m</w:t>
            </w:r>
            <w:r w:rsidRPr="0030358C">
              <w:rPr>
                <w:rFonts w:ascii="Arial" w:hAnsi="Arial" w:cs="Arial"/>
                <w:b/>
                <w:bCs/>
                <w:sz w:val="22"/>
                <w:szCs w:val="22"/>
                <w:vertAlign w:val="superscript"/>
              </w:rPr>
              <w:t>3</w:t>
            </w:r>
            <w:r w:rsidRPr="0030358C">
              <w:rPr>
                <w:rFonts w:ascii="Arial" w:hAnsi="Arial" w:cs="Arial"/>
                <w:b/>
                <w:bCs/>
                <w:sz w:val="22"/>
                <w:szCs w:val="22"/>
              </w:rPr>
              <w:t>]</w:t>
            </w:r>
          </w:p>
        </w:tc>
      </w:tr>
      <w:tr w:rsidR="00E40657" w14:paraId="7F40DA50" w14:textId="77777777" w:rsidTr="00166782">
        <w:trPr>
          <w:trHeight w:val="345"/>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DAFF90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0,6 – 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F082C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180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FD5662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85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8BCD4E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r w:rsidR="00E40657" w14:paraId="471E64FF" w14:textId="77777777" w:rsidTr="00166782">
        <w:trPr>
          <w:trHeight w:val="345"/>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604300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5 – 20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9B2D42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140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C81E01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85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D7FB3B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r w:rsidR="00E40657" w14:paraId="2171A21E" w14:textId="77777777" w:rsidTr="00166782">
        <w:trPr>
          <w:trHeight w:val="345"/>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4156B9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20 – 200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4CD81B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AF5CE5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85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2FA253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r w:rsidR="00E40657" w14:paraId="7BAC227C" w14:textId="77777777" w:rsidTr="00166782">
        <w:trPr>
          <w:trHeight w:val="361"/>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1F65202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200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58F6E6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80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A8B576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85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EA42F0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bl>
    <w:p w14:paraId="15B3E942" w14:textId="77777777" w:rsidR="00A77B3E" w:rsidRPr="0030358C" w:rsidRDefault="00A77B3E">
      <w:pPr>
        <w:pStyle w:val="47"/>
        <w:rPr>
          <w:rFonts w:ascii="Arial" w:hAnsi="Arial" w:cs="Arial"/>
          <w:sz w:val="22"/>
          <w:szCs w:val="22"/>
        </w:rPr>
      </w:pPr>
    </w:p>
    <w:p w14:paraId="32084658"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027F6EBF"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6DC84184" w14:textId="77777777" w:rsidR="00A77B3E" w:rsidRPr="0030358C" w:rsidRDefault="00000000">
      <w:pPr>
        <w:pStyle w:val="89"/>
        <w:rPr>
          <w:rFonts w:ascii="Arial" w:hAnsi="Arial" w:cs="Arial"/>
          <w:sz w:val="22"/>
          <w:szCs w:val="22"/>
        </w:rPr>
      </w:pPr>
      <w:r w:rsidRPr="0030358C">
        <w:rPr>
          <w:rFonts w:ascii="Arial" w:hAnsi="Arial" w:cs="Arial"/>
          <w:sz w:val="22"/>
          <w:szCs w:val="22"/>
        </w:rPr>
        <w:t>1)    Do projektované spotřeby VOC se započítává také celkové množství styrenu obsaženého ve vstupních surovinách.</w:t>
      </w:r>
    </w:p>
    <w:p w14:paraId="368664A2" w14:textId="77777777" w:rsidR="00A77B3E" w:rsidRPr="0030358C" w:rsidRDefault="00000000">
      <w:pPr>
        <w:pStyle w:val="89"/>
        <w:rPr>
          <w:rFonts w:ascii="Arial" w:hAnsi="Arial" w:cs="Arial"/>
          <w:sz w:val="22"/>
          <w:szCs w:val="22"/>
        </w:rPr>
      </w:pPr>
      <w:r w:rsidRPr="0030358C">
        <w:rPr>
          <w:rFonts w:ascii="Arial" w:hAnsi="Arial" w:cs="Arial"/>
          <w:sz w:val="22"/>
          <w:szCs w:val="22"/>
        </w:rPr>
        <w:t>2)    Podíl hmotnosti emisí těkavých organických látek a celkového množství spotřebovaných vstupních surovin s obsahem VOC (pryskyřice, gelcoaty, aceton a další).</w:t>
      </w:r>
    </w:p>
    <w:p w14:paraId="5CCF792F" w14:textId="77777777" w:rsidR="00A77B3E" w:rsidRPr="0030358C" w:rsidRDefault="00000000">
      <w:pPr>
        <w:pStyle w:val="69"/>
        <w:rPr>
          <w:rFonts w:ascii="Arial" w:hAnsi="Arial" w:cs="Arial"/>
          <w:sz w:val="22"/>
          <w:szCs w:val="22"/>
        </w:rPr>
      </w:pPr>
      <w:r w:rsidRPr="0030358C">
        <w:rPr>
          <w:rFonts w:ascii="Arial" w:hAnsi="Arial" w:cs="Arial"/>
          <w:sz w:val="22"/>
          <w:szCs w:val="22"/>
        </w:rPr>
        <w:t>3)    Platí v případech broušení a řezání kompozitových výrobků v rámci daného zdroje.</w:t>
      </w:r>
    </w:p>
    <w:p w14:paraId="1E68F437" w14:textId="77777777" w:rsidR="00A77B3E" w:rsidRPr="0030358C" w:rsidRDefault="00000000">
      <w:pPr>
        <w:pStyle w:val="46"/>
        <w:rPr>
          <w:rFonts w:ascii="Arial" w:hAnsi="Arial" w:cs="Arial"/>
          <w:szCs w:val="22"/>
        </w:rPr>
      </w:pPr>
      <w:r w:rsidRPr="0030358C">
        <w:rPr>
          <w:rFonts w:ascii="Arial" w:hAnsi="Arial" w:cs="Arial"/>
          <w:szCs w:val="22"/>
        </w:rPr>
        <w:t xml:space="preserve">10.    Výroba nátěrových hmot, adhezivních materiálů a tiskařských barev s celkovou projektovanou spotřebou organických rozpouštědel 10 t za rok nebo větší (kód 9.20.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3B6DAA49" w14:textId="77777777" w:rsidR="00A77B3E" w:rsidRPr="0030358C" w:rsidRDefault="00000000">
      <w:pPr>
        <w:pStyle w:val="47"/>
        <w:rPr>
          <w:rFonts w:ascii="Arial" w:hAnsi="Arial" w:cs="Arial"/>
          <w:sz w:val="22"/>
          <w:szCs w:val="22"/>
        </w:rPr>
      </w:pPr>
      <w:r w:rsidRPr="0030358C">
        <w:rPr>
          <w:rFonts w:ascii="Arial" w:hAnsi="Arial" w:cs="Arial"/>
          <w:sz w:val="22"/>
          <w:szCs w:val="22"/>
        </w:rPr>
        <w:t xml:space="preserve">Výroba konečných výrobků nebo meziproduktů nátěrových hmot, adhesivních materiálů a tiskařských barev vyráběných ve stejném místě míšením pigmentů, pryskyřic nebo adhesivních materiálů s organickými rozpouštědly nebo s jinými nosiči, včetně procesu </w:t>
      </w:r>
      <w:r w:rsidRPr="0030358C">
        <w:rPr>
          <w:rFonts w:ascii="Arial" w:hAnsi="Arial" w:cs="Arial"/>
          <w:sz w:val="22"/>
          <w:szCs w:val="22"/>
        </w:rPr>
        <w:lastRenderedPageBreak/>
        <w:t>dispergování a přípravných predispergačních aktivit, včetně úprav viskozity nebo odstínu a operací plnění konečného výrobku do jeho obalů.</w:t>
      </w:r>
    </w:p>
    <w:p w14:paraId="792A9738"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52"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931"/>
        <w:gridCol w:w="1590"/>
        <w:gridCol w:w="1280"/>
        <w:gridCol w:w="1351"/>
      </w:tblGrid>
      <w:tr w:rsidR="00E40657" w14:paraId="4FBA26BE" w14:textId="77777777" w:rsidTr="00A64F29">
        <w:trPr>
          <w:trHeight w:val="486"/>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1F84457"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C62A754"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084FD609" w14:textId="77777777" w:rsidTr="00A64F29">
        <w:trPr>
          <w:trHeight w:val="166"/>
        </w:trPr>
        <w:tc>
          <w:tcPr>
            <w:tcW w:w="0" w:type="auto"/>
            <w:vMerge/>
            <w:tcBorders>
              <w:left w:val="single" w:sz="12" w:space="0" w:color="000000"/>
              <w:bottom w:val="single" w:sz="12" w:space="0" w:color="000000"/>
              <w:right w:val="single" w:sz="12" w:space="0" w:color="000000"/>
            </w:tcBorders>
            <w:vAlign w:val="center"/>
            <w:hideMark/>
          </w:tcPr>
          <w:p w14:paraId="336D3013"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EDA15B3"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TOC[mg/m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F7F7B34"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F</w:t>
            </w:r>
            <w:r w:rsidRPr="0030358C">
              <w:rPr>
                <w:rFonts w:ascii="Arial" w:hAnsi="Arial" w:cs="Arial"/>
                <w:b/>
                <w:bCs/>
                <w:sz w:val="22"/>
                <w:szCs w:val="22"/>
                <w:vertAlign w:val="superscript"/>
              </w:rPr>
              <w:t>1)</w:t>
            </w:r>
            <w:r w:rsidRPr="0030358C">
              <w:rPr>
                <w:rFonts w:ascii="Arial" w:hAnsi="Arial" w:cs="Arial"/>
                <w:b/>
                <w:bCs/>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A62114"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2)</w:t>
            </w:r>
            <w:r w:rsidRPr="0030358C">
              <w:rPr>
                <w:rFonts w:ascii="Arial" w:hAnsi="Arial" w:cs="Arial"/>
                <w:b/>
                <w:bCs/>
                <w:sz w:val="22"/>
                <w:szCs w:val="22"/>
              </w:rPr>
              <w:t>[%]</w:t>
            </w:r>
          </w:p>
        </w:tc>
      </w:tr>
      <w:tr w:rsidR="00E40657" w14:paraId="4974BD18" w14:textId="77777777" w:rsidTr="00A64F29">
        <w:trPr>
          <w:trHeight w:val="382"/>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9D2BB9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100 – 1000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4742D2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7F631E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AE6205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w:t>
            </w:r>
          </w:p>
        </w:tc>
      </w:tr>
      <w:tr w:rsidR="00E40657" w14:paraId="537263E7" w14:textId="77777777" w:rsidTr="00A64F29">
        <w:trPr>
          <w:trHeight w:val="400"/>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1E8720B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1000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0FF65B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0ED4D9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4AC71B6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bl>
    <w:p w14:paraId="666F84EF" w14:textId="77777777" w:rsidR="00A77B3E" w:rsidRPr="0030358C" w:rsidRDefault="00A77B3E">
      <w:pPr>
        <w:pStyle w:val="47"/>
        <w:rPr>
          <w:rFonts w:ascii="Arial" w:hAnsi="Arial" w:cs="Arial"/>
          <w:sz w:val="22"/>
          <w:szCs w:val="22"/>
        </w:rPr>
      </w:pPr>
    </w:p>
    <w:p w14:paraId="5F4BB3DE"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76402CD4"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1704B169" w14:textId="77777777" w:rsidR="00A77B3E" w:rsidRPr="0030358C" w:rsidRDefault="00000000">
      <w:pPr>
        <w:pStyle w:val="89"/>
        <w:rPr>
          <w:rFonts w:ascii="Arial" w:hAnsi="Arial" w:cs="Arial"/>
          <w:sz w:val="22"/>
          <w:szCs w:val="22"/>
        </w:rPr>
      </w:pPr>
      <w:r w:rsidRPr="0030358C">
        <w:rPr>
          <w:rFonts w:ascii="Arial" w:hAnsi="Arial" w:cs="Arial"/>
          <w:sz w:val="22"/>
          <w:szCs w:val="22"/>
        </w:rPr>
        <w:t>1)    Hmotnost organických rozpouštědel, která jsou součástí nátěrových hmot prodaných v hermeticky uzavřených nádobách, se nepovažuje za součást fugitivních emisí.</w:t>
      </w:r>
    </w:p>
    <w:p w14:paraId="2A16CE4E" w14:textId="77777777" w:rsidR="00A77B3E" w:rsidRPr="0030358C" w:rsidRDefault="00000000">
      <w:pPr>
        <w:pStyle w:val="69"/>
        <w:rPr>
          <w:rFonts w:ascii="Arial" w:hAnsi="Arial" w:cs="Arial"/>
          <w:sz w:val="22"/>
          <w:szCs w:val="22"/>
        </w:rPr>
      </w:pPr>
      <w:r w:rsidRPr="0030358C">
        <w:rPr>
          <w:rFonts w:ascii="Arial" w:hAnsi="Arial" w:cs="Arial"/>
          <w:sz w:val="22"/>
          <w:szCs w:val="22"/>
        </w:rPr>
        <w:t>2)    Podíl hmotnosti emisí těkavých organických látek a hmotnosti vstupních organických rozpouštědel. Emisní limit VOC</w:t>
      </w:r>
      <w:r w:rsidRPr="0030358C">
        <w:rPr>
          <w:rFonts w:ascii="Arial" w:hAnsi="Arial" w:cs="Arial"/>
          <w:sz w:val="22"/>
          <w:szCs w:val="22"/>
          <w:vertAlign w:val="subscript"/>
        </w:rPr>
        <w:t>E</w:t>
      </w:r>
      <w:r w:rsidRPr="0030358C">
        <w:rPr>
          <w:rFonts w:ascii="Arial" w:hAnsi="Arial" w:cs="Arial"/>
          <w:sz w:val="22"/>
          <w:szCs w:val="22"/>
        </w:rPr>
        <w:t xml:space="preserve"> se uplatňuje, pokud zdroj zjišťuje úroveň emisí výpočtem namísto měřením.</w:t>
      </w:r>
    </w:p>
    <w:p w14:paraId="47F552EA" w14:textId="77777777" w:rsidR="00A77B3E" w:rsidRPr="0030358C" w:rsidRDefault="00000000">
      <w:pPr>
        <w:pStyle w:val="46"/>
        <w:rPr>
          <w:rFonts w:ascii="Arial" w:hAnsi="Arial" w:cs="Arial"/>
          <w:szCs w:val="22"/>
        </w:rPr>
      </w:pPr>
      <w:r w:rsidRPr="0030358C">
        <w:rPr>
          <w:rFonts w:ascii="Arial" w:hAnsi="Arial" w:cs="Arial"/>
          <w:szCs w:val="22"/>
        </w:rPr>
        <w:t xml:space="preserve">11.    Výroba obuvi s celkovou projektovanou spotřebou organických rozpouštědel 0,6 t za rok nebo větší (kód 9.21.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297AA6E9" w14:textId="77777777" w:rsidR="00A77B3E" w:rsidRPr="0030358C" w:rsidRDefault="00000000">
      <w:pPr>
        <w:pStyle w:val="47"/>
        <w:rPr>
          <w:rFonts w:ascii="Arial" w:hAnsi="Arial" w:cs="Arial"/>
          <w:sz w:val="22"/>
          <w:szCs w:val="22"/>
        </w:rPr>
      </w:pPr>
      <w:r w:rsidRPr="0030358C">
        <w:rPr>
          <w:rFonts w:ascii="Arial" w:hAnsi="Arial" w:cs="Arial"/>
          <w:sz w:val="22"/>
          <w:szCs w:val="22"/>
        </w:rPr>
        <w:t>Jakákoli činnost výroby obuvi nebo jejich částí.</w:t>
      </w:r>
    </w:p>
    <w:p w14:paraId="6162128F"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98"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7210"/>
        <w:gridCol w:w="1988"/>
      </w:tblGrid>
      <w:tr w:rsidR="00E40657" w14:paraId="6B08C839" w14:textId="77777777" w:rsidTr="00A64F29">
        <w:trPr>
          <w:trHeight w:val="659"/>
        </w:trPr>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6ED098"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845061F"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[g/pár]</w:t>
            </w:r>
          </w:p>
        </w:tc>
      </w:tr>
      <w:tr w:rsidR="00E40657" w14:paraId="42EC5682" w14:textId="77777777" w:rsidTr="00A64F29">
        <w:trPr>
          <w:trHeight w:val="379"/>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4AF6214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5F6864B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25</w:t>
            </w:r>
          </w:p>
        </w:tc>
      </w:tr>
    </w:tbl>
    <w:p w14:paraId="7FBFA27F" w14:textId="77777777" w:rsidR="00A77B3E" w:rsidRPr="0030358C" w:rsidRDefault="00A77B3E">
      <w:pPr>
        <w:pStyle w:val="47"/>
        <w:rPr>
          <w:rFonts w:ascii="Arial" w:hAnsi="Arial" w:cs="Arial"/>
          <w:sz w:val="22"/>
          <w:szCs w:val="22"/>
        </w:rPr>
      </w:pPr>
    </w:p>
    <w:p w14:paraId="75C9EA34"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5E2AC7B2" w14:textId="77777777" w:rsidR="00A77B3E" w:rsidRPr="0030358C" w:rsidRDefault="00000000">
      <w:pPr>
        <w:pStyle w:val="47"/>
        <w:rPr>
          <w:rFonts w:ascii="Arial" w:hAnsi="Arial" w:cs="Arial"/>
          <w:sz w:val="22"/>
          <w:szCs w:val="22"/>
        </w:rPr>
      </w:pPr>
      <w:r w:rsidRPr="0030358C">
        <w:rPr>
          <w:rFonts w:ascii="Arial" w:hAnsi="Arial" w:cs="Arial"/>
          <w:sz w:val="22"/>
          <w:szCs w:val="22"/>
        </w:rPr>
        <w:t>Vysvětlivka: 1) Podíl hmotnosti emisí těkavých organických látek a počtu vyrobených párů.</w:t>
      </w:r>
    </w:p>
    <w:p w14:paraId="2A3BECC7" w14:textId="77777777" w:rsidR="00A77B3E" w:rsidRPr="0030358C" w:rsidRDefault="00000000">
      <w:pPr>
        <w:pStyle w:val="46"/>
        <w:rPr>
          <w:rFonts w:ascii="Arial" w:hAnsi="Arial" w:cs="Arial"/>
          <w:szCs w:val="22"/>
        </w:rPr>
      </w:pPr>
      <w:r w:rsidRPr="0030358C">
        <w:rPr>
          <w:rFonts w:ascii="Arial" w:hAnsi="Arial" w:cs="Arial"/>
          <w:szCs w:val="22"/>
        </w:rPr>
        <w:t xml:space="preserve">12.    Výroba farmaceutických směsí (kód 9.22.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57F76476" w14:textId="77777777" w:rsidR="00A77B3E" w:rsidRPr="0030358C" w:rsidRDefault="00000000">
      <w:pPr>
        <w:pStyle w:val="47"/>
        <w:rPr>
          <w:rFonts w:ascii="Arial" w:hAnsi="Arial" w:cs="Arial"/>
          <w:sz w:val="22"/>
          <w:szCs w:val="22"/>
        </w:rPr>
      </w:pPr>
      <w:r w:rsidRPr="0030358C">
        <w:rPr>
          <w:rFonts w:ascii="Arial" w:hAnsi="Arial" w:cs="Arial"/>
          <w:sz w:val="22"/>
          <w:szCs w:val="22"/>
        </w:rPr>
        <w:t>Chemická syntéza, fermentace, extrakce, skladba a dokončení farmaceutických směsí a v případech, kdy jsou vyráběny ve stejném místě, i výroba meziproduktů.</w:t>
      </w:r>
    </w:p>
    <w:p w14:paraId="48D5D85C"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183"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082"/>
        <w:gridCol w:w="1507"/>
        <w:gridCol w:w="1293"/>
        <w:gridCol w:w="1301"/>
      </w:tblGrid>
      <w:tr w:rsidR="00E40657" w14:paraId="7CACC75F" w14:textId="77777777" w:rsidTr="00A64F29">
        <w:trPr>
          <w:trHeight w:val="443"/>
        </w:trPr>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EDA24ED"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1C77A55"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52F08A2F" w14:textId="77777777" w:rsidTr="00A64F29">
        <w:trPr>
          <w:trHeight w:val="152"/>
        </w:trPr>
        <w:tc>
          <w:tcPr>
            <w:tcW w:w="0" w:type="auto"/>
            <w:vMerge/>
            <w:tcBorders>
              <w:left w:val="single" w:sz="12" w:space="0" w:color="000000"/>
              <w:bottom w:val="single" w:sz="12" w:space="0" w:color="000000"/>
              <w:right w:val="single" w:sz="12" w:space="0" w:color="000000"/>
            </w:tcBorders>
            <w:vAlign w:val="center"/>
            <w:hideMark/>
          </w:tcPr>
          <w:p w14:paraId="0B698612"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A490C12"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F60FCD6"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F</w:t>
            </w:r>
            <w:r w:rsidRPr="0030358C">
              <w:rPr>
                <w:rFonts w:ascii="Arial" w:hAnsi="Arial" w:cs="Arial"/>
                <w:b/>
                <w:bCs/>
                <w:sz w:val="22"/>
                <w:szCs w:val="22"/>
                <w:vertAlign w:val="superscript"/>
              </w:rPr>
              <w:t>2)</w:t>
            </w:r>
            <w:r w:rsidRPr="0030358C">
              <w:rPr>
                <w:rFonts w:ascii="Arial" w:hAnsi="Arial" w:cs="Arial"/>
                <w:b/>
                <w:bCs/>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6D05F9B"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3)</w:t>
            </w:r>
            <w:r w:rsidRPr="0030358C">
              <w:rPr>
                <w:rFonts w:ascii="Arial" w:hAnsi="Arial" w:cs="Arial"/>
                <w:b/>
                <w:bCs/>
                <w:sz w:val="22"/>
                <w:szCs w:val="22"/>
              </w:rPr>
              <w:t xml:space="preserve"> [%]</w:t>
            </w:r>
          </w:p>
        </w:tc>
      </w:tr>
      <w:tr w:rsidR="00E40657" w14:paraId="49D0945F" w14:textId="77777777" w:rsidTr="00A64F29">
        <w:trPr>
          <w:trHeight w:val="649"/>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0F214D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50</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216B8A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20</w:t>
            </w:r>
            <w:r w:rsidRPr="0030358C">
              <w:rPr>
                <w:rFonts w:ascii="Arial" w:hAnsi="Arial" w:cs="Arial"/>
                <w:sz w:val="22"/>
                <w:szCs w:val="22"/>
              </w:rPr>
              <w:br/>
              <w:t>150</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0CB5AC4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09E73E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w:t>
            </w:r>
          </w:p>
        </w:tc>
      </w:tr>
    </w:tbl>
    <w:p w14:paraId="61D8D03C" w14:textId="77777777" w:rsidR="00A77B3E" w:rsidRPr="0030358C" w:rsidRDefault="00A77B3E">
      <w:pPr>
        <w:pStyle w:val="47"/>
        <w:rPr>
          <w:rFonts w:ascii="Arial" w:hAnsi="Arial" w:cs="Arial"/>
          <w:sz w:val="22"/>
          <w:szCs w:val="22"/>
        </w:rPr>
      </w:pPr>
    </w:p>
    <w:p w14:paraId="55B971D3" w14:textId="77777777" w:rsidR="00A77B3E" w:rsidRPr="0030358C" w:rsidRDefault="00A77B3E">
      <w:pPr>
        <w:pStyle w:val="54"/>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p w14:paraId="4650984C"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1CEF83FD" w14:textId="77777777" w:rsidR="00A77B3E" w:rsidRPr="0030358C" w:rsidRDefault="00000000">
      <w:pPr>
        <w:pStyle w:val="89"/>
        <w:rPr>
          <w:rFonts w:ascii="Arial" w:hAnsi="Arial" w:cs="Arial"/>
          <w:sz w:val="22"/>
          <w:szCs w:val="22"/>
        </w:rPr>
      </w:pPr>
      <w:r w:rsidRPr="0030358C">
        <w:rPr>
          <w:rFonts w:ascii="Arial" w:hAnsi="Arial" w:cs="Arial"/>
          <w:sz w:val="22"/>
          <w:szCs w:val="22"/>
        </w:rPr>
        <w:t>1)    Platí pro stacionární zdroje, které opětovně využívají regenerovaná organická rozpouštědla.</w:t>
      </w:r>
    </w:p>
    <w:p w14:paraId="2BA7355D" w14:textId="77777777" w:rsidR="00A77B3E" w:rsidRPr="0030358C" w:rsidRDefault="00000000">
      <w:pPr>
        <w:pStyle w:val="89"/>
        <w:rPr>
          <w:rFonts w:ascii="Arial" w:hAnsi="Arial" w:cs="Arial"/>
          <w:sz w:val="22"/>
          <w:szCs w:val="22"/>
        </w:rPr>
      </w:pPr>
      <w:r w:rsidRPr="0030358C">
        <w:rPr>
          <w:rFonts w:ascii="Arial" w:hAnsi="Arial" w:cs="Arial"/>
          <w:sz w:val="22"/>
          <w:szCs w:val="22"/>
        </w:rPr>
        <w:t>2)    Hmotnost organických rozpouštědel, která jsou součástí výrobků prodaných v hermeticky uzavřených nádobách, se nepovažuje za součást fugitivních emisí.</w:t>
      </w:r>
    </w:p>
    <w:p w14:paraId="48B6E9F5" w14:textId="77777777" w:rsidR="00A77B3E" w:rsidRPr="0030358C" w:rsidRDefault="00000000">
      <w:pPr>
        <w:pStyle w:val="69"/>
        <w:rPr>
          <w:rFonts w:ascii="Arial" w:hAnsi="Arial" w:cs="Arial"/>
          <w:sz w:val="22"/>
          <w:szCs w:val="22"/>
        </w:rPr>
      </w:pPr>
      <w:r w:rsidRPr="0030358C">
        <w:rPr>
          <w:rFonts w:ascii="Arial" w:hAnsi="Arial" w:cs="Arial"/>
          <w:sz w:val="22"/>
          <w:szCs w:val="22"/>
        </w:rPr>
        <w:lastRenderedPageBreak/>
        <w:t>3)    Podíl hmotnosti emisí těkavých organických látek a hmotnosti vstupních organických rozpouštědel. Emisní limit VOC</w:t>
      </w:r>
      <w:r w:rsidRPr="0030358C">
        <w:rPr>
          <w:rFonts w:ascii="Arial" w:hAnsi="Arial" w:cs="Arial"/>
          <w:sz w:val="22"/>
          <w:szCs w:val="22"/>
          <w:vertAlign w:val="subscript"/>
        </w:rPr>
        <w:t>E</w:t>
      </w:r>
      <w:r w:rsidRPr="0030358C">
        <w:rPr>
          <w:rFonts w:ascii="Arial" w:hAnsi="Arial" w:cs="Arial"/>
          <w:sz w:val="22"/>
          <w:szCs w:val="22"/>
        </w:rPr>
        <w:t xml:space="preserve"> se uplatňuje, pokud zdroj zjišťuje úroveň emisí výpočtem namísto měřením.</w:t>
      </w:r>
    </w:p>
    <w:p w14:paraId="2C3A262F" w14:textId="77777777" w:rsidR="00A77B3E" w:rsidRPr="0030358C" w:rsidRDefault="00000000">
      <w:pPr>
        <w:pStyle w:val="46"/>
        <w:rPr>
          <w:rFonts w:ascii="Arial" w:hAnsi="Arial" w:cs="Arial"/>
          <w:szCs w:val="22"/>
        </w:rPr>
      </w:pPr>
      <w:r w:rsidRPr="0030358C">
        <w:rPr>
          <w:rFonts w:ascii="Arial" w:hAnsi="Arial" w:cs="Arial"/>
          <w:szCs w:val="22"/>
        </w:rPr>
        <w:t xml:space="preserve">13.    Zpracování kaučuku, výroba pryže s celkovou projektovanou spotřebou organických rozpouštědel 5 t za rok nebo větší (kód 9.23.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4DD7AC2B" w14:textId="77777777" w:rsidR="00A77B3E" w:rsidRPr="0030358C" w:rsidRDefault="00000000">
      <w:pPr>
        <w:pStyle w:val="47"/>
        <w:rPr>
          <w:rFonts w:ascii="Arial" w:hAnsi="Arial" w:cs="Arial"/>
          <w:sz w:val="22"/>
          <w:szCs w:val="22"/>
        </w:rPr>
      </w:pPr>
      <w:r w:rsidRPr="0030358C">
        <w:rPr>
          <w:rFonts w:ascii="Arial" w:hAnsi="Arial" w:cs="Arial"/>
          <w:sz w:val="22"/>
          <w:szCs w:val="22"/>
        </w:rPr>
        <w:t>Operace plastikace kaučuku a sestavování kaučukových směsí míšením, hnětením, kalandrováním, drcením, mletím, barvením, operace zpracování kaučukových směsí vytlačováním (extruzí), lisováním, vstřikovacím lisováním, operace vulkanizace a jakékoliv další pomocné operace, které jsou součástí procesu přeměny přírodního či syntetického kaučuku do konečného pryžového výrobku.</w:t>
      </w:r>
    </w:p>
    <w:p w14:paraId="65F4D851" w14:textId="77777777" w:rsidR="00A77B3E" w:rsidRPr="0030358C" w:rsidRDefault="00A77B3E">
      <w:pPr>
        <w:pStyle w:val="47"/>
        <w:rPr>
          <w:rFonts w:ascii="Arial" w:hAnsi="Arial" w:cs="Arial"/>
          <w:sz w:val="22"/>
          <w:szCs w:val="22"/>
        </w:rPr>
      </w:pPr>
    </w:p>
    <w:tbl>
      <w:tblPr>
        <w:tblStyle w:val="TABLEX"/>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838"/>
        <w:gridCol w:w="1480"/>
        <w:gridCol w:w="1272"/>
        <w:gridCol w:w="1280"/>
      </w:tblGrid>
      <w:tr w:rsidR="00E40657" w14:paraId="641DCEAD" w14:textId="77777777" w:rsidTr="005864BE">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D1B8E70" w14:textId="77777777" w:rsidR="00CA5FE4" w:rsidRPr="0030358C" w:rsidRDefault="00000000" w:rsidP="005864BE">
            <w:pPr>
              <w:pStyle w:val="47"/>
              <w:overflowPunct w:val="0"/>
              <w:ind w:left="0"/>
              <w:jc w:val="center"/>
              <w:rPr>
                <w:rFonts w:ascii="Arial" w:hAnsi="Arial" w:cs="Arial"/>
                <w:b/>
                <w:bCs/>
                <w:sz w:val="22"/>
                <w:szCs w:val="22"/>
              </w:rPr>
            </w:pPr>
            <w:r w:rsidRPr="0030358C">
              <w:rPr>
                <w:rFonts w:ascii="Arial" w:hAnsi="Arial" w:cs="Arial"/>
                <w:b/>
                <w:bCs/>
                <w:sz w:val="22"/>
                <w:szCs w:val="22"/>
              </w:rPr>
              <w:t>Celková projektovaná spotřeba organických rozpouštědel</w:t>
            </w:r>
            <w:r w:rsidRPr="0030358C">
              <w:rPr>
                <w:rFonts w:ascii="Arial" w:hAnsi="Arial" w:cs="Arial"/>
                <w:b/>
                <w:bCs/>
                <w:sz w:val="22"/>
                <w:szCs w:val="22"/>
              </w:rPr>
              <w:br/>
              <w:t>[t/rok]</w:t>
            </w:r>
          </w:p>
        </w:tc>
        <w:tc>
          <w:tcPr>
            <w:tcW w:w="0" w:type="auto"/>
            <w:gridSpan w:val="3"/>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53457EC" w14:textId="77777777" w:rsidR="00CA5FE4" w:rsidRPr="0030358C" w:rsidRDefault="00000000" w:rsidP="005864BE">
            <w:pPr>
              <w:pStyle w:val="47"/>
              <w:overflowPunct w:val="0"/>
              <w:ind w:left="0"/>
              <w:jc w:val="center"/>
              <w:rPr>
                <w:rFonts w:ascii="Arial" w:hAnsi="Arial" w:cs="Arial"/>
                <w:b/>
                <w:bCs/>
                <w:sz w:val="22"/>
                <w:szCs w:val="22"/>
              </w:rPr>
            </w:pPr>
            <w:r w:rsidRPr="0030358C">
              <w:rPr>
                <w:rFonts w:ascii="Arial" w:hAnsi="Arial" w:cs="Arial"/>
                <w:b/>
                <w:bCs/>
                <w:sz w:val="22"/>
                <w:szCs w:val="22"/>
              </w:rPr>
              <w:t>Emisní limit</w:t>
            </w:r>
          </w:p>
        </w:tc>
      </w:tr>
      <w:tr w:rsidR="00E40657" w14:paraId="31C043F6" w14:textId="77777777" w:rsidTr="005864BE">
        <w:tc>
          <w:tcPr>
            <w:tcW w:w="0" w:type="auto"/>
            <w:vMerge/>
            <w:tcBorders>
              <w:left w:val="single" w:sz="12" w:space="0" w:color="000000"/>
              <w:bottom w:val="single" w:sz="12" w:space="0" w:color="000000"/>
              <w:right w:val="single" w:sz="12" w:space="0" w:color="000000"/>
            </w:tcBorders>
            <w:vAlign w:val="center"/>
            <w:hideMark/>
          </w:tcPr>
          <w:p w14:paraId="668EA9CC" w14:textId="77777777" w:rsidR="00CA5FE4" w:rsidRPr="0030358C" w:rsidRDefault="00CA5FE4" w:rsidP="005864B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14E6FB" w14:textId="77777777" w:rsidR="00CA5FE4" w:rsidRPr="0030358C" w:rsidRDefault="00000000" w:rsidP="005864BE">
            <w:pPr>
              <w:pStyle w:val="47"/>
              <w:overflowPunct w:val="0"/>
              <w:ind w:left="0"/>
              <w:jc w:val="center"/>
              <w:rPr>
                <w:rFonts w:ascii="Arial" w:hAnsi="Arial" w:cs="Arial"/>
                <w:b/>
                <w:bCs/>
                <w:sz w:val="22"/>
                <w:szCs w:val="22"/>
              </w:rPr>
            </w:pPr>
            <w:r w:rsidRPr="0030358C">
              <w:rPr>
                <w:rFonts w:ascii="Arial" w:hAnsi="Arial" w:cs="Arial"/>
                <w:b/>
                <w:bCs/>
                <w:sz w:val="22"/>
                <w:szCs w:val="22"/>
              </w:rPr>
              <w:t>TOC [mg/m</w:t>
            </w:r>
            <w:r w:rsidRPr="0030358C">
              <w:rPr>
                <w:rFonts w:ascii="Arial" w:hAnsi="Arial" w:cs="Arial"/>
                <w:b/>
                <w:bCs/>
                <w:sz w:val="22"/>
                <w:szCs w:val="22"/>
                <w:vertAlign w:val="superscript"/>
              </w:rPr>
              <w:t>3</w:t>
            </w:r>
            <w:r w:rsidRPr="0030358C">
              <w:rPr>
                <w:rFonts w:ascii="Arial" w:hAnsi="Arial" w:cs="Arial"/>
                <w:b/>
                <w:bCs/>
                <w:sz w:val="22"/>
                <w:szCs w:val="22"/>
              </w:rPr>
              <w: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EEDE5ED" w14:textId="77777777" w:rsidR="00CA5FE4" w:rsidRPr="0030358C" w:rsidRDefault="00000000" w:rsidP="005864BE">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F</w:t>
            </w:r>
            <w:r w:rsidRPr="0030358C">
              <w:rPr>
                <w:rFonts w:ascii="Arial" w:hAnsi="Arial" w:cs="Arial"/>
                <w:b/>
                <w:bCs/>
                <w:sz w:val="22"/>
                <w:szCs w:val="22"/>
                <w:vertAlign w:val="superscript"/>
              </w:rPr>
              <w:t>2)</w:t>
            </w:r>
            <w:r w:rsidRPr="0030358C">
              <w:rPr>
                <w:rFonts w:ascii="Arial" w:hAnsi="Arial" w:cs="Arial"/>
                <w:b/>
                <w:bCs/>
                <w:sz w:val="22"/>
                <w:szCs w:val="22"/>
              </w:rPr>
              <w:t xml:space="preserve"> [%]</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79A9E85" w14:textId="77777777" w:rsidR="00CA5FE4" w:rsidRPr="0030358C" w:rsidRDefault="00000000" w:rsidP="005864BE">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3)</w:t>
            </w:r>
            <w:r w:rsidRPr="0030358C">
              <w:rPr>
                <w:rFonts w:ascii="Arial" w:hAnsi="Arial" w:cs="Arial"/>
                <w:b/>
                <w:bCs/>
                <w:sz w:val="22"/>
                <w:szCs w:val="22"/>
              </w:rPr>
              <w:t xml:space="preserve"> [%]</w:t>
            </w:r>
          </w:p>
        </w:tc>
      </w:tr>
      <w:tr w:rsidR="00E40657" w14:paraId="70767719" w14:textId="77777777" w:rsidTr="005864BE">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7FC0092" w14:textId="77777777" w:rsidR="00CA5FE4" w:rsidRPr="0030358C" w:rsidRDefault="00000000" w:rsidP="005864BE">
            <w:pPr>
              <w:pStyle w:val="47"/>
              <w:overflowPunct w:val="0"/>
              <w:ind w:left="0"/>
              <w:jc w:val="center"/>
              <w:rPr>
                <w:rFonts w:ascii="Arial" w:hAnsi="Arial" w:cs="Arial"/>
                <w:sz w:val="22"/>
                <w:szCs w:val="22"/>
              </w:rPr>
            </w:pPr>
            <w:r w:rsidRPr="0030358C">
              <w:rPr>
                <w:rFonts w:ascii="Arial" w:hAnsi="Arial" w:cs="Arial"/>
                <w:sz w:val="22"/>
                <w:szCs w:val="22"/>
              </w:rPr>
              <w:t>&gt; 15</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59AEB076" w14:textId="77777777" w:rsidR="00CA5FE4" w:rsidRPr="0030358C" w:rsidRDefault="00000000" w:rsidP="005864BE">
            <w:pPr>
              <w:pStyle w:val="47"/>
              <w:overflowPunct w:val="0"/>
              <w:ind w:left="0"/>
              <w:jc w:val="center"/>
              <w:rPr>
                <w:rFonts w:ascii="Arial" w:hAnsi="Arial" w:cs="Arial"/>
                <w:sz w:val="22"/>
                <w:szCs w:val="22"/>
              </w:rPr>
            </w:pPr>
            <w:r w:rsidRPr="0030358C">
              <w:rPr>
                <w:rFonts w:ascii="Arial" w:hAnsi="Arial" w:cs="Arial"/>
                <w:sz w:val="22"/>
                <w:szCs w:val="22"/>
              </w:rPr>
              <w:t>20</w:t>
            </w:r>
          </w:p>
          <w:p w14:paraId="1DB48D64" w14:textId="77777777" w:rsidR="00CA5FE4" w:rsidRPr="0030358C" w:rsidRDefault="00000000" w:rsidP="005864BE">
            <w:pPr>
              <w:pStyle w:val="47"/>
              <w:overflowPunct w:val="0"/>
              <w:ind w:left="0"/>
              <w:jc w:val="center"/>
              <w:rPr>
                <w:rFonts w:ascii="Arial" w:hAnsi="Arial" w:cs="Arial"/>
                <w:sz w:val="22"/>
                <w:szCs w:val="22"/>
              </w:rPr>
            </w:pPr>
            <w:r w:rsidRPr="0030358C">
              <w:rPr>
                <w:rFonts w:ascii="Arial" w:hAnsi="Arial" w:cs="Arial"/>
                <w:sz w:val="22"/>
                <w:szCs w:val="22"/>
              </w:rPr>
              <w:t>150</w:t>
            </w:r>
            <w:r w:rsidRPr="0030358C">
              <w:rPr>
                <w:rFonts w:ascii="Arial" w:hAnsi="Arial" w:cs="Arial"/>
                <w:sz w:val="22"/>
                <w:szCs w:val="22"/>
                <w:vertAlign w:val="superscript"/>
              </w:rPr>
              <w:t>1)</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2A0E5BC" w14:textId="77777777" w:rsidR="00CA5FE4" w:rsidRPr="0030358C" w:rsidRDefault="00000000" w:rsidP="005864BE">
            <w:pPr>
              <w:pStyle w:val="47"/>
              <w:overflowPunct w:val="0"/>
              <w:ind w:left="0"/>
              <w:jc w:val="center"/>
              <w:rPr>
                <w:rFonts w:ascii="Arial" w:hAnsi="Arial" w:cs="Arial"/>
                <w:sz w:val="22"/>
                <w:szCs w:val="22"/>
              </w:rPr>
            </w:pPr>
            <w:r w:rsidRPr="0030358C">
              <w:rPr>
                <w:rFonts w:ascii="Arial" w:hAnsi="Arial" w:cs="Arial"/>
                <w:sz w:val="22"/>
                <w:szCs w:val="22"/>
              </w:rPr>
              <w:t>25</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19A1DCF" w14:textId="77777777" w:rsidR="00CA5FE4" w:rsidRPr="0030358C" w:rsidRDefault="00000000" w:rsidP="005864BE">
            <w:pPr>
              <w:pStyle w:val="47"/>
              <w:overflowPunct w:val="0"/>
              <w:ind w:left="0"/>
              <w:jc w:val="center"/>
              <w:rPr>
                <w:rFonts w:ascii="Arial" w:hAnsi="Arial" w:cs="Arial"/>
                <w:sz w:val="22"/>
                <w:szCs w:val="22"/>
              </w:rPr>
            </w:pPr>
            <w:r w:rsidRPr="0030358C">
              <w:rPr>
                <w:rFonts w:ascii="Arial" w:hAnsi="Arial" w:cs="Arial"/>
                <w:sz w:val="22"/>
                <w:szCs w:val="22"/>
              </w:rPr>
              <w:t>25</w:t>
            </w:r>
          </w:p>
        </w:tc>
      </w:tr>
    </w:tbl>
    <w:p w14:paraId="0BC3DF50" w14:textId="77777777" w:rsidR="00CA5FE4" w:rsidRPr="0030358C" w:rsidRDefault="00CA5FE4">
      <w:pPr>
        <w:pStyle w:val="47"/>
        <w:rPr>
          <w:rFonts w:ascii="Arial" w:hAnsi="Arial" w:cs="Arial"/>
          <w:sz w:val="22"/>
          <w:szCs w:val="22"/>
        </w:rPr>
      </w:pPr>
    </w:p>
    <w:p w14:paraId="745AC2D2"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Vysvětlivky:</w:t>
      </w:r>
    </w:p>
    <w:p w14:paraId="58F0EC6C" w14:textId="77777777" w:rsidR="00A77B3E" w:rsidRPr="0030358C" w:rsidRDefault="00000000">
      <w:pPr>
        <w:pStyle w:val="89"/>
        <w:rPr>
          <w:rFonts w:ascii="Arial" w:hAnsi="Arial" w:cs="Arial"/>
          <w:sz w:val="22"/>
          <w:szCs w:val="22"/>
        </w:rPr>
      </w:pPr>
      <w:r w:rsidRPr="0030358C">
        <w:rPr>
          <w:rFonts w:ascii="Arial" w:hAnsi="Arial" w:cs="Arial"/>
          <w:sz w:val="22"/>
          <w:szCs w:val="22"/>
        </w:rPr>
        <w:t>1)    Platí pro stacionární zdroje, které opětovně využívají regenerovaná organická rozpouštědla.</w:t>
      </w:r>
    </w:p>
    <w:p w14:paraId="2DAAC812" w14:textId="77777777" w:rsidR="00A77B3E" w:rsidRPr="0030358C" w:rsidRDefault="00000000">
      <w:pPr>
        <w:pStyle w:val="89"/>
        <w:rPr>
          <w:rFonts w:ascii="Arial" w:hAnsi="Arial" w:cs="Arial"/>
          <w:sz w:val="22"/>
          <w:szCs w:val="22"/>
        </w:rPr>
      </w:pPr>
      <w:r w:rsidRPr="0030358C">
        <w:rPr>
          <w:rFonts w:ascii="Arial" w:hAnsi="Arial" w:cs="Arial"/>
          <w:sz w:val="22"/>
          <w:szCs w:val="22"/>
        </w:rPr>
        <w:t>2)    Hmotnost organických rozpouštědel, která jsou součástí výrobků prodaných v hermeticky uzavřených nádobách, se nepovažuje za součást fugitivních emisí.</w:t>
      </w:r>
    </w:p>
    <w:p w14:paraId="0BCA3668" w14:textId="77777777" w:rsidR="00A77B3E" w:rsidRPr="0030358C" w:rsidRDefault="00000000">
      <w:pPr>
        <w:pStyle w:val="69"/>
        <w:rPr>
          <w:rFonts w:ascii="Arial" w:hAnsi="Arial" w:cs="Arial"/>
          <w:sz w:val="22"/>
          <w:szCs w:val="22"/>
        </w:rPr>
      </w:pPr>
      <w:r w:rsidRPr="0030358C">
        <w:rPr>
          <w:rFonts w:ascii="Arial" w:hAnsi="Arial" w:cs="Arial"/>
          <w:sz w:val="22"/>
          <w:szCs w:val="22"/>
        </w:rPr>
        <w:t>3)    Podíl hmotnosti emisí těkavých organických látek a hmotnosti vstupních organických rozpouštědel. Emisní limit VOC</w:t>
      </w:r>
      <w:r w:rsidRPr="0030358C">
        <w:rPr>
          <w:rFonts w:ascii="Arial" w:hAnsi="Arial" w:cs="Arial"/>
          <w:sz w:val="22"/>
          <w:szCs w:val="22"/>
          <w:vertAlign w:val="subscript"/>
        </w:rPr>
        <w:t>E</w:t>
      </w:r>
      <w:r w:rsidRPr="0030358C">
        <w:rPr>
          <w:rFonts w:ascii="Arial" w:hAnsi="Arial" w:cs="Arial"/>
          <w:sz w:val="22"/>
          <w:szCs w:val="22"/>
        </w:rPr>
        <w:t xml:space="preserve"> se uplatňuje, pokud zdroj zjišťuje úroveň emisí výpočtem namísto měřením.</w:t>
      </w:r>
    </w:p>
    <w:p w14:paraId="6795DB6B" w14:textId="77777777" w:rsidR="00A77B3E" w:rsidRPr="0030358C" w:rsidRDefault="00000000">
      <w:pPr>
        <w:pStyle w:val="46"/>
        <w:rPr>
          <w:rFonts w:ascii="Arial" w:hAnsi="Arial" w:cs="Arial"/>
          <w:szCs w:val="22"/>
        </w:rPr>
      </w:pPr>
      <w:r w:rsidRPr="0030358C">
        <w:rPr>
          <w:rFonts w:ascii="Arial" w:hAnsi="Arial" w:cs="Arial"/>
          <w:szCs w:val="22"/>
        </w:rPr>
        <w:t xml:space="preserve">14.    Extrakce a rafinace rostlinných olejů a živočišných tuků (kód 9.24. </w:t>
      </w:r>
      <w:hyperlink w:history="1">
        <w:r w:rsidR="00A77B3E" w:rsidRPr="0030358C">
          <w:rPr>
            <w:rFonts w:ascii="Arial" w:hAnsi="Arial" w:cs="Arial"/>
            <w:szCs w:val="22"/>
          </w:rPr>
          <w:t>přílohy č. 2</w:t>
        </w:r>
      </w:hyperlink>
      <w:r w:rsidRPr="0030358C">
        <w:rPr>
          <w:rFonts w:ascii="Arial" w:hAnsi="Arial" w:cs="Arial"/>
          <w:szCs w:val="22"/>
        </w:rPr>
        <w:t xml:space="preserve"> k </w:t>
      </w:r>
      <w:hyperlink w:history="1">
        <w:r w:rsidR="00A77B3E" w:rsidRPr="0030358C">
          <w:rPr>
            <w:rFonts w:ascii="Arial" w:hAnsi="Arial" w:cs="Arial"/>
            <w:szCs w:val="22"/>
          </w:rPr>
          <w:t>zákonu</w:t>
        </w:r>
      </w:hyperlink>
      <w:r w:rsidRPr="0030358C">
        <w:rPr>
          <w:rFonts w:ascii="Arial" w:hAnsi="Arial" w:cs="Arial"/>
          <w:szCs w:val="22"/>
        </w:rPr>
        <w:t>)</w:t>
      </w:r>
    </w:p>
    <w:p w14:paraId="7B0F7514" w14:textId="77777777" w:rsidR="00A77B3E" w:rsidRPr="0030358C" w:rsidRDefault="00000000">
      <w:pPr>
        <w:pStyle w:val="47"/>
        <w:rPr>
          <w:rFonts w:ascii="Arial" w:hAnsi="Arial" w:cs="Arial"/>
          <w:sz w:val="22"/>
          <w:szCs w:val="22"/>
        </w:rPr>
      </w:pPr>
      <w:r w:rsidRPr="0030358C">
        <w:rPr>
          <w:rFonts w:ascii="Arial" w:hAnsi="Arial" w:cs="Arial"/>
          <w:sz w:val="22"/>
          <w:szCs w:val="22"/>
        </w:rPr>
        <w:t>Extrakce rostlinných olejů ze semen nebo z jiných rostlinných materiálů, zpracování suchých (vyextrahovaných) zbytků rostlin na krmivo pro zvířata, přečišťování tuků a olejů získaných ze semen, z rostlinných nebo z živočišných materiálů.</w:t>
      </w:r>
    </w:p>
    <w:p w14:paraId="1B0B7EF9" w14:textId="77777777" w:rsidR="00A77B3E" w:rsidRPr="0030358C" w:rsidRDefault="00A77B3E">
      <w:pPr>
        <w:pStyle w:val="47"/>
        <w:rPr>
          <w:rFonts w:ascii="Arial" w:hAnsi="Arial" w:cs="Arial"/>
          <w:sz w:val="22"/>
          <w:szCs w:val="22"/>
        </w:rPr>
        <w:sectPr w:rsidR="00A77B3E" w:rsidRPr="0030358C" w:rsidSect="00D804A3">
          <w:type w:val="continuous"/>
          <w:pgSz w:w="11906" w:h="16838" w:code="9"/>
          <w:pgMar w:top="1417" w:right="1417" w:bottom="1417" w:left="1417" w:header="708" w:footer="708" w:gutter="0"/>
          <w:cols w:space="708"/>
          <w:docGrid w:linePitch="360"/>
        </w:sectPr>
      </w:pPr>
    </w:p>
    <w:tbl>
      <w:tblPr>
        <w:tblStyle w:val="data-tisk-na-sirku"/>
        <w:tblW w:w="9242"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457"/>
        <w:gridCol w:w="3530"/>
        <w:gridCol w:w="1255"/>
      </w:tblGrid>
      <w:tr w:rsidR="00E40657" w14:paraId="5F23F57D" w14:textId="77777777" w:rsidTr="00D50ABB">
        <w:trPr>
          <w:trHeight w:val="571"/>
        </w:trPr>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312CFEE"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lastRenderedPageBreak/>
              <w:t>Činnost - extrakce a rafinace z následujících materiálů</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3BF9D27"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Projektovaná spotřeba organických rozpouštědel [t/rok]</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8FCA3C8"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w:t>
            </w:r>
            <w:r w:rsidRPr="0030358C">
              <w:rPr>
                <w:rFonts w:ascii="Arial" w:hAnsi="Arial" w:cs="Arial"/>
                <w:b/>
                <w:bCs/>
                <w:sz w:val="22"/>
                <w:szCs w:val="22"/>
                <w:vertAlign w:val="subscript"/>
              </w:rPr>
              <w:t>E</w:t>
            </w:r>
            <w:r w:rsidRPr="0030358C">
              <w:rPr>
                <w:rFonts w:ascii="Arial" w:hAnsi="Arial" w:cs="Arial"/>
                <w:b/>
                <w:bCs/>
                <w:sz w:val="22"/>
                <w:szCs w:val="22"/>
                <w:vertAlign w:val="superscript"/>
              </w:rPr>
              <w:t>1)</w:t>
            </w:r>
            <w:r w:rsidRPr="0030358C">
              <w:rPr>
                <w:rFonts w:ascii="Arial" w:hAnsi="Arial" w:cs="Arial"/>
                <w:b/>
                <w:bCs/>
                <w:sz w:val="22"/>
                <w:szCs w:val="22"/>
              </w:rPr>
              <w:t xml:space="preserve"> [kg/t]</w:t>
            </w:r>
          </w:p>
        </w:tc>
      </w:tr>
      <w:tr w:rsidR="00E40657" w14:paraId="3A31945D" w14:textId="77777777" w:rsidTr="00D50ABB">
        <w:trPr>
          <w:trHeight w:val="314"/>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18DA15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živočišný tuk</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17353C8"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061FCF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1,5</w:t>
            </w:r>
          </w:p>
        </w:tc>
      </w:tr>
      <w:tr w:rsidR="00E40657" w14:paraId="218F915D" w14:textId="77777777" w:rsidTr="00D50ABB">
        <w:trPr>
          <w:trHeight w:val="314"/>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B1577B6"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ricin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9E3AA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3D526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r w:rsidR="00E40657" w14:paraId="638A77AC" w14:textId="77777777" w:rsidTr="00D50ABB">
        <w:trPr>
          <w:trHeight w:val="314"/>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BC862F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řepková nebo slunečnicová semena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8A8BA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B1D712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w:t>
            </w:r>
          </w:p>
        </w:tc>
      </w:tr>
      <w:tr w:rsidR="00E40657" w14:paraId="25DF7640" w14:textId="77777777" w:rsidTr="00D50ABB">
        <w:trPr>
          <w:trHeight w:val="314"/>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21DFC97"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sojové boby – normální drť</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370176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E3EAF7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0,8</w:t>
            </w:r>
          </w:p>
        </w:tc>
      </w:tr>
      <w:tr w:rsidR="00E40657" w14:paraId="70C1B212" w14:textId="77777777" w:rsidTr="00D50ABB">
        <w:trPr>
          <w:trHeight w:val="314"/>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8C84A4C"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sojové boby – bílé vločky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6D6FF4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10D27E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1,2</w:t>
            </w:r>
          </w:p>
        </w:tc>
      </w:tr>
      <w:tr w:rsidR="00E40657" w14:paraId="1DFDA545" w14:textId="77777777" w:rsidTr="00D50ABB">
        <w:trPr>
          <w:trHeight w:val="314"/>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1D949DC"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ostatní semena a jiný rostlinný materiál</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7F362E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F25F38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w:t>
            </w:r>
          </w:p>
        </w:tc>
      </w:tr>
      <w:tr w:rsidR="00E40657" w14:paraId="16D1DA84" w14:textId="77777777" w:rsidTr="00D50ABB">
        <w:trPr>
          <w:trHeight w:val="843"/>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6BA065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ostatní semena a jiný rostlinný materiál</w:t>
            </w:r>
            <w:r w:rsidRPr="0030358C">
              <w:rPr>
                <w:rFonts w:ascii="Arial" w:hAnsi="Arial" w:cs="Arial"/>
                <w:sz w:val="22"/>
                <w:szCs w:val="22"/>
              </w:rPr>
              <w:br/>
              <w:t>- procesy frakcionace vyjma odstraňování klovatiny či pryskyřic z olejů</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991C28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7E13C4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1,5</w:t>
            </w:r>
          </w:p>
        </w:tc>
      </w:tr>
      <w:tr w:rsidR="00E40657" w14:paraId="2D22F9BD" w14:textId="77777777" w:rsidTr="00D50ABB">
        <w:trPr>
          <w:trHeight w:val="586"/>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0BB8BD51"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ostatní semena a jiný rostlinný materiál -odstraňování klovatiny či pryskyřice z olejů</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49438B3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&gt; 10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F409F1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4</w:t>
            </w:r>
          </w:p>
        </w:tc>
      </w:tr>
    </w:tbl>
    <w:p w14:paraId="31D381BB" w14:textId="77777777" w:rsidR="0081536E" w:rsidRPr="0030358C" w:rsidRDefault="0081536E">
      <w:pPr>
        <w:pStyle w:val="47"/>
        <w:rPr>
          <w:rFonts w:ascii="Arial" w:hAnsi="Arial" w:cs="Arial"/>
          <w:sz w:val="22"/>
          <w:szCs w:val="22"/>
        </w:rPr>
      </w:pPr>
    </w:p>
    <w:p w14:paraId="1A24B402" w14:textId="77777777" w:rsidR="00A77B3E" w:rsidRPr="0030358C" w:rsidRDefault="00000000">
      <w:pPr>
        <w:pStyle w:val="54"/>
        <w:rPr>
          <w:rFonts w:ascii="Arial" w:hAnsi="Arial" w:cs="Arial"/>
          <w:sz w:val="22"/>
          <w:szCs w:val="22"/>
        </w:rPr>
      </w:pPr>
      <w:r w:rsidRPr="0030358C">
        <w:rPr>
          <w:rFonts w:ascii="Arial" w:hAnsi="Arial" w:cs="Arial"/>
          <w:sz w:val="22"/>
          <w:szCs w:val="22"/>
        </w:rPr>
        <w:t>Vysvětlivka:</w:t>
      </w:r>
    </w:p>
    <w:p w14:paraId="0D1A78BC" w14:textId="77777777" w:rsidR="00A77B3E" w:rsidRPr="0030358C" w:rsidRDefault="00000000">
      <w:pPr>
        <w:pStyle w:val="69"/>
        <w:rPr>
          <w:rFonts w:ascii="Arial" w:hAnsi="Arial" w:cs="Arial"/>
          <w:sz w:val="22"/>
          <w:szCs w:val="22"/>
        </w:rPr>
      </w:pPr>
      <w:r w:rsidRPr="0030358C">
        <w:rPr>
          <w:rFonts w:ascii="Arial" w:hAnsi="Arial" w:cs="Arial"/>
          <w:sz w:val="22"/>
          <w:szCs w:val="22"/>
        </w:rPr>
        <w:t>1)    Podíl hmotnosti emisí těkavých organických látek a celkové hmotnosti zpracované suroviny.</w:t>
      </w:r>
    </w:p>
    <w:p w14:paraId="4B968D20" w14:textId="77777777" w:rsidR="0081536E" w:rsidRPr="0030358C" w:rsidRDefault="00000000">
      <w:pPr>
        <w:rPr>
          <w:rFonts w:ascii="Arial" w:hAnsi="Arial" w:cs="Arial"/>
          <w:sz w:val="22"/>
          <w:szCs w:val="22"/>
        </w:rPr>
      </w:pPr>
      <w:r w:rsidRPr="0030358C">
        <w:rPr>
          <w:rFonts w:ascii="Arial" w:hAnsi="Arial" w:cs="Arial"/>
          <w:sz w:val="22"/>
          <w:szCs w:val="22"/>
        </w:rPr>
        <w:br w:type="page"/>
      </w:r>
    </w:p>
    <w:p w14:paraId="69B0F3BE" w14:textId="77777777" w:rsidR="00A77B3E" w:rsidRPr="0030358C" w:rsidRDefault="00000000">
      <w:pPr>
        <w:pStyle w:val="44"/>
        <w:rPr>
          <w:rFonts w:ascii="Arial" w:hAnsi="Arial" w:cs="Arial"/>
          <w:sz w:val="22"/>
          <w:szCs w:val="22"/>
        </w:rPr>
      </w:pPr>
      <w:r w:rsidRPr="0030358C">
        <w:rPr>
          <w:rFonts w:ascii="Arial" w:hAnsi="Arial" w:cs="Arial"/>
          <w:sz w:val="22"/>
          <w:szCs w:val="22"/>
        </w:rPr>
        <w:lastRenderedPageBreak/>
        <w:t>Část III</w:t>
      </w:r>
    </w:p>
    <w:p w14:paraId="4483A82C" w14:textId="77777777" w:rsidR="00A77B3E" w:rsidRPr="0030358C" w:rsidRDefault="00000000">
      <w:pPr>
        <w:pStyle w:val="8"/>
        <w:rPr>
          <w:rFonts w:ascii="Arial" w:hAnsi="Arial" w:cs="Arial"/>
          <w:sz w:val="22"/>
          <w:szCs w:val="22"/>
        </w:rPr>
      </w:pPr>
      <w:r w:rsidRPr="0030358C">
        <w:rPr>
          <w:rFonts w:ascii="Arial" w:hAnsi="Arial" w:cs="Arial"/>
          <w:sz w:val="22"/>
          <w:szCs w:val="22"/>
        </w:rPr>
        <w:t>Emisní strop a způsob jeho výpočtu</w:t>
      </w:r>
    </w:p>
    <w:p w14:paraId="09D78C42" w14:textId="77777777" w:rsidR="00A77B3E" w:rsidRPr="0030358C" w:rsidRDefault="00000000">
      <w:pPr>
        <w:pStyle w:val="24"/>
        <w:rPr>
          <w:rFonts w:ascii="Arial" w:hAnsi="Arial" w:cs="Arial"/>
          <w:sz w:val="22"/>
          <w:szCs w:val="22"/>
        </w:rPr>
      </w:pPr>
      <w:r w:rsidRPr="0030358C">
        <w:rPr>
          <w:rFonts w:ascii="Arial" w:hAnsi="Arial" w:cs="Arial"/>
          <w:sz w:val="22"/>
          <w:szCs w:val="22"/>
        </w:rPr>
        <w:t xml:space="preserve">1)    Emisní strop nepřesáhne maximální množství emisí těkavých organických látek za období jednoho roku, jaké by byly zdrojem vyprodukovány v případě uplatnění emisních limitů uvedených v </w:t>
      </w:r>
      <w:hyperlink w:history="1">
        <w:r w:rsidR="00A77B3E" w:rsidRPr="0030358C">
          <w:rPr>
            <w:rFonts w:ascii="Arial" w:hAnsi="Arial" w:cs="Arial"/>
            <w:sz w:val="22"/>
            <w:szCs w:val="22"/>
          </w:rPr>
          <w:t>části II</w:t>
        </w:r>
      </w:hyperlink>
      <w:r w:rsidRPr="0030358C">
        <w:rPr>
          <w:rFonts w:ascii="Arial" w:hAnsi="Arial" w:cs="Arial"/>
          <w:sz w:val="22"/>
          <w:szCs w:val="22"/>
        </w:rPr>
        <w:t xml:space="preserve"> této přílohy.</w:t>
      </w:r>
    </w:p>
    <w:p w14:paraId="2D2C8583"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2)    Odchylně od </w:t>
      </w:r>
      <w:hyperlink w:history="1">
        <w:r w:rsidR="00A77B3E" w:rsidRPr="0030358C">
          <w:rPr>
            <w:rFonts w:ascii="Arial" w:hAnsi="Arial" w:cs="Arial"/>
            <w:sz w:val="22"/>
            <w:szCs w:val="22"/>
          </w:rPr>
          <w:t>odstavce 1</w:t>
        </w:r>
      </w:hyperlink>
      <w:r w:rsidRPr="0030358C">
        <w:rPr>
          <w:rFonts w:ascii="Arial" w:hAnsi="Arial" w:cs="Arial"/>
          <w:sz w:val="22"/>
          <w:szCs w:val="22"/>
        </w:rPr>
        <w:t xml:space="preserve"> se postupuje v případě stacionárního zdroje uvedeného v </w:t>
      </w:r>
      <w:hyperlink w:history="1">
        <w:r w:rsidR="00A77B3E" w:rsidRPr="0030358C">
          <w:rPr>
            <w:rFonts w:ascii="Arial" w:hAnsi="Arial" w:cs="Arial"/>
            <w:sz w:val="22"/>
            <w:szCs w:val="22"/>
          </w:rPr>
          <w:t>části II</w:t>
        </w:r>
      </w:hyperlink>
      <w:r w:rsidRPr="0030358C">
        <w:rPr>
          <w:rFonts w:ascii="Arial" w:hAnsi="Arial" w:cs="Arial"/>
          <w:sz w:val="22"/>
          <w:szCs w:val="22"/>
        </w:rPr>
        <w:t xml:space="preserve"> této přílohy bodu 4.1. jehož emise těkavých organických látek nelze shromažďovat a kontrolovaným způsobem odvádět prostřednictvím výduchu, komínu nebo výpusti ze zařízení pro snižování emisí těkavých organických látek, a jehož emise jsou tudíž zcela fugitivní (např. nátěry lodí nebo letadel), a u kterého splnění požadavku na plnění emisního stropu dle </w:t>
      </w:r>
      <w:hyperlink w:history="1">
        <w:r w:rsidR="00A77B3E" w:rsidRPr="0030358C">
          <w:rPr>
            <w:rFonts w:ascii="Arial" w:hAnsi="Arial" w:cs="Arial"/>
            <w:sz w:val="22"/>
            <w:szCs w:val="22"/>
          </w:rPr>
          <w:t>odst. 1</w:t>
        </w:r>
      </w:hyperlink>
      <w:r w:rsidRPr="0030358C">
        <w:rPr>
          <w:rFonts w:ascii="Arial" w:hAnsi="Arial" w:cs="Arial"/>
          <w:sz w:val="22"/>
          <w:szCs w:val="22"/>
        </w:rPr>
        <w:t xml:space="preserve"> není technicky a ekonomicky dosažitelné. V takovém případě se považuje emisní strop za plněný, jestliže je vzhledem k emisím těkavých organických látek používána nejlepší dostupná technika.</w:t>
      </w:r>
    </w:p>
    <w:p w14:paraId="200ABBA6" w14:textId="77777777" w:rsidR="00A77B3E" w:rsidRPr="0030358C" w:rsidRDefault="00000000">
      <w:pPr>
        <w:pStyle w:val="30"/>
        <w:rPr>
          <w:rFonts w:ascii="Arial" w:hAnsi="Arial" w:cs="Arial"/>
          <w:sz w:val="22"/>
          <w:szCs w:val="22"/>
        </w:rPr>
      </w:pPr>
      <w:r w:rsidRPr="0030358C">
        <w:rPr>
          <w:rFonts w:ascii="Arial" w:hAnsi="Arial" w:cs="Arial"/>
          <w:sz w:val="22"/>
          <w:szCs w:val="22"/>
        </w:rPr>
        <w:t xml:space="preserve">3)    Emisní strop nemůže nahrazovat emisní limit stanovený v </w:t>
      </w:r>
      <w:hyperlink w:history="1">
        <w:r w:rsidR="00A77B3E" w:rsidRPr="0030358C">
          <w:rPr>
            <w:rFonts w:ascii="Arial" w:hAnsi="Arial" w:cs="Arial"/>
            <w:sz w:val="22"/>
            <w:szCs w:val="22"/>
          </w:rPr>
          <w:t>části I bodu 2 písm. a)</w:t>
        </w:r>
      </w:hyperlink>
      <w:r w:rsidRPr="0030358C">
        <w:rPr>
          <w:rFonts w:ascii="Arial" w:hAnsi="Arial" w:cs="Arial"/>
          <w:sz w:val="22"/>
          <w:szCs w:val="22"/>
        </w:rPr>
        <w:t xml:space="preserve"> a </w:t>
      </w:r>
      <w:hyperlink w:history="1">
        <w:r w:rsidR="00A77B3E" w:rsidRPr="0030358C">
          <w:rPr>
            <w:rFonts w:ascii="Arial" w:hAnsi="Arial" w:cs="Arial"/>
            <w:sz w:val="22"/>
            <w:szCs w:val="22"/>
          </w:rPr>
          <w:t>b)</w:t>
        </w:r>
      </w:hyperlink>
      <w:r w:rsidRPr="0030358C">
        <w:rPr>
          <w:rFonts w:ascii="Arial" w:hAnsi="Arial" w:cs="Arial"/>
          <w:sz w:val="22"/>
          <w:szCs w:val="22"/>
        </w:rPr>
        <w:t>.</w:t>
      </w:r>
    </w:p>
    <w:p w14:paraId="56CD869A" w14:textId="77777777" w:rsidR="00A77B3E" w:rsidRPr="0030358C" w:rsidRDefault="00000000">
      <w:pPr>
        <w:pStyle w:val="25"/>
        <w:rPr>
          <w:rFonts w:ascii="Arial" w:hAnsi="Arial" w:cs="Arial"/>
          <w:sz w:val="22"/>
          <w:szCs w:val="22"/>
        </w:rPr>
      </w:pPr>
      <w:r w:rsidRPr="0030358C">
        <w:rPr>
          <w:rFonts w:ascii="Arial" w:hAnsi="Arial" w:cs="Arial"/>
          <w:sz w:val="22"/>
          <w:szCs w:val="22"/>
        </w:rPr>
        <w:t>4)    V případě aplikace nátěrových hmot, adhezivních materiálů nebo tiskařských barev lze využít následujícího způsobu stanovení emisního stropu.</w:t>
      </w:r>
    </w:p>
    <w:p w14:paraId="25B19DBC" w14:textId="77777777" w:rsidR="00A77B3E" w:rsidRPr="0030358C" w:rsidRDefault="00000000">
      <w:pPr>
        <w:pStyle w:val="31"/>
        <w:rPr>
          <w:rFonts w:ascii="Arial" w:hAnsi="Arial" w:cs="Arial"/>
          <w:sz w:val="22"/>
          <w:szCs w:val="22"/>
        </w:rPr>
      </w:pPr>
      <w:r w:rsidRPr="0030358C">
        <w:rPr>
          <w:rFonts w:ascii="Arial" w:hAnsi="Arial" w:cs="Arial"/>
          <w:sz w:val="22"/>
          <w:szCs w:val="22"/>
        </w:rPr>
        <w:t>Emisní strop = celková hmotnost netěkavých látek ve spotřebovaných materiálech x K</w:t>
      </w:r>
      <w:r w:rsidRPr="0030358C">
        <w:rPr>
          <w:rFonts w:ascii="Arial" w:hAnsi="Arial" w:cs="Arial"/>
          <w:sz w:val="22"/>
          <w:szCs w:val="22"/>
          <w:vertAlign w:val="subscript"/>
        </w:rPr>
        <w:t>1</w:t>
      </w:r>
      <w:r w:rsidRPr="0030358C">
        <w:rPr>
          <w:rFonts w:ascii="Arial" w:hAnsi="Arial" w:cs="Arial"/>
          <w:sz w:val="22"/>
          <w:szCs w:val="22"/>
        </w:rPr>
        <w:t xml:space="preserve"> x K</w:t>
      </w:r>
      <w:r w:rsidRPr="0030358C">
        <w:rPr>
          <w:rFonts w:ascii="Arial" w:hAnsi="Arial" w:cs="Arial"/>
          <w:sz w:val="22"/>
          <w:szCs w:val="22"/>
          <w:vertAlign w:val="subscript"/>
        </w:rPr>
        <w:t>2</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7716"/>
        <w:gridCol w:w="1152"/>
      </w:tblGrid>
      <w:tr w:rsidR="00E40657" w14:paraId="7CC573CB"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9FCFC55" w14:textId="77777777" w:rsidR="00A77B3E" w:rsidRPr="0030358C" w:rsidRDefault="00000000">
            <w:pPr>
              <w:pStyle w:val="31"/>
              <w:overflowPunct w:val="0"/>
              <w:ind w:left="0"/>
              <w:jc w:val="center"/>
              <w:rPr>
                <w:rFonts w:ascii="Arial" w:hAnsi="Arial" w:cs="Arial"/>
                <w:b/>
                <w:bCs/>
                <w:sz w:val="22"/>
                <w:szCs w:val="22"/>
              </w:rPr>
            </w:pPr>
            <w:r w:rsidRPr="0030358C">
              <w:rPr>
                <w:rFonts w:ascii="Arial" w:hAnsi="Arial" w:cs="Arial"/>
                <w:b/>
                <w:bCs/>
                <w:sz w:val="22"/>
                <w:szCs w:val="22"/>
              </w:rPr>
              <w:t>Činnost</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96903D8" w14:textId="77777777" w:rsidR="00A77B3E" w:rsidRPr="0030358C" w:rsidRDefault="00000000">
            <w:pPr>
              <w:pStyle w:val="31"/>
              <w:overflowPunct w:val="0"/>
              <w:ind w:left="0"/>
              <w:jc w:val="center"/>
              <w:rPr>
                <w:rFonts w:ascii="Arial" w:hAnsi="Arial" w:cs="Arial"/>
                <w:b/>
                <w:bCs/>
                <w:sz w:val="22"/>
                <w:szCs w:val="22"/>
              </w:rPr>
            </w:pPr>
            <w:r w:rsidRPr="0030358C">
              <w:rPr>
                <w:rFonts w:ascii="Arial" w:hAnsi="Arial" w:cs="Arial"/>
                <w:b/>
                <w:bCs/>
                <w:sz w:val="22"/>
                <w:szCs w:val="22"/>
              </w:rPr>
              <w:t>faktor K</w:t>
            </w:r>
            <w:r w:rsidRPr="0030358C">
              <w:rPr>
                <w:rFonts w:ascii="Arial" w:hAnsi="Arial" w:cs="Arial"/>
                <w:b/>
                <w:bCs/>
                <w:sz w:val="22"/>
                <w:szCs w:val="22"/>
                <w:vertAlign w:val="subscript"/>
              </w:rPr>
              <w:t>1</w:t>
            </w:r>
          </w:p>
        </w:tc>
      </w:tr>
      <w:tr w:rsidR="00E40657" w14:paraId="4449F2C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DF83C64"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publikační hlubotisk</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73195BA"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4</w:t>
            </w:r>
          </w:p>
        </w:tc>
      </w:tr>
      <w:tr w:rsidR="00E40657" w14:paraId="7EAD598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3F2F5C9"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rotační válcový sítotisk</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ACBFCC7"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1,5</w:t>
            </w:r>
          </w:p>
        </w:tc>
      </w:tr>
      <w:tr w:rsidR="00E40657" w14:paraId="2CACE87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B51486B"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ostatní polygrafické činnosti (s výjimkou publikačního hlubotisku a rotačního válcového sítotisku)</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85414C0"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2,5</w:t>
            </w:r>
          </w:p>
        </w:tc>
      </w:tr>
      <w:tr w:rsidR="00E40657" w14:paraId="473102B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05EC120"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aplikace nátěrových hmot na dřevo, textil, tkaniny, filmy, fólie a papír</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239C53"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4</w:t>
            </w:r>
          </w:p>
        </w:tc>
      </w:tr>
      <w:tr w:rsidR="00E40657" w14:paraId="0827270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E429B59"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nanášení adhezivních materiálů</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C4E6FE3"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3</w:t>
            </w:r>
          </w:p>
        </w:tc>
      </w:tr>
      <w:tr w:rsidR="00E40657" w14:paraId="24E9365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11180B9"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nátěry a lakování pásových a svitkových materiálů</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7842E18"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2,5</w:t>
            </w:r>
          </w:p>
        </w:tc>
      </w:tr>
      <w:tr w:rsidR="00E40657" w14:paraId="2567CD9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1D6AFE7"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přestříkávání vozidel - opravárenství</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426F3E7"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2,5</w:t>
            </w:r>
          </w:p>
        </w:tc>
      </w:tr>
      <w:tr w:rsidR="00E40657" w14:paraId="7D278D8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A47108B"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nátěry pro styk s potravinami; nátěry v leteckém průmyslu</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352738C"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2,33</w:t>
            </w:r>
          </w:p>
        </w:tc>
      </w:tr>
      <w:tr w:rsidR="00E40657" w14:paraId="02CBC7B9"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16DAC24" w14:textId="77777777" w:rsidR="00A77B3E" w:rsidRPr="0030358C" w:rsidRDefault="00000000">
            <w:pPr>
              <w:pStyle w:val="31"/>
              <w:overflowPunct w:val="0"/>
              <w:ind w:left="0"/>
              <w:jc w:val="left"/>
              <w:rPr>
                <w:rFonts w:ascii="Arial" w:hAnsi="Arial" w:cs="Arial"/>
                <w:sz w:val="22"/>
                <w:szCs w:val="22"/>
              </w:rPr>
            </w:pPr>
            <w:r w:rsidRPr="0030358C">
              <w:rPr>
                <w:rFonts w:ascii="Arial" w:hAnsi="Arial" w:cs="Arial"/>
                <w:sz w:val="22"/>
                <w:szCs w:val="22"/>
              </w:rPr>
              <w:t>aplikace nátěrových hmot na ostatní materiály</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1771C629" w14:textId="77777777" w:rsidR="00A77B3E" w:rsidRPr="0030358C" w:rsidRDefault="00000000">
            <w:pPr>
              <w:pStyle w:val="31"/>
              <w:overflowPunct w:val="0"/>
              <w:ind w:left="0"/>
              <w:jc w:val="center"/>
              <w:rPr>
                <w:rFonts w:ascii="Arial" w:hAnsi="Arial" w:cs="Arial"/>
                <w:sz w:val="22"/>
                <w:szCs w:val="22"/>
              </w:rPr>
            </w:pPr>
            <w:r w:rsidRPr="0030358C">
              <w:rPr>
                <w:rFonts w:ascii="Arial" w:hAnsi="Arial" w:cs="Arial"/>
                <w:sz w:val="22"/>
                <w:szCs w:val="22"/>
              </w:rPr>
              <w:t>1,5</w:t>
            </w:r>
          </w:p>
        </w:tc>
      </w:tr>
    </w:tbl>
    <w:p w14:paraId="5EB9B9DB" w14:textId="77777777" w:rsidR="00A77B3E" w:rsidRPr="0030358C" w:rsidRDefault="00A77B3E">
      <w:pPr>
        <w:pStyle w:val="31"/>
        <w:rPr>
          <w:rFonts w:ascii="Arial" w:hAnsi="Arial" w:cs="Arial"/>
          <w:sz w:val="22"/>
          <w:szCs w:val="22"/>
        </w:rPr>
      </w:pPr>
    </w:p>
    <w:p w14:paraId="161BE280" w14:textId="77777777" w:rsidR="00A77B3E" w:rsidRPr="0030358C" w:rsidRDefault="00000000">
      <w:pPr>
        <w:pStyle w:val="90"/>
        <w:rPr>
          <w:rFonts w:ascii="Arial" w:hAnsi="Arial" w:cs="Arial"/>
          <w:sz w:val="22"/>
          <w:szCs w:val="22"/>
        </w:rPr>
      </w:pPr>
      <w:r w:rsidRPr="0030358C">
        <w:rPr>
          <w:rFonts w:ascii="Arial" w:hAnsi="Arial" w:cs="Arial"/>
          <w:sz w:val="22"/>
          <w:szCs w:val="22"/>
        </w:rPr>
        <w:t>V případě, že je při provozu zdroje dosahováno vyšší účinnosti využití netěkavých látek obsažených v nátěrových hmotách, adhezivních materiálech a tiskařských barvách, může být velikost faktoru K</w:t>
      </w:r>
      <w:r w:rsidRPr="0030358C">
        <w:rPr>
          <w:rFonts w:ascii="Arial" w:hAnsi="Arial" w:cs="Arial"/>
          <w:sz w:val="22"/>
          <w:szCs w:val="22"/>
          <w:vertAlign w:val="subscript"/>
        </w:rPr>
        <w:t>1</w:t>
      </w:r>
      <w:r w:rsidRPr="0030358C">
        <w:rPr>
          <w:rFonts w:ascii="Arial" w:hAnsi="Arial" w:cs="Arial"/>
          <w:sz w:val="22"/>
          <w:szCs w:val="22"/>
        </w:rPr>
        <w:t xml:space="preserve"> pro jednotlivé zdroje upravena.</w:t>
      </w:r>
    </w:p>
    <w:p w14:paraId="46CD0E1C" w14:textId="77777777" w:rsidR="00A77B3E" w:rsidRPr="0030358C" w:rsidRDefault="00000000">
      <w:pPr>
        <w:pStyle w:val="91"/>
        <w:rPr>
          <w:rFonts w:ascii="Arial" w:hAnsi="Arial" w:cs="Arial"/>
          <w:sz w:val="22"/>
          <w:szCs w:val="22"/>
        </w:rPr>
      </w:pPr>
      <w:r w:rsidRPr="0030358C">
        <w:rPr>
          <w:rFonts w:ascii="Arial" w:hAnsi="Arial" w:cs="Arial"/>
          <w:sz w:val="22"/>
          <w:szCs w:val="22"/>
        </w:rPr>
        <w:t>Hodnota faktoru K</w:t>
      </w:r>
      <w:r w:rsidRPr="0030358C">
        <w:rPr>
          <w:rFonts w:ascii="Arial" w:hAnsi="Arial" w:cs="Arial"/>
          <w:sz w:val="22"/>
          <w:szCs w:val="22"/>
          <w:vertAlign w:val="subscript"/>
        </w:rPr>
        <w:t>2</w:t>
      </w:r>
      <w:r w:rsidRPr="0030358C">
        <w:rPr>
          <w:rFonts w:ascii="Arial" w:hAnsi="Arial" w:cs="Arial"/>
          <w:sz w:val="22"/>
          <w:szCs w:val="22"/>
        </w:rPr>
        <w:t xml:space="preserve"> se určuje z hodnoty emisního limitu pro fugitivní emise uvedeného pro jednotlivé činnosti v </w:t>
      </w:r>
      <w:hyperlink w:history="1">
        <w:r w:rsidR="00A77B3E" w:rsidRPr="0030358C">
          <w:rPr>
            <w:rFonts w:ascii="Arial" w:hAnsi="Arial" w:cs="Arial"/>
            <w:sz w:val="22"/>
            <w:szCs w:val="22"/>
          </w:rPr>
          <w:t>části II</w:t>
        </w:r>
      </w:hyperlink>
      <w:r w:rsidRPr="0030358C">
        <w:rPr>
          <w:rFonts w:ascii="Arial" w:hAnsi="Arial" w:cs="Arial"/>
          <w:sz w:val="22"/>
          <w:szCs w:val="22"/>
        </w:rPr>
        <w:t xml:space="preserve"> této přílohy takto:</w:t>
      </w:r>
    </w:p>
    <w:p w14:paraId="43A31832" w14:textId="77777777" w:rsidR="00A77B3E" w:rsidRPr="0030358C" w:rsidRDefault="00000000">
      <w:pPr>
        <w:pStyle w:val="31"/>
        <w:rPr>
          <w:rFonts w:ascii="Arial" w:hAnsi="Arial" w:cs="Arial"/>
          <w:sz w:val="22"/>
          <w:szCs w:val="22"/>
        </w:rPr>
      </w:pPr>
      <w:r w:rsidRPr="0030358C">
        <w:rPr>
          <w:rFonts w:ascii="Arial" w:hAnsi="Arial" w:cs="Arial"/>
          <w:sz w:val="22"/>
          <w:szCs w:val="22"/>
        </w:rPr>
        <w:t>K</w:t>
      </w:r>
      <w:r w:rsidRPr="0030358C">
        <w:rPr>
          <w:rFonts w:ascii="Arial" w:hAnsi="Arial" w:cs="Arial"/>
          <w:sz w:val="22"/>
          <w:szCs w:val="22"/>
          <w:vertAlign w:val="subscript"/>
        </w:rPr>
        <w:t>2</w:t>
      </w:r>
      <w:r w:rsidRPr="0030358C">
        <w:rPr>
          <w:rFonts w:ascii="Arial" w:hAnsi="Arial" w:cs="Arial"/>
          <w:sz w:val="22"/>
          <w:szCs w:val="22"/>
        </w:rPr>
        <w:t xml:space="preserve"> = [emisní limit pro fugitivní emise + 15] / 100</w:t>
      </w:r>
    </w:p>
    <w:p w14:paraId="62E40FB4" w14:textId="77777777" w:rsidR="00A77B3E" w:rsidRPr="0030358C" w:rsidRDefault="00000000">
      <w:pPr>
        <w:pStyle w:val="90"/>
        <w:rPr>
          <w:rFonts w:ascii="Arial" w:hAnsi="Arial" w:cs="Arial"/>
          <w:sz w:val="22"/>
          <w:szCs w:val="22"/>
        </w:rPr>
      </w:pPr>
      <w:r w:rsidRPr="0030358C">
        <w:rPr>
          <w:rFonts w:ascii="Arial" w:hAnsi="Arial" w:cs="Arial"/>
          <w:sz w:val="22"/>
          <w:szCs w:val="22"/>
        </w:rPr>
        <w:t xml:space="preserve">pro činnosti uvedené v </w:t>
      </w:r>
      <w:hyperlink w:history="1">
        <w:r w:rsidR="00A77B3E" w:rsidRPr="0030358C">
          <w:rPr>
            <w:rFonts w:ascii="Arial" w:hAnsi="Arial" w:cs="Arial"/>
            <w:sz w:val="22"/>
            <w:szCs w:val="22"/>
          </w:rPr>
          <w:t>bodu 4.3. části II</w:t>
        </w:r>
      </w:hyperlink>
      <w:r w:rsidRPr="0030358C">
        <w:rPr>
          <w:rFonts w:ascii="Arial" w:hAnsi="Arial" w:cs="Arial"/>
          <w:sz w:val="22"/>
          <w:szCs w:val="22"/>
        </w:rPr>
        <w:t xml:space="preserve"> této přílohy, dále pro činnosti uvedené v </w:t>
      </w:r>
      <w:hyperlink w:history="1">
        <w:r w:rsidR="00A77B3E" w:rsidRPr="0030358C">
          <w:rPr>
            <w:rFonts w:ascii="Arial" w:hAnsi="Arial" w:cs="Arial"/>
            <w:sz w:val="22"/>
            <w:szCs w:val="22"/>
          </w:rPr>
          <w:t>bodu 4.1. části II</w:t>
        </w:r>
      </w:hyperlink>
      <w:r w:rsidRPr="0030358C">
        <w:rPr>
          <w:rFonts w:ascii="Arial" w:hAnsi="Arial" w:cs="Arial"/>
          <w:sz w:val="22"/>
          <w:szCs w:val="22"/>
        </w:rPr>
        <w:t xml:space="preserve"> této přílohy s projektovanou spotřebou organických rozpouštědel &lt; 15 t/rok a pro činnosti uvedené v </w:t>
      </w:r>
      <w:hyperlink w:history="1">
        <w:r w:rsidR="00A77B3E" w:rsidRPr="0030358C">
          <w:rPr>
            <w:rFonts w:ascii="Arial" w:hAnsi="Arial" w:cs="Arial"/>
            <w:sz w:val="22"/>
            <w:szCs w:val="22"/>
          </w:rPr>
          <w:t>bodu 4.2. části II</w:t>
        </w:r>
      </w:hyperlink>
      <w:r w:rsidRPr="0030358C">
        <w:rPr>
          <w:rFonts w:ascii="Arial" w:hAnsi="Arial" w:cs="Arial"/>
          <w:sz w:val="22"/>
          <w:szCs w:val="22"/>
        </w:rPr>
        <w:t xml:space="preserve"> této přílohy s projektovanou spotřebou organických rozpouštědel &lt; 25 t/rok</w:t>
      </w:r>
    </w:p>
    <w:p w14:paraId="623B488D" w14:textId="77777777" w:rsidR="00A77B3E" w:rsidRPr="0030358C" w:rsidRDefault="00000000">
      <w:pPr>
        <w:pStyle w:val="91"/>
        <w:rPr>
          <w:rFonts w:ascii="Arial" w:hAnsi="Arial" w:cs="Arial"/>
          <w:sz w:val="22"/>
          <w:szCs w:val="22"/>
        </w:rPr>
      </w:pPr>
      <w:r w:rsidRPr="0030358C">
        <w:rPr>
          <w:rFonts w:ascii="Arial" w:hAnsi="Arial" w:cs="Arial"/>
          <w:sz w:val="22"/>
          <w:szCs w:val="22"/>
        </w:rPr>
        <w:lastRenderedPageBreak/>
        <w:t>nebo</w:t>
      </w:r>
    </w:p>
    <w:p w14:paraId="175B3319" w14:textId="77777777" w:rsidR="00A77B3E" w:rsidRPr="0030358C" w:rsidRDefault="00000000">
      <w:pPr>
        <w:pStyle w:val="31"/>
        <w:rPr>
          <w:rFonts w:ascii="Arial" w:hAnsi="Arial" w:cs="Arial"/>
          <w:sz w:val="22"/>
          <w:szCs w:val="22"/>
        </w:rPr>
      </w:pPr>
      <w:r w:rsidRPr="0030358C">
        <w:rPr>
          <w:rFonts w:ascii="Arial" w:hAnsi="Arial" w:cs="Arial"/>
          <w:sz w:val="22"/>
          <w:szCs w:val="22"/>
        </w:rPr>
        <w:t>K</w:t>
      </w:r>
      <w:r w:rsidRPr="0030358C">
        <w:rPr>
          <w:rFonts w:ascii="Arial" w:hAnsi="Arial" w:cs="Arial"/>
          <w:sz w:val="22"/>
          <w:szCs w:val="22"/>
          <w:vertAlign w:val="subscript"/>
        </w:rPr>
        <w:t>2</w:t>
      </w:r>
      <w:r w:rsidRPr="0030358C">
        <w:rPr>
          <w:rFonts w:ascii="Arial" w:hAnsi="Arial" w:cs="Arial"/>
          <w:sz w:val="22"/>
          <w:szCs w:val="22"/>
        </w:rPr>
        <w:t xml:space="preserve"> = [emisní limit pro fugitivní emise + 5] / 100 pro všechny ostatní činnosti.</w:t>
      </w:r>
    </w:p>
    <w:p w14:paraId="20C412D0" w14:textId="77777777" w:rsidR="00A77B3E" w:rsidRPr="0030358C" w:rsidRDefault="00000000">
      <w:pPr>
        <w:pStyle w:val="44"/>
        <w:rPr>
          <w:rFonts w:ascii="Arial" w:hAnsi="Arial" w:cs="Arial"/>
          <w:sz w:val="22"/>
          <w:szCs w:val="22"/>
        </w:rPr>
      </w:pPr>
      <w:r w:rsidRPr="0030358C">
        <w:rPr>
          <w:rFonts w:ascii="Arial" w:hAnsi="Arial" w:cs="Arial"/>
          <w:sz w:val="22"/>
          <w:szCs w:val="22"/>
        </w:rPr>
        <w:t>Část IV</w:t>
      </w:r>
    </w:p>
    <w:p w14:paraId="1D12690A" w14:textId="77777777" w:rsidR="00A77B3E" w:rsidRPr="0030358C" w:rsidRDefault="00000000">
      <w:pPr>
        <w:pStyle w:val="8"/>
        <w:rPr>
          <w:rFonts w:ascii="Arial" w:hAnsi="Arial" w:cs="Arial"/>
          <w:sz w:val="22"/>
          <w:szCs w:val="22"/>
        </w:rPr>
      </w:pPr>
      <w:r w:rsidRPr="0030358C">
        <w:rPr>
          <w:rFonts w:ascii="Arial" w:hAnsi="Arial" w:cs="Arial"/>
          <w:sz w:val="22"/>
          <w:szCs w:val="22"/>
        </w:rPr>
        <w:t>Způsob provedení roční hmotnostní bilance těkavých organických látek</w:t>
      </w:r>
    </w:p>
    <w:p w14:paraId="6654764D" w14:textId="77777777" w:rsidR="00A77B3E" w:rsidRPr="0030358C" w:rsidRDefault="00000000">
      <w:pPr>
        <w:pStyle w:val="46"/>
        <w:rPr>
          <w:rFonts w:ascii="Arial" w:hAnsi="Arial" w:cs="Arial"/>
          <w:szCs w:val="22"/>
        </w:rPr>
      </w:pPr>
      <w:r w:rsidRPr="0030358C">
        <w:rPr>
          <w:rFonts w:ascii="Arial" w:hAnsi="Arial" w:cs="Arial"/>
          <w:szCs w:val="22"/>
        </w:rPr>
        <w:t>1.    Veličiny roční hmotnostní bilance</w:t>
      </w:r>
    </w:p>
    <w:p w14:paraId="514B67BA" w14:textId="77777777" w:rsidR="00A77B3E" w:rsidRPr="0030358C" w:rsidRDefault="00000000">
      <w:pPr>
        <w:pStyle w:val="47"/>
        <w:rPr>
          <w:rFonts w:ascii="Arial" w:hAnsi="Arial" w:cs="Arial"/>
          <w:sz w:val="22"/>
          <w:szCs w:val="22"/>
        </w:rPr>
      </w:pPr>
      <w:r w:rsidRPr="0030358C">
        <w:rPr>
          <w:rFonts w:ascii="Arial" w:hAnsi="Arial" w:cs="Arial"/>
          <w:sz w:val="22"/>
          <w:szCs w:val="22"/>
        </w:rPr>
        <w:t>Bilance se provádí pro organická rozpouštědla vyjádřená jako VOC. V případě veličiny O1 změřené jako TOC se provede přepočet na VOC. Přepočet se provede na základě znalosti složení měřených emisí. V případě, že složení měřených emisí není známé, provede se přepočet na základě vztahu: VOC = TOC / 0,8.</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597"/>
        <w:gridCol w:w="8271"/>
      </w:tblGrid>
      <w:tr w:rsidR="00E40657" w14:paraId="5ADF15DC" w14:textId="77777777">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4D718CB"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vstupy (I)</w:t>
            </w:r>
          </w:p>
        </w:tc>
      </w:tr>
      <w:tr w:rsidR="00E40657" w14:paraId="09DCE13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B568B43"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I1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2296A3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celková hmotnost organických rozpouštědel v čisté formě nebo ve směsích, která byla zakoupena a využita jako vstupy do procesů v časovém rámci, ve kterém je vypočítávána tato hmotnostní bilance</w:t>
            </w:r>
          </w:p>
        </w:tc>
      </w:tr>
      <w:tr w:rsidR="00E40657" w14:paraId="4A46FA4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9B943B6"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I2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367A58D"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celková hmotnost organických rozpouštědel, v čisté formě nebo ve směsích, která byla interně regenerována a znovu (recyklovaně) využita jako vstupy do procesů v časovém rámci, ve kterém je vypočítávána tato hmotnostní bilance (recyklovaná rozpouštědla se započítávají pokaždé, kdy jsou využita v rámci provozu daného zdroje)</w:t>
            </w:r>
          </w:p>
        </w:tc>
      </w:tr>
      <w:tr w:rsidR="00E40657" w14:paraId="4BFE4CA9" w14:textId="77777777">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FFD1AEA"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výstupy (O)</w:t>
            </w:r>
          </w:p>
        </w:tc>
      </w:tr>
      <w:tr w:rsidR="00E40657" w14:paraId="7525E81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5CFDE6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2954FD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emise těkavých organických látek v odpadním plynu, který je odváděn do ovzduší komínem nebo výduchem</w:t>
            </w:r>
          </w:p>
        </w:tc>
      </w:tr>
      <w:tr w:rsidR="00E40657" w14:paraId="15A1984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A469306"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0833C00"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organických rozpouštědel obsažených v odpadní vodě; při výpočtu veličiny O5 se bere v úvahu i způsob zpracování odpadních vod</w:t>
            </w:r>
          </w:p>
        </w:tc>
      </w:tr>
      <w:tr w:rsidR="00E40657" w14:paraId="7B25BC1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35BB22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O3</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FCF9F7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organických rozpouštědel obsažených jako nečistoty nebo rezidua v konečných výrobcích</w:t>
            </w:r>
          </w:p>
        </w:tc>
      </w:tr>
      <w:tr w:rsidR="00E40657" w14:paraId="1667CE1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1ADEE6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O4</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8A11322"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nezachycených těkavých organických látek uvolněných do ovzduší vlivem větrání místností, kdy jsou tyto emise z pracovního prostředí vypouštěny do ovzduší okny, dveřmi, ventilačními otvory apod.</w:t>
            </w:r>
          </w:p>
        </w:tc>
      </w:tr>
      <w:tr w:rsidR="00E40657" w14:paraId="4F27638C"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75A919D"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8910987"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organických rozpouštědel spotřebovaných v průběhu chemických a fyzikálních procesů, například spalováním, sorpcí apod., pokud tato hmotnost nebyla započtena do veličin O6, O7 nebo O8</w:t>
            </w:r>
          </w:p>
        </w:tc>
      </w:tr>
      <w:tr w:rsidR="00E40657" w14:paraId="76E4F72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522D417"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O6</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42F553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organických rozpouštědel obsažených ve shromážděných odpadech</w:t>
            </w:r>
          </w:p>
        </w:tc>
      </w:tr>
      <w:tr w:rsidR="00E40657" w14:paraId="2F91433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8EB24CE"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O7</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FEFDA29"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organických rozpouštědel v čisté formě nebo ve směsích prodaných nebo určených k prodeji jako komerční výrobek</w:t>
            </w:r>
          </w:p>
        </w:tc>
      </w:tr>
      <w:tr w:rsidR="00E40657" w14:paraId="3838454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2CD6E2C"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O8</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08873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organických rozpouštědel, která byla interně regenerována ze směsí k opětovnému využití v rámci provozu daného zdroje, avšak nebyla v časovém rámci, pro který je zpracovávána tato bilance, opětovně využita jako vstup I2 ani nebyla započtena do veličiny O7</w:t>
            </w:r>
          </w:p>
        </w:tc>
      </w:tr>
      <w:tr w:rsidR="00E40657" w14:paraId="42B016F9"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1C6E87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lastRenderedPageBreak/>
              <w:t>O9</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6D13377"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hmotnost organických rozpouštědel uvolněných do životního prostředí jiným způsobem</w:t>
            </w:r>
          </w:p>
        </w:tc>
      </w:tr>
    </w:tbl>
    <w:p w14:paraId="786E37E1" w14:textId="77777777" w:rsidR="00A77B3E" w:rsidRPr="0030358C" w:rsidRDefault="00A77B3E">
      <w:pPr>
        <w:pStyle w:val="47"/>
        <w:rPr>
          <w:rFonts w:ascii="Arial" w:hAnsi="Arial" w:cs="Arial"/>
          <w:sz w:val="22"/>
          <w:szCs w:val="22"/>
        </w:rPr>
      </w:pPr>
    </w:p>
    <w:p w14:paraId="3762A262" w14:textId="77777777" w:rsidR="00A77B3E" w:rsidRPr="0030358C" w:rsidRDefault="00000000">
      <w:pPr>
        <w:pStyle w:val="46"/>
        <w:rPr>
          <w:rFonts w:ascii="Arial" w:hAnsi="Arial" w:cs="Arial"/>
          <w:szCs w:val="22"/>
        </w:rPr>
      </w:pPr>
      <w:r w:rsidRPr="0030358C">
        <w:rPr>
          <w:rFonts w:ascii="Arial" w:hAnsi="Arial" w:cs="Arial"/>
          <w:szCs w:val="22"/>
        </w:rPr>
        <w:t>2.    Základní bilanční výpočty</w:t>
      </w:r>
    </w:p>
    <w:p w14:paraId="5DFC55F4" w14:textId="77777777" w:rsidR="00A77B3E" w:rsidRPr="0030358C" w:rsidRDefault="00000000">
      <w:pPr>
        <w:pStyle w:val="92"/>
        <w:rPr>
          <w:rFonts w:ascii="Arial" w:hAnsi="Arial" w:cs="Arial"/>
          <w:sz w:val="22"/>
          <w:szCs w:val="22"/>
        </w:rPr>
      </w:pPr>
      <w:r w:rsidRPr="0030358C">
        <w:rPr>
          <w:rFonts w:ascii="Arial" w:hAnsi="Arial" w:cs="Arial"/>
          <w:sz w:val="22"/>
          <w:szCs w:val="22"/>
        </w:rPr>
        <w:t>a)    Spotřeba organických rozpouštědel C se vypočítá ze vztahu:</w:t>
      </w:r>
    </w:p>
    <w:p w14:paraId="347A4F01" w14:textId="77777777" w:rsidR="00A77B3E" w:rsidRPr="0030358C" w:rsidRDefault="00000000">
      <w:pPr>
        <w:pStyle w:val="93"/>
        <w:rPr>
          <w:rFonts w:ascii="Arial" w:hAnsi="Arial" w:cs="Arial"/>
          <w:sz w:val="22"/>
          <w:szCs w:val="22"/>
        </w:rPr>
      </w:pPr>
      <w:r w:rsidRPr="0030358C">
        <w:rPr>
          <w:rFonts w:ascii="Arial" w:hAnsi="Arial" w:cs="Arial"/>
          <w:sz w:val="22"/>
          <w:szCs w:val="22"/>
        </w:rPr>
        <w:t>C = I1 - O8 (uvádí se v hmotnostních jednotkách - g, kg nebo tuny)</w:t>
      </w:r>
    </w:p>
    <w:p w14:paraId="53359947" w14:textId="77777777" w:rsidR="00A77B3E" w:rsidRPr="0030358C" w:rsidRDefault="00000000">
      <w:pPr>
        <w:pStyle w:val="92"/>
        <w:rPr>
          <w:rFonts w:ascii="Arial" w:hAnsi="Arial" w:cs="Arial"/>
          <w:sz w:val="22"/>
          <w:szCs w:val="22"/>
        </w:rPr>
      </w:pPr>
      <w:r w:rsidRPr="0030358C">
        <w:rPr>
          <w:rFonts w:ascii="Arial" w:hAnsi="Arial" w:cs="Arial"/>
          <w:sz w:val="22"/>
          <w:szCs w:val="22"/>
        </w:rPr>
        <w:t>b)    Fugitivní emise F se vypočtou podle některé z následujících rovnic:</w:t>
      </w:r>
    </w:p>
    <w:p w14:paraId="4A46104F" w14:textId="77777777" w:rsidR="00A77B3E" w:rsidRPr="0030358C" w:rsidRDefault="00000000">
      <w:pPr>
        <w:pStyle w:val="94"/>
        <w:rPr>
          <w:rFonts w:ascii="Arial" w:hAnsi="Arial" w:cs="Arial"/>
          <w:sz w:val="22"/>
          <w:szCs w:val="22"/>
        </w:rPr>
      </w:pPr>
      <w:r w:rsidRPr="0030358C">
        <w:rPr>
          <w:rFonts w:ascii="Arial" w:hAnsi="Arial" w:cs="Arial"/>
          <w:sz w:val="22"/>
          <w:szCs w:val="22"/>
        </w:rPr>
        <w:t>F = I1 - O1 - O5 - O6 - O7 - O8 nebo F = O2 + O3 + O4 + O9</w:t>
      </w:r>
    </w:p>
    <w:p w14:paraId="7CEC8687" w14:textId="77777777" w:rsidR="00A77B3E" w:rsidRPr="0030358C" w:rsidRDefault="00000000">
      <w:pPr>
        <w:pStyle w:val="95"/>
        <w:rPr>
          <w:rFonts w:ascii="Arial" w:hAnsi="Arial" w:cs="Arial"/>
          <w:sz w:val="22"/>
          <w:szCs w:val="22"/>
        </w:rPr>
      </w:pPr>
      <w:r w:rsidRPr="0030358C">
        <w:rPr>
          <w:rFonts w:ascii="Arial" w:hAnsi="Arial" w:cs="Arial"/>
          <w:sz w:val="22"/>
          <w:szCs w:val="22"/>
        </w:rPr>
        <w:t>(uvádí se v hmotnostních jednotkách - g, kg nebo tuny)</w:t>
      </w:r>
    </w:p>
    <w:p w14:paraId="18F1F576" w14:textId="77777777" w:rsidR="00A77B3E" w:rsidRPr="0030358C" w:rsidRDefault="00000000">
      <w:pPr>
        <w:pStyle w:val="93"/>
        <w:rPr>
          <w:rFonts w:ascii="Arial" w:hAnsi="Arial" w:cs="Arial"/>
          <w:sz w:val="22"/>
          <w:szCs w:val="22"/>
        </w:rPr>
      </w:pPr>
      <w:r w:rsidRPr="0030358C">
        <w:rPr>
          <w:rFonts w:ascii="Arial" w:hAnsi="Arial" w:cs="Arial"/>
          <w:sz w:val="22"/>
          <w:szCs w:val="22"/>
        </w:rPr>
        <w:t>Fugitivní emise lze stanovit též omezeným, leč reprezentativním souborem měření, a dokud nedojde ke změně vybavení, není nutné tato měření opakovat.</w:t>
      </w:r>
    </w:p>
    <w:p w14:paraId="156272A2" w14:textId="77777777" w:rsidR="00A77B3E" w:rsidRPr="0030358C" w:rsidRDefault="00000000">
      <w:pPr>
        <w:pStyle w:val="92"/>
        <w:rPr>
          <w:rFonts w:ascii="Arial" w:hAnsi="Arial" w:cs="Arial"/>
          <w:sz w:val="22"/>
          <w:szCs w:val="22"/>
        </w:rPr>
      </w:pPr>
      <w:r w:rsidRPr="0030358C">
        <w:rPr>
          <w:rFonts w:ascii="Arial" w:hAnsi="Arial" w:cs="Arial"/>
          <w:sz w:val="22"/>
          <w:szCs w:val="22"/>
        </w:rPr>
        <w:t>c)    Emise E se vypočtou ze vztahu:</w:t>
      </w:r>
    </w:p>
    <w:p w14:paraId="7CD45E41" w14:textId="77777777" w:rsidR="00A77B3E" w:rsidRPr="0030358C" w:rsidRDefault="00000000">
      <w:pPr>
        <w:pStyle w:val="93"/>
        <w:rPr>
          <w:rFonts w:ascii="Arial" w:hAnsi="Arial" w:cs="Arial"/>
          <w:sz w:val="22"/>
          <w:szCs w:val="22"/>
        </w:rPr>
      </w:pPr>
      <w:r w:rsidRPr="0030358C">
        <w:rPr>
          <w:rFonts w:ascii="Arial" w:hAnsi="Arial" w:cs="Arial"/>
          <w:sz w:val="22"/>
          <w:szCs w:val="22"/>
        </w:rPr>
        <w:t>E = F + O1 (uvádí se v hmotnostních jednotkách - g, kg nebo tuny)</w:t>
      </w:r>
    </w:p>
    <w:p w14:paraId="7A30E6A9" w14:textId="77777777" w:rsidR="00A77B3E" w:rsidRPr="0030358C" w:rsidRDefault="00000000">
      <w:pPr>
        <w:pStyle w:val="63"/>
        <w:rPr>
          <w:rFonts w:ascii="Arial" w:hAnsi="Arial" w:cs="Arial"/>
          <w:sz w:val="22"/>
          <w:szCs w:val="22"/>
        </w:rPr>
      </w:pPr>
      <w:r w:rsidRPr="0030358C">
        <w:rPr>
          <w:rFonts w:ascii="Arial" w:hAnsi="Arial" w:cs="Arial"/>
          <w:sz w:val="22"/>
          <w:szCs w:val="22"/>
        </w:rPr>
        <w:t>d)    Měrná výrobní emise se vypočte jako podíl množství emisí těkavých organických látek a množství nebo velikosti produkce (uvádí se v g/kg, g/m2, kg/m3, g/pár nebo v kg/t).</w:t>
      </w:r>
    </w:p>
    <w:p w14:paraId="410DD5C2" w14:textId="77777777" w:rsidR="00A77B3E" w:rsidRPr="0030358C" w:rsidRDefault="00000000">
      <w:pPr>
        <w:pStyle w:val="64"/>
        <w:rPr>
          <w:rFonts w:ascii="Arial" w:hAnsi="Arial" w:cs="Arial"/>
          <w:sz w:val="22"/>
          <w:szCs w:val="22"/>
        </w:rPr>
      </w:pPr>
      <w:r w:rsidRPr="0030358C">
        <w:rPr>
          <w:rFonts w:ascii="Arial" w:hAnsi="Arial" w:cs="Arial"/>
          <w:sz w:val="22"/>
          <w:szCs w:val="22"/>
        </w:rPr>
        <w:t>e)    Emisní podíl fugitivních emisí se vypočte jako podíl množství fugitivních emisí a vstupního množství organických rozpouštědel I, kde I = I1 + I2 (uvádí se v %).</w:t>
      </w:r>
    </w:p>
    <w:p w14:paraId="4ACE50C3" w14:textId="77777777" w:rsidR="00A77B3E" w:rsidRPr="0030358C" w:rsidRDefault="00000000">
      <w:pPr>
        <w:pStyle w:val="64"/>
        <w:rPr>
          <w:rFonts w:ascii="Arial" w:hAnsi="Arial" w:cs="Arial"/>
          <w:sz w:val="22"/>
          <w:szCs w:val="22"/>
        </w:rPr>
      </w:pPr>
      <w:r w:rsidRPr="0030358C">
        <w:rPr>
          <w:rFonts w:ascii="Arial" w:hAnsi="Arial" w:cs="Arial"/>
          <w:sz w:val="22"/>
          <w:szCs w:val="22"/>
        </w:rPr>
        <w:t>f)    Emisní podíl emisí se vypočte jako podíl množství emisí a vstupního množství organických rozpouštědel (uvádí se v %).</w:t>
      </w:r>
    </w:p>
    <w:p w14:paraId="67FD2826" w14:textId="77777777" w:rsidR="00A77B3E" w:rsidRPr="0030358C" w:rsidRDefault="00000000">
      <w:pPr>
        <w:pStyle w:val="65"/>
        <w:rPr>
          <w:rFonts w:ascii="Arial" w:hAnsi="Arial" w:cs="Arial"/>
          <w:sz w:val="22"/>
          <w:szCs w:val="22"/>
        </w:rPr>
      </w:pPr>
      <w:r w:rsidRPr="0030358C">
        <w:rPr>
          <w:rFonts w:ascii="Arial" w:hAnsi="Arial" w:cs="Arial"/>
          <w:sz w:val="22"/>
          <w:szCs w:val="22"/>
        </w:rPr>
        <w:t xml:space="preserve">g)    V případě plnění emisního stropu stanoveného výpočtem podle </w:t>
      </w:r>
      <w:hyperlink w:history="1">
        <w:r w:rsidR="00A77B3E" w:rsidRPr="0030358C">
          <w:rPr>
            <w:rFonts w:ascii="Arial" w:hAnsi="Arial" w:cs="Arial"/>
            <w:sz w:val="22"/>
            <w:szCs w:val="22"/>
          </w:rPr>
          <w:t>části III bodu 4</w:t>
        </w:r>
      </w:hyperlink>
      <w:r w:rsidRPr="0030358C">
        <w:rPr>
          <w:rFonts w:ascii="Arial" w:hAnsi="Arial" w:cs="Arial"/>
          <w:sz w:val="22"/>
          <w:szCs w:val="22"/>
        </w:rPr>
        <w:t xml:space="preserve"> této přílohy se určuje celkové množství netěkavých látek N obsažených ve spotřebovaných nátěrových hmotách, adhesivních materiálech nebo tiskařských barvách, které se vypočítá ze vztahu:</w:t>
      </w:r>
    </w:p>
    <w:p w14:paraId="75FA1570" w14:textId="77777777" w:rsidR="00A77B3E" w:rsidRPr="0030358C" w:rsidRDefault="00000000">
      <w:pPr>
        <w:pStyle w:val="94"/>
        <w:rPr>
          <w:rFonts w:ascii="Arial" w:hAnsi="Arial" w:cs="Arial"/>
          <w:sz w:val="22"/>
          <w:szCs w:val="22"/>
        </w:rPr>
      </w:pPr>
      <w:r w:rsidRPr="0030358C">
        <w:rPr>
          <w:rFonts w:ascii="Arial" w:hAnsi="Arial" w:cs="Arial"/>
          <w:sz w:val="22"/>
          <w:szCs w:val="22"/>
        </w:rPr>
        <w:t>N = celková roční spotřeba materiálu x obsah netěkavých látek v materiálu</w:t>
      </w:r>
    </w:p>
    <w:p w14:paraId="16156F83" w14:textId="77777777" w:rsidR="00A77B3E" w:rsidRPr="0030358C" w:rsidRDefault="00000000">
      <w:pPr>
        <w:pStyle w:val="95"/>
        <w:rPr>
          <w:rFonts w:ascii="Arial" w:hAnsi="Arial" w:cs="Arial"/>
          <w:sz w:val="22"/>
          <w:szCs w:val="22"/>
        </w:rPr>
      </w:pPr>
      <w:r w:rsidRPr="0030358C">
        <w:rPr>
          <w:rFonts w:ascii="Arial" w:hAnsi="Arial" w:cs="Arial"/>
          <w:sz w:val="22"/>
          <w:szCs w:val="22"/>
        </w:rPr>
        <w:t>(uvádí se v hmotnostních jednotkách - g, kg nebo tuny)</w:t>
      </w:r>
    </w:p>
    <w:p w14:paraId="4F63B7F3" w14:textId="77777777" w:rsidR="00A77B3E" w:rsidRPr="0030358C" w:rsidRDefault="00000000">
      <w:pPr>
        <w:pStyle w:val="93"/>
        <w:rPr>
          <w:rFonts w:ascii="Arial" w:hAnsi="Arial" w:cs="Arial"/>
          <w:sz w:val="22"/>
          <w:szCs w:val="22"/>
        </w:rPr>
      </w:pPr>
      <w:r w:rsidRPr="0030358C">
        <w:rPr>
          <w:rFonts w:ascii="Arial" w:hAnsi="Arial" w:cs="Arial"/>
          <w:sz w:val="22"/>
          <w:szCs w:val="22"/>
        </w:rPr>
        <w:t>Vyplněný bilanční list provozovatelé uloží do své provozní evidence a na požádání jej poskytují příslušným orgánům ochrany ovzduší současně se všemi podklady potřebnými pro ověření správnosti vstupních dat použitých pro výpočty.</w:t>
      </w:r>
    </w:p>
    <w:p w14:paraId="3F94CA6E" w14:textId="77777777" w:rsidR="00A77B3E" w:rsidRPr="0030358C" w:rsidRDefault="00A77B3E">
      <w:pPr>
        <w:pStyle w:val="1"/>
        <w:rPr>
          <w:rFonts w:ascii="Arial" w:hAnsi="Arial" w:cs="Arial"/>
          <w:sz w:val="22"/>
          <w:szCs w:val="22"/>
        </w:rPr>
      </w:pPr>
    </w:p>
    <w:p w14:paraId="4A26C00B" w14:textId="77777777" w:rsidR="00A77B3E" w:rsidRPr="0030358C" w:rsidRDefault="00000000">
      <w:pPr>
        <w:pStyle w:val="42"/>
        <w:rPr>
          <w:rFonts w:ascii="Arial" w:hAnsi="Arial" w:cs="Arial"/>
          <w:sz w:val="22"/>
          <w:szCs w:val="22"/>
        </w:rPr>
      </w:pPr>
      <w:r w:rsidRPr="0030358C">
        <w:rPr>
          <w:rFonts w:ascii="Arial" w:hAnsi="Arial" w:cs="Arial"/>
          <w:sz w:val="22"/>
          <w:szCs w:val="22"/>
        </w:rPr>
        <w:t>Příloha č. 6    k vyhlášce č. 415/2012 Sb.</w:t>
      </w:r>
    </w:p>
    <w:p w14:paraId="4BA236EB" w14:textId="77777777" w:rsidR="00A77B3E" w:rsidRPr="0030358C" w:rsidRDefault="00000000">
      <w:pPr>
        <w:pStyle w:val="43"/>
        <w:rPr>
          <w:rFonts w:ascii="Arial" w:hAnsi="Arial" w:cs="Arial"/>
          <w:sz w:val="22"/>
          <w:szCs w:val="22"/>
        </w:rPr>
      </w:pPr>
      <w:r w:rsidRPr="0030358C">
        <w:rPr>
          <w:rFonts w:ascii="Arial" w:hAnsi="Arial" w:cs="Arial"/>
          <w:sz w:val="22"/>
          <w:szCs w:val="22"/>
        </w:rPr>
        <w:t>SPECIFICKÉ EMISNÍ LIMITY A TECHNICKÉ PODMÍNKY PROVOZU PRO STACIONÁRNÍ ZDROJE, VE KTERÝCH DOCHÁZÍ K NAKLÁDÁNÍ S BENZINEM</w:t>
      </w:r>
    </w:p>
    <w:p w14:paraId="2921B5CE" w14:textId="77777777" w:rsidR="00A77B3E" w:rsidRPr="0030358C" w:rsidRDefault="00000000">
      <w:pPr>
        <w:pStyle w:val="46"/>
        <w:rPr>
          <w:rFonts w:ascii="Arial" w:hAnsi="Arial" w:cs="Arial"/>
          <w:szCs w:val="22"/>
        </w:rPr>
      </w:pPr>
      <w:r w:rsidRPr="0030358C">
        <w:rPr>
          <w:rFonts w:ascii="Arial" w:hAnsi="Arial" w:cs="Arial"/>
          <w:szCs w:val="22"/>
        </w:rPr>
        <w:t>1.    Pojmy</w:t>
      </w:r>
    </w:p>
    <w:p w14:paraId="0D4870E9" w14:textId="77777777" w:rsidR="00A77B3E" w:rsidRPr="0030358C" w:rsidRDefault="00000000">
      <w:pPr>
        <w:pStyle w:val="47"/>
        <w:rPr>
          <w:rFonts w:ascii="Arial" w:hAnsi="Arial" w:cs="Arial"/>
          <w:sz w:val="22"/>
          <w:szCs w:val="22"/>
        </w:rPr>
      </w:pPr>
      <w:r w:rsidRPr="0030358C">
        <w:rPr>
          <w:rFonts w:ascii="Arial" w:hAnsi="Arial" w:cs="Arial"/>
          <w:sz w:val="22"/>
          <w:szCs w:val="22"/>
        </w:rPr>
        <w:t>Pro účely této přílohy se rozumí</w:t>
      </w:r>
    </w:p>
    <w:p w14:paraId="2F2062A7" w14:textId="77777777" w:rsidR="00A77B3E" w:rsidRPr="0030358C" w:rsidRDefault="00000000">
      <w:pPr>
        <w:pStyle w:val="63"/>
        <w:rPr>
          <w:rFonts w:ascii="Arial" w:hAnsi="Arial" w:cs="Arial"/>
          <w:sz w:val="22"/>
          <w:szCs w:val="22"/>
        </w:rPr>
      </w:pPr>
      <w:r w:rsidRPr="0030358C">
        <w:rPr>
          <w:rFonts w:ascii="Arial" w:hAnsi="Arial" w:cs="Arial"/>
          <w:sz w:val="22"/>
          <w:szCs w:val="22"/>
        </w:rPr>
        <w:t>a)    benzinem - jakýkoliv ropný výrobek, s aditivy nebo bez aditiv, který je určen pro použití jako palivo motorových vozidel, vyjma kapalného propanbutanu, a jehož nasycené páry mají při teplotě 20 °C tlak roven nebo větší než 1,32 kPa,</w:t>
      </w:r>
    </w:p>
    <w:p w14:paraId="08756981" w14:textId="77777777" w:rsidR="00A77B3E" w:rsidRPr="0030358C" w:rsidRDefault="00000000">
      <w:pPr>
        <w:pStyle w:val="64"/>
        <w:rPr>
          <w:rFonts w:ascii="Arial" w:hAnsi="Arial" w:cs="Arial"/>
          <w:sz w:val="22"/>
          <w:szCs w:val="22"/>
        </w:rPr>
      </w:pPr>
      <w:r w:rsidRPr="0030358C">
        <w:rPr>
          <w:rFonts w:ascii="Arial" w:hAnsi="Arial" w:cs="Arial"/>
          <w:sz w:val="22"/>
          <w:szCs w:val="22"/>
        </w:rPr>
        <w:t>b)    benzinovými parami - všechny plynné sloučeniny, které se odpařují z benzinu,</w:t>
      </w:r>
    </w:p>
    <w:p w14:paraId="1B5D1C42" w14:textId="77777777" w:rsidR="00A77B3E" w:rsidRPr="0030358C" w:rsidRDefault="00000000">
      <w:pPr>
        <w:pStyle w:val="64"/>
        <w:rPr>
          <w:rFonts w:ascii="Arial" w:hAnsi="Arial" w:cs="Arial"/>
          <w:sz w:val="22"/>
          <w:szCs w:val="22"/>
        </w:rPr>
      </w:pPr>
      <w:r w:rsidRPr="0030358C">
        <w:rPr>
          <w:rFonts w:ascii="Arial" w:hAnsi="Arial" w:cs="Arial"/>
          <w:sz w:val="22"/>
          <w:szCs w:val="22"/>
        </w:rPr>
        <w:t>c)    čerpací stanicí – zařízení pro vydávání benzinu ze stacionárních skladovacích nádrží do palivových nádrží motorových vozidel,</w:t>
      </w:r>
    </w:p>
    <w:p w14:paraId="5E11D1C3" w14:textId="77777777" w:rsidR="00A77B3E" w:rsidRPr="0030358C" w:rsidRDefault="00000000">
      <w:pPr>
        <w:pStyle w:val="64"/>
        <w:rPr>
          <w:rFonts w:ascii="Arial" w:hAnsi="Arial" w:cs="Arial"/>
          <w:sz w:val="22"/>
          <w:szCs w:val="22"/>
        </w:rPr>
      </w:pPr>
      <w:r w:rsidRPr="0030358C">
        <w:rPr>
          <w:rFonts w:ascii="Arial" w:hAnsi="Arial" w:cs="Arial"/>
          <w:sz w:val="22"/>
          <w:szCs w:val="22"/>
        </w:rPr>
        <w:lastRenderedPageBreak/>
        <w:t>d)    meziskladem par - prostor v nádrži s pevnou střechou, v němž jsou shromažďovány páry benzinu pro účely pozdější přepravy k jednotce omezování emisí par v jiném terminálu. Přeprava těchto par mezi jednotlivými skladovacími zařízeními v terminálu se nepovažuje za meziskladování par ve smyslu této přílohy,</w:t>
      </w:r>
    </w:p>
    <w:p w14:paraId="6CA9121C" w14:textId="77777777" w:rsidR="00A77B3E" w:rsidRPr="0030358C" w:rsidRDefault="00000000">
      <w:pPr>
        <w:pStyle w:val="64"/>
        <w:rPr>
          <w:rFonts w:ascii="Arial" w:hAnsi="Arial" w:cs="Arial"/>
          <w:sz w:val="22"/>
          <w:szCs w:val="22"/>
        </w:rPr>
      </w:pPr>
      <w:r w:rsidRPr="0030358C">
        <w:rPr>
          <w:rFonts w:ascii="Arial" w:hAnsi="Arial" w:cs="Arial"/>
          <w:sz w:val="22"/>
          <w:szCs w:val="22"/>
        </w:rPr>
        <w:t>e)    mobilním kontejnerem - cisterna pro přepravu benzinu po silnici, železnici nebo vodních cestách z jednoho terminálu do druhého nebo z terminálu do čerpací stanice,</w:t>
      </w:r>
    </w:p>
    <w:p w14:paraId="2D28A812" w14:textId="77777777" w:rsidR="00A77B3E" w:rsidRPr="0030358C" w:rsidRDefault="00000000">
      <w:pPr>
        <w:pStyle w:val="64"/>
        <w:rPr>
          <w:rFonts w:ascii="Arial" w:hAnsi="Arial" w:cs="Arial"/>
          <w:sz w:val="22"/>
          <w:szCs w:val="22"/>
        </w:rPr>
      </w:pPr>
      <w:r w:rsidRPr="0030358C">
        <w:rPr>
          <w:rFonts w:ascii="Arial" w:hAnsi="Arial" w:cs="Arial"/>
          <w:sz w:val="22"/>
          <w:szCs w:val="22"/>
        </w:rPr>
        <w:t>f)    plnicí lávkou - každá konstrukce v terminálu, ze které lze kdykoliv plnit benzin do jednotlivých silničních cisteren,</w:t>
      </w:r>
    </w:p>
    <w:p w14:paraId="0BC48399" w14:textId="77777777" w:rsidR="00A77B3E" w:rsidRPr="0030358C" w:rsidRDefault="00000000">
      <w:pPr>
        <w:pStyle w:val="64"/>
        <w:rPr>
          <w:rFonts w:ascii="Arial" w:hAnsi="Arial" w:cs="Arial"/>
          <w:sz w:val="22"/>
          <w:szCs w:val="22"/>
        </w:rPr>
      </w:pPr>
      <w:r w:rsidRPr="0030358C">
        <w:rPr>
          <w:rFonts w:ascii="Arial" w:hAnsi="Arial" w:cs="Arial"/>
          <w:sz w:val="22"/>
          <w:szCs w:val="22"/>
        </w:rPr>
        <w:t>g)    plnicím zařízením – jakékoli zařízení v terminálu pro plnění benzinu do mobilních kontejnerů,</w:t>
      </w:r>
    </w:p>
    <w:p w14:paraId="0CF93BE2" w14:textId="77777777" w:rsidR="00A77B3E" w:rsidRPr="0030358C" w:rsidRDefault="00000000">
      <w:pPr>
        <w:pStyle w:val="64"/>
        <w:rPr>
          <w:rFonts w:ascii="Arial" w:hAnsi="Arial" w:cs="Arial"/>
          <w:sz w:val="22"/>
          <w:szCs w:val="22"/>
        </w:rPr>
      </w:pPr>
      <w:r w:rsidRPr="0030358C">
        <w:rPr>
          <w:rFonts w:ascii="Arial" w:hAnsi="Arial" w:cs="Arial"/>
          <w:sz w:val="22"/>
          <w:szCs w:val="22"/>
        </w:rPr>
        <w:t>h)    ročním obratem benzinu - největší celkové množství benzinu odebrané ze skladovacího zařízení terminálu do mobilních kontejnerů v průběhu předchozích 3 let,</w:t>
      </w:r>
    </w:p>
    <w:p w14:paraId="507B0286" w14:textId="77777777" w:rsidR="00A77B3E" w:rsidRPr="0030358C" w:rsidRDefault="00000000">
      <w:pPr>
        <w:pStyle w:val="64"/>
        <w:rPr>
          <w:rFonts w:ascii="Arial" w:hAnsi="Arial" w:cs="Arial"/>
          <w:sz w:val="22"/>
          <w:szCs w:val="22"/>
        </w:rPr>
      </w:pPr>
      <w:r w:rsidRPr="0030358C">
        <w:rPr>
          <w:rFonts w:ascii="Arial" w:hAnsi="Arial" w:cs="Arial"/>
          <w:sz w:val="22"/>
          <w:szCs w:val="22"/>
        </w:rPr>
        <w:t>i)    systémem rekuperace benzinových par etapy I - zařízení pro zpětné získávání benzinu z par skladovacích zařízení terminálů včetně všech vyrovnávacích zásobníkových systémů v terminálu,</w:t>
      </w:r>
    </w:p>
    <w:p w14:paraId="1A1CBC14" w14:textId="77777777" w:rsidR="00A77B3E" w:rsidRPr="0030358C" w:rsidRDefault="00000000">
      <w:pPr>
        <w:pStyle w:val="64"/>
        <w:rPr>
          <w:rFonts w:ascii="Arial" w:hAnsi="Arial" w:cs="Arial"/>
          <w:sz w:val="22"/>
          <w:szCs w:val="22"/>
        </w:rPr>
      </w:pPr>
      <w:r w:rsidRPr="0030358C">
        <w:rPr>
          <w:rFonts w:ascii="Arial" w:hAnsi="Arial" w:cs="Arial"/>
          <w:sz w:val="22"/>
          <w:szCs w:val="22"/>
        </w:rPr>
        <w:t>j)    systémem rekuperace benzinových par etapy II - zařízení zajišťující rekuperaci benzinových par vytěsněných z palivové nádrže motorového vozidla při čerpání pohonných hmot na čerpací stanici a přenášející benzinové páry do skladovací nádrže na čerpací stanici nebo zpět do benzinového čerpacího automatu k opětovnému prodeji,</w:t>
      </w:r>
    </w:p>
    <w:p w14:paraId="5B68063C" w14:textId="77777777" w:rsidR="00A77B3E" w:rsidRPr="0030358C" w:rsidRDefault="00000000">
      <w:pPr>
        <w:pStyle w:val="64"/>
        <w:rPr>
          <w:rFonts w:ascii="Arial" w:hAnsi="Arial" w:cs="Arial"/>
          <w:sz w:val="22"/>
          <w:szCs w:val="22"/>
        </w:rPr>
      </w:pPr>
      <w:r w:rsidRPr="0030358C">
        <w:rPr>
          <w:rFonts w:ascii="Arial" w:hAnsi="Arial" w:cs="Arial"/>
          <w:sz w:val="22"/>
          <w:szCs w:val="22"/>
        </w:rPr>
        <w:t>k)    terminálem - zařízení pro skladování a k plnění benzinu do mobilních kontejnerů, včetně technologického příslušenství na místě tohoto zařízení,</w:t>
      </w:r>
    </w:p>
    <w:p w14:paraId="40C403C3" w14:textId="77777777" w:rsidR="00A77B3E" w:rsidRPr="0030358C" w:rsidRDefault="00000000">
      <w:pPr>
        <w:pStyle w:val="65"/>
        <w:rPr>
          <w:rFonts w:ascii="Arial" w:hAnsi="Arial" w:cs="Arial"/>
          <w:sz w:val="22"/>
          <w:szCs w:val="22"/>
        </w:rPr>
      </w:pPr>
      <w:r w:rsidRPr="0030358C">
        <w:rPr>
          <w:rFonts w:ascii="Arial" w:hAnsi="Arial" w:cs="Arial"/>
          <w:sz w:val="22"/>
          <w:szCs w:val="22"/>
        </w:rPr>
        <w:t>l)    účinností zachycení benzinových par – množství benzinových par zachycených systémem rekuperace benzinových par etapy II ve srovnání s množstvím benzinových par, které by bylo jinak vypouštěno do ovzduší, pokud by takový systém neexistoval, a které je vyjádřeno jako procentní podíl.</w:t>
      </w:r>
    </w:p>
    <w:p w14:paraId="3AD1331F" w14:textId="77777777" w:rsidR="00A77B3E" w:rsidRPr="0030358C" w:rsidRDefault="00000000">
      <w:pPr>
        <w:pStyle w:val="46"/>
        <w:rPr>
          <w:rFonts w:ascii="Arial" w:hAnsi="Arial" w:cs="Arial"/>
          <w:szCs w:val="22"/>
        </w:rPr>
      </w:pPr>
      <w:r w:rsidRPr="0030358C">
        <w:rPr>
          <w:rFonts w:ascii="Arial" w:hAnsi="Arial" w:cs="Arial"/>
          <w:szCs w:val="22"/>
        </w:rPr>
        <w:t>2.    Požadavky na skladovací zařízení terminálů</w:t>
      </w:r>
    </w:p>
    <w:p w14:paraId="06A2F997" w14:textId="77777777" w:rsidR="00A77B3E" w:rsidRPr="0030358C" w:rsidRDefault="00000000">
      <w:pPr>
        <w:pStyle w:val="63"/>
        <w:rPr>
          <w:rFonts w:ascii="Arial" w:hAnsi="Arial" w:cs="Arial"/>
          <w:sz w:val="22"/>
          <w:szCs w:val="22"/>
        </w:rPr>
      </w:pPr>
      <w:r w:rsidRPr="0030358C">
        <w:rPr>
          <w:rFonts w:ascii="Arial" w:hAnsi="Arial" w:cs="Arial"/>
          <w:sz w:val="22"/>
          <w:szCs w:val="22"/>
        </w:rPr>
        <w:t>a)    Pro terminál, jehož skladovací zařízení je vybaveno systémem rekuperace benzinových par etapy I, je na výduchu z tohoto systému stanoven emisní limit 150 mg/m</w:t>
      </w:r>
      <w:r w:rsidRPr="0030358C">
        <w:rPr>
          <w:rFonts w:ascii="Arial" w:hAnsi="Arial" w:cs="Arial"/>
          <w:sz w:val="22"/>
          <w:szCs w:val="22"/>
          <w:vertAlign w:val="superscript"/>
        </w:rPr>
        <w:t>3</w:t>
      </w:r>
      <w:r w:rsidRPr="0030358C">
        <w:rPr>
          <w:rFonts w:ascii="Arial" w:hAnsi="Arial" w:cs="Arial"/>
          <w:sz w:val="22"/>
          <w:szCs w:val="22"/>
        </w:rPr>
        <w:t>, vyjádřený jako hmotnostní koncentrace celkového organického uhlíku s výjimkou methanu, vztažený na normální stavové podmínky a vlhký plyn.</w:t>
      </w:r>
    </w:p>
    <w:p w14:paraId="354DDAB7" w14:textId="77777777" w:rsidR="00A77B3E" w:rsidRPr="0030358C" w:rsidRDefault="00000000">
      <w:pPr>
        <w:pStyle w:val="64"/>
        <w:rPr>
          <w:rFonts w:ascii="Arial" w:hAnsi="Arial" w:cs="Arial"/>
          <w:sz w:val="22"/>
          <w:szCs w:val="22"/>
        </w:rPr>
      </w:pPr>
      <w:r w:rsidRPr="0030358C">
        <w:rPr>
          <w:rFonts w:ascii="Arial" w:hAnsi="Arial" w:cs="Arial"/>
          <w:sz w:val="22"/>
          <w:szCs w:val="22"/>
        </w:rPr>
        <w:t xml:space="preserve">b)    Střecha a vnější stěny nádrží nad úrovní terénu musí být opatřeny vhodnou izolací a reflexním nátěrem s celkovou odrazivostí sálavé tepelné energie nejméně 70 %. Toto ustanovení se nevztahuje na nádrže napojené na systém rekuperace benzinových par etapy I, který splňuje požadavky uvedené v </w:t>
      </w:r>
      <w:hyperlink w:history="1">
        <w:r w:rsidR="00A77B3E" w:rsidRPr="0030358C">
          <w:rPr>
            <w:rFonts w:ascii="Arial" w:hAnsi="Arial" w:cs="Arial"/>
            <w:sz w:val="22"/>
            <w:szCs w:val="22"/>
          </w:rPr>
          <w:t>písmenu a)</w:t>
        </w:r>
      </w:hyperlink>
      <w:r w:rsidRPr="0030358C">
        <w:rPr>
          <w:rFonts w:ascii="Arial" w:hAnsi="Arial" w:cs="Arial"/>
          <w:sz w:val="22"/>
          <w:szCs w:val="22"/>
        </w:rPr>
        <w:t>.</w:t>
      </w:r>
    </w:p>
    <w:p w14:paraId="06CC758D" w14:textId="77777777" w:rsidR="00A77B3E" w:rsidRPr="0030358C" w:rsidRDefault="00000000">
      <w:pPr>
        <w:pStyle w:val="64"/>
        <w:rPr>
          <w:rFonts w:ascii="Arial" w:hAnsi="Arial" w:cs="Arial"/>
          <w:sz w:val="22"/>
          <w:szCs w:val="22"/>
        </w:rPr>
      </w:pPr>
      <w:r w:rsidRPr="0030358C">
        <w:rPr>
          <w:rFonts w:ascii="Arial" w:hAnsi="Arial" w:cs="Arial"/>
          <w:sz w:val="22"/>
          <w:szCs w:val="22"/>
        </w:rPr>
        <w:t>c)    Nádrže s vnějšími nebo vnitřními plovoucími střechami musí být vybaveny primárním těsněním pro zakrytí prstencového prostoru mezi stěnou nádrže a vnějším obvodem plovoucí střechy a sekundárním těsněním umístěným nad primárním těsněním. Tato těsnění jsou provedena tak, aby účinnost záchytu par benzinu činila nejméně 95 % ve srovnání s podobnou nádrží s pevnou střechou bez řízeného záchytu par benzinu (tzn. nádrž s pevnou střechou s pojistným ventilem).</w:t>
      </w:r>
    </w:p>
    <w:p w14:paraId="6CC6583E" w14:textId="77777777" w:rsidR="00A77B3E" w:rsidRPr="0030358C" w:rsidRDefault="00000000">
      <w:pPr>
        <w:pStyle w:val="64"/>
        <w:rPr>
          <w:rFonts w:ascii="Arial" w:hAnsi="Arial" w:cs="Arial"/>
          <w:sz w:val="22"/>
          <w:szCs w:val="22"/>
        </w:rPr>
      </w:pPr>
      <w:r w:rsidRPr="0030358C">
        <w:rPr>
          <w:rFonts w:ascii="Arial" w:hAnsi="Arial" w:cs="Arial"/>
          <w:sz w:val="22"/>
          <w:szCs w:val="22"/>
        </w:rPr>
        <w:t xml:space="preserve">d)    Nádrže s pevnou střechou musí být napojeny na systém rekuperace benzinových par etapy I, který splňuje požadavky uvedené v </w:t>
      </w:r>
      <w:hyperlink w:history="1">
        <w:r w:rsidR="00A77B3E" w:rsidRPr="0030358C">
          <w:rPr>
            <w:rFonts w:ascii="Arial" w:hAnsi="Arial" w:cs="Arial"/>
            <w:sz w:val="22"/>
            <w:szCs w:val="22"/>
          </w:rPr>
          <w:t>písmenu a)</w:t>
        </w:r>
      </w:hyperlink>
      <w:r w:rsidRPr="0030358C">
        <w:rPr>
          <w:rFonts w:ascii="Arial" w:hAnsi="Arial" w:cs="Arial"/>
          <w:sz w:val="22"/>
          <w:szCs w:val="22"/>
        </w:rPr>
        <w:t>.</w:t>
      </w:r>
    </w:p>
    <w:p w14:paraId="1034414E" w14:textId="77777777" w:rsidR="00A77B3E" w:rsidRPr="0030358C" w:rsidRDefault="00000000">
      <w:pPr>
        <w:pStyle w:val="65"/>
        <w:rPr>
          <w:rFonts w:ascii="Arial" w:hAnsi="Arial" w:cs="Arial"/>
          <w:sz w:val="22"/>
          <w:szCs w:val="22"/>
        </w:rPr>
      </w:pPr>
      <w:r w:rsidRPr="0030358C">
        <w:rPr>
          <w:rFonts w:ascii="Arial" w:hAnsi="Arial" w:cs="Arial"/>
          <w:sz w:val="22"/>
          <w:szCs w:val="22"/>
        </w:rPr>
        <w:t xml:space="preserve">e)    Požadavky na omezení úniku benzinových par uvedené v </w:t>
      </w:r>
      <w:hyperlink w:history="1">
        <w:r w:rsidR="00A77B3E" w:rsidRPr="0030358C">
          <w:rPr>
            <w:rFonts w:ascii="Arial" w:hAnsi="Arial" w:cs="Arial"/>
            <w:sz w:val="22"/>
            <w:szCs w:val="22"/>
          </w:rPr>
          <w:t>písmenu d)</w:t>
        </w:r>
      </w:hyperlink>
      <w:r w:rsidRPr="0030358C">
        <w:rPr>
          <w:rFonts w:ascii="Arial" w:hAnsi="Arial" w:cs="Arial"/>
          <w:sz w:val="22"/>
          <w:szCs w:val="22"/>
        </w:rPr>
        <w:t xml:space="preserve"> se nevztahují na nádrže s pevnou střechou v terminálech, kde je povoleno meziskladování par podle </w:t>
      </w:r>
      <w:hyperlink w:history="1">
        <w:r w:rsidR="00A77B3E" w:rsidRPr="0030358C">
          <w:rPr>
            <w:rFonts w:ascii="Arial" w:hAnsi="Arial" w:cs="Arial"/>
            <w:sz w:val="22"/>
            <w:szCs w:val="22"/>
          </w:rPr>
          <w:t>bodu 3</w:t>
        </w:r>
      </w:hyperlink>
      <w:r w:rsidRPr="0030358C">
        <w:rPr>
          <w:rFonts w:ascii="Arial" w:hAnsi="Arial" w:cs="Arial"/>
          <w:sz w:val="22"/>
          <w:szCs w:val="22"/>
        </w:rPr>
        <w:t xml:space="preserve"> této přílohy.</w:t>
      </w:r>
    </w:p>
    <w:p w14:paraId="3FBA0DB3" w14:textId="77777777" w:rsidR="00A77B3E" w:rsidRPr="0030358C" w:rsidRDefault="00000000">
      <w:pPr>
        <w:pStyle w:val="46"/>
        <w:rPr>
          <w:rFonts w:ascii="Arial" w:hAnsi="Arial" w:cs="Arial"/>
          <w:szCs w:val="22"/>
        </w:rPr>
      </w:pPr>
      <w:r w:rsidRPr="0030358C">
        <w:rPr>
          <w:rFonts w:ascii="Arial" w:hAnsi="Arial" w:cs="Arial"/>
          <w:szCs w:val="22"/>
        </w:rPr>
        <w:lastRenderedPageBreak/>
        <w:t>3.    Požadavky na zařízení pro plnění a stáčení</w:t>
      </w:r>
    </w:p>
    <w:p w14:paraId="5FAC66FD" w14:textId="77777777" w:rsidR="00A77B3E" w:rsidRPr="0030358C" w:rsidRDefault="00000000">
      <w:pPr>
        <w:pStyle w:val="63"/>
        <w:rPr>
          <w:rFonts w:ascii="Arial" w:hAnsi="Arial" w:cs="Arial"/>
          <w:sz w:val="22"/>
          <w:szCs w:val="22"/>
        </w:rPr>
      </w:pPr>
      <w:r w:rsidRPr="0030358C">
        <w:rPr>
          <w:rFonts w:ascii="Arial" w:hAnsi="Arial" w:cs="Arial"/>
          <w:sz w:val="22"/>
          <w:szCs w:val="22"/>
        </w:rPr>
        <w:t>a)    Páry vytěsněné z plněných mobilních kontejnerů musí být vedeny parotěsným potrubím do systému rekuperace benzinových par etapy I terminálu. Toto ustanovení se nevztahuje na mobilní kontejnery s horním plněním po dobu platnosti povolení tohoto plnicího systému.</w:t>
      </w:r>
    </w:p>
    <w:p w14:paraId="73F7E561" w14:textId="77777777" w:rsidR="00A77B3E" w:rsidRPr="0030358C" w:rsidRDefault="00000000">
      <w:pPr>
        <w:pStyle w:val="64"/>
        <w:rPr>
          <w:rFonts w:ascii="Arial" w:hAnsi="Arial" w:cs="Arial"/>
          <w:sz w:val="22"/>
          <w:szCs w:val="22"/>
        </w:rPr>
      </w:pPr>
      <w:r w:rsidRPr="0030358C">
        <w:rPr>
          <w:rFonts w:ascii="Arial" w:hAnsi="Arial" w:cs="Arial"/>
          <w:sz w:val="22"/>
          <w:szCs w:val="22"/>
        </w:rPr>
        <w:t xml:space="preserve">b)    V terminálech, kde se plní benzin do plavidel, může být systém rekuperace benzinových par etapy I nahrazen jednotkou pro spalování par, pokud zpětné získávání par není bezpečné nebo technicky není možné vzhledem k objemu vytěsněných par. Požadavky na emise do ovzduší z jednotek omezování par benzinu, které jsou uvedené v </w:t>
      </w:r>
      <w:hyperlink w:history="1">
        <w:r w:rsidR="00A77B3E" w:rsidRPr="0030358C">
          <w:rPr>
            <w:rFonts w:ascii="Arial" w:hAnsi="Arial" w:cs="Arial"/>
            <w:sz w:val="22"/>
            <w:szCs w:val="22"/>
          </w:rPr>
          <w:t>písm. a) bodu 2.</w:t>
        </w:r>
      </w:hyperlink>
      <w:r w:rsidRPr="0030358C">
        <w:rPr>
          <w:rFonts w:ascii="Arial" w:hAnsi="Arial" w:cs="Arial"/>
          <w:sz w:val="22"/>
          <w:szCs w:val="22"/>
        </w:rPr>
        <w:t xml:space="preserve"> této přílohy, se vztahují také na jednotku spalování par.</w:t>
      </w:r>
    </w:p>
    <w:p w14:paraId="0827A28B" w14:textId="77777777" w:rsidR="00A77B3E" w:rsidRPr="0030358C" w:rsidRDefault="00000000">
      <w:pPr>
        <w:pStyle w:val="64"/>
        <w:rPr>
          <w:rFonts w:ascii="Arial" w:hAnsi="Arial" w:cs="Arial"/>
          <w:sz w:val="22"/>
          <w:szCs w:val="22"/>
        </w:rPr>
      </w:pPr>
      <w:r w:rsidRPr="0030358C">
        <w:rPr>
          <w:rFonts w:ascii="Arial" w:hAnsi="Arial" w:cs="Arial"/>
          <w:sz w:val="22"/>
          <w:szCs w:val="22"/>
        </w:rPr>
        <w:t>c)    V terminálech s ročním obratem benzinu do 25 000 tun může být systém rekuperace benzinových par etapy I nahrazen meziskladem par.</w:t>
      </w:r>
    </w:p>
    <w:p w14:paraId="73935BFA" w14:textId="77777777" w:rsidR="00A77B3E" w:rsidRPr="0030358C" w:rsidRDefault="00000000">
      <w:pPr>
        <w:pStyle w:val="64"/>
        <w:rPr>
          <w:rFonts w:ascii="Arial" w:hAnsi="Arial" w:cs="Arial"/>
          <w:sz w:val="22"/>
          <w:szCs w:val="22"/>
        </w:rPr>
      </w:pPr>
      <w:r w:rsidRPr="0030358C">
        <w:rPr>
          <w:rFonts w:ascii="Arial" w:hAnsi="Arial" w:cs="Arial"/>
          <w:sz w:val="22"/>
          <w:szCs w:val="22"/>
        </w:rPr>
        <w:t>d)    V terminálech, kde je systém rekuperace benzinových par etapy I nahrazen meziskladem par, musí být vytěsněné páry vedeny plynotěsným potrubím do meziskladu par s účinností nejméně 99 %. Plnění mobilního kontejneru benzinem nesmí být zahájeno, dokud nejsou obě nádrže řádně propojeny potrubím pro odvod par a dokud není zajištěna řádná funkce systému přečerpání par.</w:t>
      </w:r>
    </w:p>
    <w:p w14:paraId="773C6979" w14:textId="77777777" w:rsidR="00A77B3E" w:rsidRPr="0030358C" w:rsidRDefault="00000000">
      <w:pPr>
        <w:pStyle w:val="64"/>
        <w:rPr>
          <w:rFonts w:ascii="Arial" w:hAnsi="Arial" w:cs="Arial"/>
          <w:sz w:val="22"/>
          <w:szCs w:val="22"/>
        </w:rPr>
      </w:pPr>
      <w:r w:rsidRPr="0030358C">
        <w:rPr>
          <w:rFonts w:ascii="Arial" w:hAnsi="Arial" w:cs="Arial"/>
          <w:sz w:val="22"/>
          <w:szCs w:val="22"/>
        </w:rPr>
        <w:t>e)    V případě úniku par benzinu musí být stáčení neprodleně zastaveno. Na plnicí lávce terminálu je umístěn ovladač, kterým lze stáčení kdykoli zastavit.</w:t>
      </w:r>
    </w:p>
    <w:p w14:paraId="63A73746" w14:textId="77777777" w:rsidR="00A77B3E" w:rsidRPr="0030358C" w:rsidRDefault="00000000">
      <w:pPr>
        <w:pStyle w:val="65"/>
        <w:rPr>
          <w:rFonts w:ascii="Arial" w:hAnsi="Arial" w:cs="Arial"/>
          <w:sz w:val="22"/>
          <w:szCs w:val="22"/>
        </w:rPr>
      </w:pPr>
      <w:r w:rsidRPr="0030358C">
        <w:rPr>
          <w:rFonts w:ascii="Arial" w:hAnsi="Arial" w:cs="Arial"/>
          <w:sz w:val="22"/>
          <w:szCs w:val="22"/>
        </w:rPr>
        <w:t>f)    Při plnění mobilních kontejnerů s horním plněním musí být plnicí rameno zajištěno tak, aby jeho ústí bylo u dna kontejneru a zamezilo se rozstřiku benzinu.</w:t>
      </w:r>
    </w:p>
    <w:p w14:paraId="21005D10" w14:textId="77777777" w:rsidR="00A77B3E" w:rsidRPr="0030358C" w:rsidRDefault="00000000">
      <w:pPr>
        <w:pStyle w:val="66"/>
        <w:rPr>
          <w:rFonts w:ascii="Arial" w:hAnsi="Arial" w:cs="Arial"/>
          <w:szCs w:val="22"/>
        </w:rPr>
      </w:pPr>
      <w:r w:rsidRPr="0030358C">
        <w:rPr>
          <w:rFonts w:ascii="Arial" w:hAnsi="Arial" w:cs="Arial"/>
          <w:szCs w:val="22"/>
        </w:rPr>
        <w:t>4.    Požadavky na zařízení pro spodní plnění, sběr par a ochranu před přeplněním silničních cisternových vozidel</w:t>
      </w:r>
    </w:p>
    <w:p w14:paraId="25FEE01E" w14:textId="77777777" w:rsidR="00A77B3E" w:rsidRPr="0030358C" w:rsidRDefault="00000000">
      <w:pPr>
        <w:pStyle w:val="67"/>
        <w:rPr>
          <w:rFonts w:ascii="Arial" w:hAnsi="Arial" w:cs="Arial"/>
          <w:szCs w:val="22"/>
        </w:rPr>
      </w:pPr>
      <w:r w:rsidRPr="0030358C">
        <w:rPr>
          <w:rFonts w:ascii="Arial" w:hAnsi="Arial" w:cs="Arial"/>
          <w:szCs w:val="22"/>
        </w:rPr>
        <w:t>4.1    Potrubní spojky</w:t>
      </w:r>
    </w:p>
    <w:p w14:paraId="3DE8A64E" w14:textId="77777777" w:rsidR="00A77B3E" w:rsidRPr="0030358C" w:rsidRDefault="00000000">
      <w:pPr>
        <w:pStyle w:val="85"/>
        <w:rPr>
          <w:rFonts w:ascii="Arial" w:hAnsi="Arial" w:cs="Arial"/>
          <w:sz w:val="22"/>
          <w:szCs w:val="22"/>
        </w:rPr>
      </w:pPr>
      <w:r w:rsidRPr="0030358C">
        <w:rPr>
          <w:rFonts w:ascii="Arial" w:hAnsi="Arial" w:cs="Arial"/>
          <w:sz w:val="22"/>
          <w:szCs w:val="22"/>
        </w:rPr>
        <w:t>a)    Rychlospojky pro stáčení benzinu na plnicím rameni a na vozidle musí odpovídat ustanovení směrnice API Recommended Practice 1004, sedmé vydání, listopad 1988: „Spodní plnění a zpětné získávání par u cisternových silničních vozidel MC-306“, část 2.1.1.1 - Typ potrubní spojky pro spodní plnění.</w:t>
      </w:r>
    </w:p>
    <w:p w14:paraId="2140DC26" w14:textId="77777777" w:rsidR="00A77B3E" w:rsidRPr="0030358C" w:rsidRDefault="00000000">
      <w:pPr>
        <w:pStyle w:val="87"/>
        <w:rPr>
          <w:rFonts w:ascii="Arial" w:hAnsi="Arial" w:cs="Arial"/>
          <w:sz w:val="22"/>
          <w:szCs w:val="22"/>
        </w:rPr>
      </w:pPr>
      <w:r w:rsidRPr="0030358C">
        <w:rPr>
          <w:rFonts w:ascii="Arial" w:hAnsi="Arial" w:cs="Arial"/>
          <w:sz w:val="22"/>
          <w:szCs w:val="22"/>
        </w:rPr>
        <w:t>b)    Rychlospojky potrubí pro sběr par benzinu na plnicí lávce a na vozidle odpovídají ustanovení směrnice API Recommended Practice 1004, sedmé vydání, listopad 1988: „Spodní plnění a zpětné získávání par u cisternových silničních vozidel MC-306“, část 4.1.1.2 - Přípojka pro odvod par.</w:t>
      </w:r>
    </w:p>
    <w:p w14:paraId="504A612A" w14:textId="77777777" w:rsidR="00A77B3E" w:rsidRPr="0030358C" w:rsidRDefault="00000000">
      <w:pPr>
        <w:pStyle w:val="57"/>
        <w:rPr>
          <w:rFonts w:ascii="Arial" w:hAnsi="Arial" w:cs="Arial"/>
          <w:szCs w:val="22"/>
        </w:rPr>
      </w:pPr>
      <w:r w:rsidRPr="0030358C">
        <w:rPr>
          <w:rFonts w:ascii="Arial" w:hAnsi="Arial" w:cs="Arial"/>
          <w:szCs w:val="22"/>
        </w:rPr>
        <w:t>4.2.    Podmínky plnění</w:t>
      </w:r>
    </w:p>
    <w:p w14:paraId="507E6D69" w14:textId="77777777" w:rsidR="00A77B3E" w:rsidRPr="0030358C" w:rsidRDefault="00000000">
      <w:pPr>
        <w:pStyle w:val="85"/>
        <w:rPr>
          <w:rFonts w:ascii="Arial" w:hAnsi="Arial" w:cs="Arial"/>
          <w:sz w:val="22"/>
          <w:szCs w:val="22"/>
        </w:rPr>
      </w:pPr>
      <w:r w:rsidRPr="0030358C">
        <w:rPr>
          <w:rFonts w:ascii="Arial" w:hAnsi="Arial" w:cs="Arial"/>
          <w:sz w:val="22"/>
          <w:szCs w:val="22"/>
        </w:rPr>
        <w:t>a)    Obvyklý průtok benzinu jedním ramenem při plnění je 2 300 l/min, maximální povolený průtok je 2 500 l/min.</w:t>
      </w:r>
    </w:p>
    <w:p w14:paraId="1D38373A" w14:textId="77777777" w:rsidR="00A77B3E" w:rsidRPr="0030358C" w:rsidRDefault="00000000">
      <w:pPr>
        <w:pStyle w:val="86"/>
        <w:rPr>
          <w:rFonts w:ascii="Arial" w:hAnsi="Arial" w:cs="Arial"/>
          <w:sz w:val="22"/>
          <w:szCs w:val="22"/>
        </w:rPr>
      </w:pPr>
      <w:r w:rsidRPr="0030358C">
        <w:rPr>
          <w:rFonts w:ascii="Arial" w:hAnsi="Arial" w:cs="Arial"/>
          <w:sz w:val="22"/>
          <w:szCs w:val="22"/>
        </w:rPr>
        <w:t>b)    Při nejvyšším zatížení terminálu se připouští v místě přípojky na vozidle maximální přetlak par 5,5 kPa.</w:t>
      </w:r>
    </w:p>
    <w:p w14:paraId="10AB7CFF" w14:textId="77777777" w:rsidR="00A77B3E" w:rsidRPr="0030358C" w:rsidRDefault="00000000">
      <w:pPr>
        <w:pStyle w:val="87"/>
        <w:rPr>
          <w:rFonts w:ascii="Arial" w:hAnsi="Arial" w:cs="Arial"/>
          <w:sz w:val="22"/>
          <w:szCs w:val="22"/>
        </w:rPr>
      </w:pPr>
      <w:r w:rsidRPr="0030358C">
        <w:rPr>
          <w:rFonts w:ascii="Arial" w:hAnsi="Arial" w:cs="Arial"/>
          <w:sz w:val="22"/>
          <w:szCs w:val="22"/>
        </w:rPr>
        <w:t>c)    Všechna schválená vozidla se spodním plněním jsou opatřena kovovým identifikačním štítkem, na němž je uveden nejvyšší povolený počet plnicích ramen, která mohou být provozována současně tak, aby nedošlo k úniku par pojistnými ventily při maximálním povoleném přetlaku 5,5 kPa. Dále je na štítku uveden typ nainstalovaných čidel pro detekci horní hladiny (tj. dvouvodičové nebo pětivodičové) použitých na vozidle.</w:t>
      </w:r>
    </w:p>
    <w:p w14:paraId="1DE6FCB5" w14:textId="77777777" w:rsidR="00A77B3E" w:rsidRPr="0030358C" w:rsidRDefault="00000000">
      <w:pPr>
        <w:pStyle w:val="57"/>
        <w:rPr>
          <w:rFonts w:ascii="Arial" w:hAnsi="Arial" w:cs="Arial"/>
          <w:szCs w:val="22"/>
        </w:rPr>
      </w:pPr>
      <w:r w:rsidRPr="0030358C">
        <w:rPr>
          <w:rFonts w:ascii="Arial" w:hAnsi="Arial" w:cs="Arial"/>
          <w:szCs w:val="22"/>
        </w:rPr>
        <w:t>4.3.    Připojení signalizace uzemnění a přeplnění</w:t>
      </w:r>
    </w:p>
    <w:p w14:paraId="41797CD4" w14:textId="77777777" w:rsidR="00A77B3E" w:rsidRPr="0030358C" w:rsidRDefault="00000000">
      <w:pPr>
        <w:pStyle w:val="59"/>
        <w:rPr>
          <w:rFonts w:ascii="Arial" w:hAnsi="Arial" w:cs="Arial"/>
          <w:sz w:val="22"/>
          <w:szCs w:val="22"/>
        </w:rPr>
      </w:pPr>
      <w:r w:rsidRPr="0030358C">
        <w:rPr>
          <w:rFonts w:ascii="Arial" w:hAnsi="Arial" w:cs="Arial"/>
          <w:sz w:val="22"/>
          <w:szCs w:val="22"/>
        </w:rPr>
        <w:lastRenderedPageBreak/>
        <w:t>Plnicí lávka musí být vybavena řídicí jednotkou pro signalizaci přeplnění. Pokud tato jednotka po připojení k vozidlu neindikuje naplnění cisterny, musí vyslat signál umožňující plnění cisterny.</w:t>
      </w:r>
    </w:p>
    <w:p w14:paraId="6CB69905" w14:textId="77777777" w:rsidR="00A77B3E" w:rsidRPr="0030358C" w:rsidRDefault="00000000">
      <w:pPr>
        <w:pStyle w:val="85"/>
        <w:rPr>
          <w:rFonts w:ascii="Arial" w:hAnsi="Arial" w:cs="Arial"/>
          <w:sz w:val="22"/>
          <w:szCs w:val="22"/>
        </w:rPr>
      </w:pPr>
      <w:r w:rsidRPr="0030358C">
        <w:rPr>
          <w:rFonts w:ascii="Arial" w:hAnsi="Arial" w:cs="Arial"/>
          <w:sz w:val="22"/>
          <w:szCs w:val="22"/>
        </w:rPr>
        <w:t>a)    Vozidlo se k řídicí jednotce na plnicí lávce připojuje standardním desetipólovým elektrickým konektorem. Desetikolíková vidlice (přívodka) je připojena k vozidlu a zásuvka na pohyblivém vedení (nástrčka) je připojena k řídicí jednotce na plnicí lávce.</w:t>
      </w:r>
    </w:p>
    <w:p w14:paraId="34194403" w14:textId="77777777" w:rsidR="00A77B3E" w:rsidRPr="0030358C" w:rsidRDefault="00000000">
      <w:pPr>
        <w:pStyle w:val="86"/>
        <w:rPr>
          <w:rFonts w:ascii="Arial" w:hAnsi="Arial" w:cs="Arial"/>
          <w:sz w:val="22"/>
          <w:szCs w:val="22"/>
        </w:rPr>
      </w:pPr>
      <w:r w:rsidRPr="0030358C">
        <w:rPr>
          <w:rFonts w:ascii="Arial" w:hAnsi="Arial" w:cs="Arial"/>
          <w:sz w:val="22"/>
          <w:szCs w:val="22"/>
        </w:rPr>
        <w:t>b)    Hladinové snímače na vozidle musí být buď dvouvodičová termistorová čidla, dvouvodičová optická čidla, pětivodičová optická čidla nebo jiná kompatibilní spolehlivá čidla</w:t>
      </w:r>
    </w:p>
    <w:p w14:paraId="4852EFD8" w14:textId="77777777" w:rsidR="00A77B3E" w:rsidRPr="0030358C" w:rsidRDefault="00000000">
      <w:pPr>
        <w:pStyle w:val="86"/>
        <w:rPr>
          <w:rFonts w:ascii="Arial" w:hAnsi="Arial" w:cs="Arial"/>
          <w:sz w:val="22"/>
          <w:szCs w:val="22"/>
        </w:rPr>
      </w:pPr>
      <w:r w:rsidRPr="0030358C">
        <w:rPr>
          <w:rFonts w:ascii="Arial" w:hAnsi="Arial" w:cs="Arial"/>
          <w:sz w:val="22"/>
          <w:szCs w:val="22"/>
        </w:rPr>
        <w:t>c)    Řídicí jednotka na plnicí lávce musí umožňovat propojení jak s dvouvodičovými, tak s pětivodičovými systémy vozidel.</w:t>
      </w:r>
    </w:p>
    <w:p w14:paraId="30C8199F" w14:textId="77777777" w:rsidR="00A77B3E" w:rsidRPr="0030358C" w:rsidRDefault="00000000">
      <w:pPr>
        <w:pStyle w:val="87"/>
        <w:rPr>
          <w:rFonts w:ascii="Arial" w:hAnsi="Arial" w:cs="Arial"/>
          <w:sz w:val="22"/>
          <w:szCs w:val="22"/>
        </w:rPr>
      </w:pPr>
      <w:r w:rsidRPr="0030358C">
        <w:rPr>
          <w:rFonts w:ascii="Arial" w:hAnsi="Arial" w:cs="Arial"/>
          <w:sz w:val="22"/>
          <w:szCs w:val="22"/>
        </w:rPr>
        <w:t>d)    Společný vodič hladinových snímačů musí být připojen ke kolíku 10 na přívodce a dále k podvozku vozidla. Kolík 10 na nástrčce je připojen ke krytu řídicí jednotky, který je připojen k zemnění plnicí lávky.</w:t>
      </w:r>
    </w:p>
    <w:p w14:paraId="078BAEAC" w14:textId="77777777" w:rsidR="00A77B3E" w:rsidRPr="0030358C" w:rsidRDefault="00000000">
      <w:pPr>
        <w:pStyle w:val="57"/>
        <w:rPr>
          <w:rFonts w:ascii="Arial" w:hAnsi="Arial" w:cs="Arial"/>
          <w:szCs w:val="22"/>
        </w:rPr>
      </w:pPr>
      <w:r w:rsidRPr="0030358C">
        <w:rPr>
          <w:rFonts w:ascii="Arial" w:hAnsi="Arial" w:cs="Arial"/>
          <w:szCs w:val="22"/>
        </w:rPr>
        <w:t>4.4.    Umístění spojek</w:t>
      </w:r>
    </w:p>
    <w:p w14:paraId="14B8C205" w14:textId="77777777" w:rsidR="00A77B3E" w:rsidRPr="0030358C" w:rsidRDefault="00000000">
      <w:pPr>
        <w:pStyle w:val="96"/>
        <w:rPr>
          <w:rFonts w:ascii="Arial" w:hAnsi="Arial" w:cs="Arial"/>
          <w:sz w:val="22"/>
          <w:szCs w:val="22"/>
        </w:rPr>
      </w:pPr>
      <w:r w:rsidRPr="0030358C">
        <w:rPr>
          <w:rFonts w:ascii="Arial" w:hAnsi="Arial" w:cs="Arial"/>
          <w:sz w:val="22"/>
          <w:szCs w:val="22"/>
        </w:rPr>
        <w:t>a)    Konstrukce zařízení pro stáčení benzinu a sběr par na plnicí lávce musí splňovat následující požadavky</w:t>
      </w:r>
    </w:p>
    <w:p w14:paraId="0EF802E0" w14:textId="77777777" w:rsidR="00A77B3E" w:rsidRPr="0030358C" w:rsidRDefault="00000000">
      <w:pPr>
        <w:pStyle w:val="97"/>
        <w:rPr>
          <w:rFonts w:ascii="Arial" w:hAnsi="Arial" w:cs="Arial"/>
          <w:szCs w:val="22"/>
        </w:rPr>
      </w:pPr>
      <w:r w:rsidRPr="0030358C">
        <w:rPr>
          <w:rFonts w:ascii="Arial" w:hAnsi="Arial" w:cs="Arial"/>
          <w:szCs w:val="22"/>
        </w:rPr>
        <w:t>1.    výška osy rychlospojky pro stáčení benzinu je maximálně 1,4 m (nenaložené vozidlo) a nejméně 0,5 m (naložené vozidlo); doporučená výška je 0,7 m až 1,0 m,</w:t>
      </w:r>
    </w:p>
    <w:p w14:paraId="5B9302AC" w14:textId="77777777" w:rsidR="00A77B3E" w:rsidRPr="0030358C" w:rsidRDefault="00000000">
      <w:pPr>
        <w:pStyle w:val="98"/>
        <w:rPr>
          <w:rFonts w:ascii="Arial" w:hAnsi="Arial" w:cs="Arial"/>
          <w:szCs w:val="22"/>
        </w:rPr>
      </w:pPr>
      <w:r w:rsidRPr="0030358C">
        <w:rPr>
          <w:rFonts w:ascii="Arial" w:hAnsi="Arial" w:cs="Arial"/>
          <w:szCs w:val="22"/>
        </w:rPr>
        <w:t>2.    vodorovná mezera mezi rychlospojkami pro stáčení benzinu nesmí být menší než 0,25 m; doporučená nejmenší velikost mezery je 0,3 m,</w:t>
      </w:r>
    </w:p>
    <w:p w14:paraId="31DA5C46" w14:textId="77777777" w:rsidR="00A77B3E" w:rsidRPr="0030358C" w:rsidRDefault="00000000">
      <w:pPr>
        <w:pStyle w:val="98"/>
        <w:rPr>
          <w:rFonts w:ascii="Arial" w:hAnsi="Arial" w:cs="Arial"/>
          <w:szCs w:val="22"/>
        </w:rPr>
      </w:pPr>
      <w:r w:rsidRPr="0030358C">
        <w:rPr>
          <w:rFonts w:ascii="Arial" w:hAnsi="Arial" w:cs="Arial"/>
          <w:szCs w:val="22"/>
        </w:rPr>
        <w:t>3.    všechny rychlospojky pro stáčení benzinu jsou v krytém prostoru, jehož délka nepřesahuje 2,5 m,</w:t>
      </w:r>
    </w:p>
    <w:p w14:paraId="2112B077" w14:textId="77777777" w:rsidR="00A77B3E" w:rsidRPr="0030358C" w:rsidRDefault="00000000">
      <w:pPr>
        <w:pStyle w:val="99"/>
        <w:rPr>
          <w:rFonts w:ascii="Arial" w:hAnsi="Arial" w:cs="Arial"/>
          <w:szCs w:val="22"/>
        </w:rPr>
      </w:pPr>
      <w:r w:rsidRPr="0030358C">
        <w:rPr>
          <w:rFonts w:ascii="Arial" w:hAnsi="Arial" w:cs="Arial"/>
          <w:szCs w:val="22"/>
        </w:rPr>
        <w:t>4.    přípojka pro odvod par je umístěna pokud možno vpravo od rychlospojek pro stáčení benzinu ve výši nepřesahující 1,5 m (pro nenaložené vozidlo) a ne níže než 0,5 m (pro naložené vozidlo),</w:t>
      </w:r>
    </w:p>
    <w:p w14:paraId="65088032" w14:textId="77777777" w:rsidR="00A77B3E" w:rsidRPr="0030358C" w:rsidRDefault="00000000">
      <w:pPr>
        <w:pStyle w:val="100"/>
        <w:rPr>
          <w:rFonts w:ascii="Arial" w:hAnsi="Arial" w:cs="Arial"/>
          <w:sz w:val="22"/>
          <w:szCs w:val="22"/>
        </w:rPr>
      </w:pPr>
      <w:r w:rsidRPr="0030358C">
        <w:rPr>
          <w:rFonts w:ascii="Arial" w:hAnsi="Arial" w:cs="Arial"/>
          <w:sz w:val="22"/>
          <w:szCs w:val="22"/>
        </w:rPr>
        <w:t>a)    konektor signalizace uzemnění a přeplnění musí být umístěn vpravo od rychlospojek pro stáčení benzinu a odvod par ve výši nepřesahující 1,5 m (pro nenaložené vozidlo) a ne níže než 0,5 m (pro naložené vozidlo),</w:t>
      </w:r>
    </w:p>
    <w:p w14:paraId="122AFC7F" w14:textId="77777777" w:rsidR="00A77B3E" w:rsidRPr="0030358C" w:rsidRDefault="00000000">
      <w:pPr>
        <w:pStyle w:val="87"/>
        <w:rPr>
          <w:rFonts w:ascii="Arial" w:hAnsi="Arial" w:cs="Arial"/>
          <w:sz w:val="22"/>
          <w:szCs w:val="22"/>
        </w:rPr>
      </w:pPr>
      <w:r w:rsidRPr="0030358C">
        <w:rPr>
          <w:rFonts w:ascii="Arial" w:hAnsi="Arial" w:cs="Arial"/>
          <w:sz w:val="22"/>
          <w:szCs w:val="22"/>
        </w:rPr>
        <w:t>b)    veškeré rychlospojky, přípojky a konektory musí být umístěny na jedné straně vozidla.</w:t>
      </w:r>
    </w:p>
    <w:p w14:paraId="1625510E" w14:textId="77777777" w:rsidR="00A77B3E" w:rsidRPr="0030358C" w:rsidRDefault="00000000">
      <w:pPr>
        <w:pStyle w:val="57"/>
        <w:rPr>
          <w:rFonts w:ascii="Arial" w:hAnsi="Arial" w:cs="Arial"/>
          <w:szCs w:val="22"/>
        </w:rPr>
      </w:pPr>
      <w:r w:rsidRPr="0030358C">
        <w:rPr>
          <w:rFonts w:ascii="Arial" w:hAnsi="Arial" w:cs="Arial"/>
          <w:szCs w:val="22"/>
        </w:rPr>
        <w:t>4.5.    Bezpečnostní blokování</w:t>
      </w:r>
    </w:p>
    <w:p w14:paraId="30A3536A" w14:textId="77777777" w:rsidR="00A77B3E" w:rsidRPr="0030358C" w:rsidRDefault="00000000">
      <w:pPr>
        <w:pStyle w:val="85"/>
        <w:rPr>
          <w:rFonts w:ascii="Arial" w:hAnsi="Arial" w:cs="Arial"/>
          <w:sz w:val="22"/>
          <w:szCs w:val="22"/>
        </w:rPr>
      </w:pPr>
      <w:r w:rsidRPr="0030358C">
        <w:rPr>
          <w:rFonts w:ascii="Arial" w:hAnsi="Arial" w:cs="Arial"/>
          <w:sz w:val="22"/>
          <w:szCs w:val="22"/>
        </w:rPr>
        <w:t>a)    Signalizace uzemnění a přeplnění - plnění cisterny musí být zablokováno, dokud řídicí jednotka uzemnění a přeplnění nevyšle příslušný signál. V případě přeplnění nebo poruchy uzemnění vozidla je řídicí jednotka uzavřena uzavíracím ventilem na plnicí lávce.</w:t>
      </w:r>
    </w:p>
    <w:p w14:paraId="04C3CE5F" w14:textId="77777777" w:rsidR="00A77B3E" w:rsidRPr="0030358C" w:rsidRDefault="00000000">
      <w:pPr>
        <w:pStyle w:val="87"/>
        <w:rPr>
          <w:rFonts w:ascii="Arial" w:hAnsi="Arial" w:cs="Arial"/>
          <w:sz w:val="22"/>
          <w:szCs w:val="22"/>
        </w:rPr>
      </w:pPr>
      <w:r w:rsidRPr="0030358C">
        <w:rPr>
          <w:rFonts w:ascii="Arial" w:hAnsi="Arial" w:cs="Arial"/>
          <w:sz w:val="22"/>
          <w:szCs w:val="22"/>
        </w:rPr>
        <w:t>b)    Signalizace odvodu par - plnění cisterny musí být zablokováno, dokud není k vozidlu připojena hadice pro odvod par a dokud není zajištěn volný průchod těchto par do sběrného systému terminálu.</w:t>
      </w:r>
    </w:p>
    <w:p w14:paraId="66D0C337" w14:textId="77777777" w:rsidR="00A77B3E" w:rsidRPr="0030358C" w:rsidRDefault="00000000">
      <w:pPr>
        <w:pStyle w:val="46"/>
        <w:rPr>
          <w:rFonts w:ascii="Arial" w:hAnsi="Arial" w:cs="Arial"/>
          <w:szCs w:val="22"/>
        </w:rPr>
      </w:pPr>
      <w:r w:rsidRPr="0030358C">
        <w:rPr>
          <w:rFonts w:ascii="Arial" w:hAnsi="Arial" w:cs="Arial"/>
          <w:szCs w:val="22"/>
        </w:rPr>
        <w:t>5.    Požadavky na plnicí a skladovací zařízení v čerpacích stanicích a terminálech, kde se provádí meziskladování par</w:t>
      </w:r>
    </w:p>
    <w:p w14:paraId="71DDF15D" w14:textId="77777777" w:rsidR="00A77B3E" w:rsidRPr="0030358C" w:rsidRDefault="00000000">
      <w:pPr>
        <w:pStyle w:val="54"/>
        <w:rPr>
          <w:rFonts w:ascii="Arial" w:hAnsi="Arial" w:cs="Arial"/>
          <w:sz w:val="22"/>
          <w:szCs w:val="22"/>
        </w:rPr>
      </w:pPr>
      <w:r w:rsidRPr="0030358C">
        <w:rPr>
          <w:rFonts w:ascii="Arial" w:hAnsi="Arial" w:cs="Arial"/>
          <w:sz w:val="22"/>
          <w:szCs w:val="22"/>
        </w:rPr>
        <w:t xml:space="preserve">Páry vytlačované stáčeným benzinem z plněných skladovacích zařízení v čerpacích stanicích a v nádržích s pevnou střechou používaných pro meziskladování par musí být vraceny potrubím s parotěsnými spoji do mobilní cisterny dodávající benzin. Plnění </w:t>
      </w:r>
      <w:r w:rsidRPr="0030358C">
        <w:rPr>
          <w:rFonts w:ascii="Arial" w:hAnsi="Arial" w:cs="Arial"/>
          <w:sz w:val="22"/>
          <w:szCs w:val="22"/>
        </w:rPr>
        <w:lastRenderedPageBreak/>
        <w:t>nesmí být zahájeno, dokud tyto systémy nejsou připraveny a dokud není zajištěna jejich správná funkce.</w:t>
      </w:r>
    </w:p>
    <w:p w14:paraId="6A817B90" w14:textId="77777777" w:rsidR="00A77B3E" w:rsidRPr="0030358C" w:rsidRDefault="00000000">
      <w:pPr>
        <w:pStyle w:val="56"/>
        <w:rPr>
          <w:rFonts w:ascii="Arial" w:hAnsi="Arial" w:cs="Arial"/>
          <w:sz w:val="22"/>
          <w:szCs w:val="22"/>
        </w:rPr>
      </w:pPr>
      <w:r w:rsidRPr="0030358C">
        <w:rPr>
          <w:rFonts w:ascii="Arial" w:hAnsi="Arial" w:cs="Arial"/>
          <w:sz w:val="22"/>
          <w:szCs w:val="22"/>
        </w:rPr>
        <w:t>Roční ztráty motorového benzinu vznikající při plnění skladovacích zařízeních v čerpacích stanicích musí být nižší než 0,01 % hmotnostních z ročního obratu motorového benzinu.</w:t>
      </w:r>
    </w:p>
    <w:p w14:paraId="046E2A0B" w14:textId="77777777" w:rsidR="00A77B3E" w:rsidRPr="0030358C" w:rsidRDefault="00000000">
      <w:pPr>
        <w:pStyle w:val="66"/>
        <w:rPr>
          <w:rFonts w:ascii="Arial" w:hAnsi="Arial" w:cs="Arial"/>
          <w:szCs w:val="22"/>
        </w:rPr>
      </w:pPr>
      <w:r w:rsidRPr="0030358C">
        <w:rPr>
          <w:rFonts w:ascii="Arial" w:hAnsi="Arial" w:cs="Arial"/>
          <w:szCs w:val="22"/>
        </w:rPr>
        <w:t>6.    Podmínky provozu čerpacích stanic</w:t>
      </w:r>
    </w:p>
    <w:p w14:paraId="114F9C99" w14:textId="77777777" w:rsidR="00A77B3E" w:rsidRPr="0030358C" w:rsidRDefault="00000000">
      <w:pPr>
        <w:pStyle w:val="67"/>
        <w:rPr>
          <w:rFonts w:ascii="Arial" w:hAnsi="Arial" w:cs="Arial"/>
          <w:szCs w:val="22"/>
        </w:rPr>
      </w:pPr>
      <w:r w:rsidRPr="0030358C">
        <w:rPr>
          <w:rFonts w:ascii="Arial" w:hAnsi="Arial" w:cs="Arial"/>
          <w:szCs w:val="22"/>
        </w:rPr>
        <w:t>6.1.    Podmínky provozu čerpacích stanic</w:t>
      </w:r>
    </w:p>
    <w:p w14:paraId="363760B1" w14:textId="77777777" w:rsidR="00A77B3E" w:rsidRPr="0030358C" w:rsidRDefault="00000000">
      <w:pPr>
        <w:pStyle w:val="60"/>
        <w:rPr>
          <w:rFonts w:ascii="Arial" w:hAnsi="Arial" w:cs="Arial"/>
          <w:sz w:val="22"/>
          <w:szCs w:val="22"/>
        </w:rPr>
      </w:pPr>
      <w:r w:rsidRPr="0030358C">
        <w:rPr>
          <w:rFonts w:ascii="Arial" w:hAnsi="Arial" w:cs="Arial"/>
          <w:sz w:val="22"/>
          <w:szCs w:val="22"/>
        </w:rPr>
        <w:t>Všechny stojany sloužící k výdeji benzinu musí být vybaveny zřetelným nápisem, upozorňujícím zákazníky na nutnost úplného zasunutí výdejní pistole do plnicího hrdla nádrže motorového vozidla. Na všech stojanech sloužících k výdeji benzinu nebo v jejich blízkosti musí být umístěn nápis, který informuje o skutečnosti, že na čerpací stanici je instalován systém rekuperace benzinových par etapy II.</w:t>
      </w:r>
    </w:p>
    <w:p w14:paraId="0585283E" w14:textId="77777777" w:rsidR="00A77B3E" w:rsidRPr="0030358C" w:rsidRDefault="00000000">
      <w:pPr>
        <w:pStyle w:val="88"/>
        <w:rPr>
          <w:rFonts w:ascii="Arial" w:hAnsi="Arial" w:cs="Arial"/>
          <w:sz w:val="22"/>
          <w:szCs w:val="22"/>
        </w:rPr>
      </w:pPr>
      <w:r w:rsidRPr="0030358C">
        <w:rPr>
          <w:rFonts w:ascii="Arial" w:hAnsi="Arial" w:cs="Arial"/>
          <w:sz w:val="22"/>
          <w:szCs w:val="22"/>
        </w:rPr>
        <w:t xml:space="preserve">Čerpací stanice musí být vybaveny systémem rekuperace benzinových par etapy II, který musí pracovat s minimální účinností zachycení benzinových par rovnou 85 %. Minimální účinnost zachycení benzinových par potvrdí výrobce metodou, která je průkazná a co nejpřesněji vypovídá o účinnosti prováděné rekuperace. Tyto požadavky se považují za splněné, je-li postupováno podle určené technické normy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 Poměr objemu odvedených benzinových par při atmosférickém tlaku k celkovému objemu benzinu přečerpaného do palivové nádrže motorového vozidla je v rozmezí 0,95 až 1,05.</w:t>
      </w:r>
    </w:p>
    <w:p w14:paraId="60658001" w14:textId="77777777" w:rsidR="00A77B3E" w:rsidRPr="0030358C" w:rsidRDefault="00000000">
      <w:pPr>
        <w:pStyle w:val="72"/>
        <w:rPr>
          <w:rFonts w:ascii="Arial" w:hAnsi="Arial" w:cs="Arial"/>
          <w:sz w:val="22"/>
          <w:szCs w:val="22"/>
        </w:rPr>
      </w:pPr>
      <w:r w:rsidRPr="0030358C">
        <w:rPr>
          <w:rFonts w:ascii="Arial" w:hAnsi="Arial" w:cs="Arial"/>
          <w:sz w:val="22"/>
          <w:szCs w:val="22"/>
        </w:rPr>
        <w:t>Kontrola funkčnosti systému rekuperace benzinových par etapy II u výdejních stojanů musí být prováděna jedenkrát za směnu. U stojanů vybavených optickou signalizací správné funkčnosti systému rekuperace benzinových par etapy II musí být kontrolována funkčnost tohoto systému při výdeji benzinu. Jsou-li stojany vybaveny automatickým monitorovacím systémem, musí tento systém automaticky zjišťovat poruchy řádné funkce systému rekuperace benzinových par etapy II a samotného automatického monitorovacího systému, signalizovat poruchy obsluze čerpací stanice a automaticky zastavovat průtok benzinu z vadného palivového automatu, pokud by porucha nebyla opravena do sedmi dnů. U výdejních stojanů, které nejsou vybaveny optickou signalizací správné funkčnosti systému nebo automatickým monitorovacím systémem, musí být správná funkčnost systému rekuperace benzinových par etapy II kontrolována mechanickým testerem rekuperace.</w:t>
      </w:r>
    </w:p>
    <w:p w14:paraId="30EC8A05" w14:textId="77777777" w:rsidR="00A77B3E" w:rsidRPr="0030358C" w:rsidRDefault="00000000">
      <w:pPr>
        <w:pStyle w:val="57"/>
        <w:rPr>
          <w:rFonts w:ascii="Arial" w:hAnsi="Arial" w:cs="Arial"/>
          <w:szCs w:val="22"/>
        </w:rPr>
      </w:pPr>
      <w:r w:rsidRPr="0030358C">
        <w:rPr>
          <w:rFonts w:ascii="Arial" w:hAnsi="Arial" w:cs="Arial"/>
          <w:szCs w:val="22"/>
        </w:rPr>
        <w:t>6.2.    Kontrola systému rekuperace benzinových par etapy II</w:t>
      </w:r>
    </w:p>
    <w:p w14:paraId="7D77AB9E" w14:textId="77777777" w:rsidR="00A77B3E" w:rsidRPr="0030358C" w:rsidRDefault="00000000">
      <w:pPr>
        <w:pStyle w:val="59"/>
        <w:rPr>
          <w:rFonts w:ascii="Arial" w:hAnsi="Arial" w:cs="Arial"/>
          <w:sz w:val="22"/>
          <w:szCs w:val="22"/>
        </w:rPr>
      </w:pPr>
      <w:r w:rsidRPr="0030358C">
        <w:rPr>
          <w:rFonts w:ascii="Arial" w:hAnsi="Arial" w:cs="Arial"/>
          <w:sz w:val="22"/>
          <w:szCs w:val="22"/>
        </w:rPr>
        <w:t xml:space="preserve">Kontrola systému rekuperace benzinových par etapy II je prováděna osobou, která je oprávněna k montážím a opravárenským zásahům výrobcem těchto zařízení. Kontrola je prováděna nejméně jedenkrát za kalendářní rok a při každém podezření na chybnou funkčnost tohoto zařízení. Kontrola systému rekuperace benzinových par etapy II musí být provedena zkušební metodou, která je průkazná a co nejpřesněji vypovídá o funkčnosti systému rekuperace. Tyto požadavky se považují za splněné, je-li postupováno podle určené technické normy podle zákona </w:t>
      </w:r>
      <w:hyperlink w:history="1">
        <w:r w:rsidR="00A77B3E" w:rsidRPr="0030358C">
          <w:rPr>
            <w:rFonts w:ascii="Arial" w:hAnsi="Arial" w:cs="Arial"/>
            <w:sz w:val="22"/>
            <w:szCs w:val="22"/>
          </w:rPr>
          <w:t>o technických požadavcích na výrobky</w:t>
        </w:r>
      </w:hyperlink>
      <w:hyperlink w:history="1">
        <w:r w:rsidR="00A77B3E" w:rsidRPr="0030358C">
          <w:rPr>
            <w:rFonts w:ascii="Arial" w:hAnsi="Arial" w:cs="Arial"/>
            <w:sz w:val="22"/>
            <w:szCs w:val="22"/>
            <w:vertAlign w:val="superscript"/>
          </w:rPr>
          <w:t>2</w:t>
        </w:r>
        <w:r w:rsidR="00A77B3E" w:rsidRPr="0030358C">
          <w:rPr>
            <w:rFonts w:ascii="Arial" w:hAnsi="Arial" w:cs="Arial"/>
            <w:sz w:val="22"/>
            <w:szCs w:val="22"/>
          </w:rPr>
          <w:t>)</w:t>
        </w:r>
      </w:hyperlink>
      <w:r w:rsidRPr="0030358C">
        <w:rPr>
          <w:rFonts w:ascii="Arial" w:hAnsi="Arial" w:cs="Arial"/>
          <w:sz w:val="22"/>
          <w:szCs w:val="22"/>
        </w:rPr>
        <w:t>.</w:t>
      </w:r>
    </w:p>
    <w:p w14:paraId="72FFC960" w14:textId="77777777" w:rsidR="00A77B3E" w:rsidRPr="0030358C" w:rsidRDefault="00A77B3E">
      <w:pPr>
        <w:pStyle w:val="1"/>
        <w:rPr>
          <w:rFonts w:ascii="Arial" w:hAnsi="Arial" w:cs="Arial"/>
          <w:sz w:val="22"/>
          <w:szCs w:val="22"/>
        </w:rPr>
      </w:pPr>
    </w:p>
    <w:p w14:paraId="59DD672D" w14:textId="77777777" w:rsidR="00A77B3E" w:rsidRPr="0030358C" w:rsidRDefault="00000000">
      <w:pPr>
        <w:pStyle w:val="42"/>
        <w:rPr>
          <w:rFonts w:ascii="Arial" w:hAnsi="Arial" w:cs="Arial"/>
          <w:sz w:val="22"/>
          <w:szCs w:val="22"/>
        </w:rPr>
      </w:pPr>
      <w:r w:rsidRPr="0030358C">
        <w:rPr>
          <w:rFonts w:ascii="Arial" w:hAnsi="Arial" w:cs="Arial"/>
          <w:sz w:val="22"/>
          <w:szCs w:val="22"/>
        </w:rPr>
        <w:t>Příloha č. 7    k vyhlášce č. 415/2012 Sb.</w:t>
      </w:r>
    </w:p>
    <w:p w14:paraId="1DCC1A91" w14:textId="77777777" w:rsidR="00A77B3E" w:rsidRPr="0030358C" w:rsidRDefault="00000000">
      <w:pPr>
        <w:pStyle w:val="43"/>
        <w:rPr>
          <w:rFonts w:ascii="Arial" w:hAnsi="Arial" w:cs="Arial"/>
          <w:sz w:val="22"/>
          <w:szCs w:val="22"/>
        </w:rPr>
      </w:pPr>
      <w:r w:rsidRPr="0030358C">
        <w:rPr>
          <w:rFonts w:ascii="Arial" w:hAnsi="Arial" w:cs="Arial"/>
          <w:sz w:val="22"/>
          <w:szCs w:val="22"/>
        </w:rPr>
        <w:t>VYBRANÉ VÝROBKY, LIMITNÍ HODNOTY OBSAHU TĚKAVÝCH ORGANICKÝCH LÁTEK V TĚCHTO VÝROBCÍCH A ANALYTICKÉ METODY PRO STANOVENÍ OBSAHU TĚKAVÝCH ORGANICKÝCH LÁTEK V TĚCHTO VÝROBCÍCH</w:t>
      </w:r>
    </w:p>
    <w:p w14:paraId="3A23F1C3" w14:textId="77777777" w:rsidR="00A77B3E" w:rsidRPr="0030358C" w:rsidRDefault="00000000">
      <w:pPr>
        <w:pStyle w:val="44"/>
        <w:rPr>
          <w:rFonts w:ascii="Arial" w:hAnsi="Arial" w:cs="Arial"/>
          <w:sz w:val="22"/>
          <w:szCs w:val="22"/>
        </w:rPr>
      </w:pPr>
      <w:r w:rsidRPr="0030358C">
        <w:rPr>
          <w:rFonts w:ascii="Arial" w:hAnsi="Arial" w:cs="Arial"/>
          <w:sz w:val="22"/>
          <w:szCs w:val="22"/>
        </w:rPr>
        <w:lastRenderedPageBreak/>
        <w:t>Část I</w:t>
      </w:r>
    </w:p>
    <w:p w14:paraId="0FFE8B74" w14:textId="77777777" w:rsidR="00A77B3E" w:rsidRPr="0030358C" w:rsidRDefault="00000000">
      <w:pPr>
        <w:pStyle w:val="8"/>
        <w:rPr>
          <w:rFonts w:ascii="Arial" w:hAnsi="Arial" w:cs="Arial"/>
          <w:sz w:val="22"/>
          <w:szCs w:val="22"/>
        </w:rPr>
      </w:pPr>
      <w:r w:rsidRPr="0030358C">
        <w:rPr>
          <w:rFonts w:ascii="Arial" w:hAnsi="Arial" w:cs="Arial"/>
          <w:sz w:val="22"/>
          <w:szCs w:val="22"/>
        </w:rPr>
        <w:t>Dělení vybraných výrobků</w:t>
      </w:r>
    </w:p>
    <w:p w14:paraId="33388ACD" w14:textId="77777777" w:rsidR="00A77B3E" w:rsidRPr="0030358C" w:rsidRDefault="00000000">
      <w:pPr>
        <w:pStyle w:val="32"/>
        <w:rPr>
          <w:rFonts w:ascii="Arial" w:hAnsi="Arial" w:cs="Arial"/>
          <w:sz w:val="22"/>
          <w:szCs w:val="22"/>
        </w:rPr>
      </w:pPr>
      <w:r w:rsidRPr="0030358C">
        <w:rPr>
          <w:rFonts w:ascii="Arial" w:hAnsi="Arial" w:cs="Arial"/>
          <w:sz w:val="22"/>
          <w:szCs w:val="22"/>
        </w:rPr>
        <w:t>Kategorie A</w:t>
      </w:r>
    </w:p>
    <w:p w14:paraId="1B31B404" w14:textId="77777777" w:rsidR="00A77B3E" w:rsidRPr="0030358C" w:rsidRDefault="00000000">
      <w:pPr>
        <w:pStyle w:val="48"/>
        <w:rPr>
          <w:rFonts w:ascii="Arial" w:hAnsi="Arial" w:cs="Arial"/>
          <w:sz w:val="22"/>
          <w:szCs w:val="22"/>
        </w:rPr>
      </w:pPr>
      <w:r w:rsidRPr="0030358C">
        <w:rPr>
          <w:rFonts w:ascii="Arial" w:hAnsi="Arial" w:cs="Arial"/>
          <w:sz w:val="22"/>
          <w:szCs w:val="22"/>
        </w:rPr>
        <w:t>Nátěrové hmoty určené pro budovy, jejich vybavení a příslušenství a s nimi spojené konstrukce, a sloužící k dekorativním, funkčním a ochranným účelům, s výjimkou aerosolů.</w:t>
      </w:r>
    </w:p>
    <w:p w14:paraId="5CD3B340" w14:textId="77777777" w:rsidR="00A77B3E" w:rsidRPr="0030358C" w:rsidRDefault="00000000">
      <w:pPr>
        <w:pStyle w:val="49"/>
        <w:rPr>
          <w:rFonts w:ascii="Arial" w:hAnsi="Arial" w:cs="Arial"/>
          <w:sz w:val="22"/>
          <w:szCs w:val="22"/>
        </w:rPr>
      </w:pPr>
      <w:r w:rsidRPr="0030358C">
        <w:rPr>
          <w:rFonts w:ascii="Arial" w:hAnsi="Arial" w:cs="Arial"/>
          <w:sz w:val="22"/>
          <w:szCs w:val="22"/>
        </w:rPr>
        <w:t>Subkategorie:</w:t>
      </w:r>
    </w:p>
    <w:p w14:paraId="40908820" w14:textId="77777777" w:rsidR="00A77B3E" w:rsidRPr="0030358C" w:rsidRDefault="00000000">
      <w:pPr>
        <w:pStyle w:val="21"/>
        <w:rPr>
          <w:rFonts w:ascii="Arial" w:hAnsi="Arial" w:cs="Arial"/>
          <w:sz w:val="22"/>
          <w:szCs w:val="22"/>
        </w:rPr>
      </w:pPr>
      <w:r w:rsidRPr="0030358C">
        <w:rPr>
          <w:rFonts w:ascii="Arial" w:hAnsi="Arial" w:cs="Arial"/>
          <w:sz w:val="22"/>
          <w:szCs w:val="22"/>
        </w:rPr>
        <w:t>a)    matné nátěrové hmoty pro stěny a stropy v interiéru jsou nátěrové hmoty určené k nanášení na vnitřní stěny a stropy, se stupněm lesku ≤ 25@60°,</w:t>
      </w:r>
    </w:p>
    <w:p w14:paraId="03C3005B" w14:textId="77777777" w:rsidR="00A77B3E" w:rsidRPr="0030358C" w:rsidRDefault="00000000">
      <w:pPr>
        <w:pStyle w:val="22"/>
        <w:rPr>
          <w:rFonts w:ascii="Arial" w:hAnsi="Arial" w:cs="Arial"/>
          <w:sz w:val="22"/>
          <w:szCs w:val="22"/>
        </w:rPr>
      </w:pPr>
      <w:r w:rsidRPr="0030358C">
        <w:rPr>
          <w:rFonts w:ascii="Arial" w:hAnsi="Arial" w:cs="Arial"/>
          <w:sz w:val="22"/>
          <w:szCs w:val="22"/>
        </w:rPr>
        <w:t>b)    lesklé nátěrové hmoty pro stěny a stropy v interiéru jsou nátěrové hmoty určené k nanášení na vnitřní stěny a stropy, se stupněm lesku &gt; 25@60°,</w:t>
      </w:r>
    </w:p>
    <w:p w14:paraId="6AF15688" w14:textId="77777777" w:rsidR="00A77B3E" w:rsidRPr="0030358C" w:rsidRDefault="00000000">
      <w:pPr>
        <w:pStyle w:val="22"/>
        <w:rPr>
          <w:rFonts w:ascii="Arial" w:hAnsi="Arial" w:cs="Arial"/>
          <w:sz w:val="22"/>
          <w:szCs w:val="22"/>
        </w:rPr>
      </w:pPr>
      <w:r w:rsidRPr="0030358C">
        <w:rPr>
          <w:rFonts w:ascii="Arial" w:hAnsi="Arial" w:cs="Arial"/>
          <w:sz w:val="22"/>
          <w:szCs w:val="22"/>
        </w:rPr>
        <w:t>c)    nátěrové hmoty pro venkovní stěny z minerálního podkladu jsou nátěrové hmoty určené k nanášení na vnější zdivo a cihlové, betonové nebo sádrové stěny,</w:t>
      </w:r>
    </w:p>
    <w:p w14:paraId="47919771" w14:textId="77777777" w:rsidR="00A77B3E" w:rsidRPr="0030358C" w:rsidRDefault="00000000">
      <w:pPr>
        <w:pStyle w:val="22"/>
        <w:rPr>
          <w:rFonts w:ascii="Arial" w:hAnsi="Arial" w:cs="Arial"/>
          <w:sz w:val="22"/>
          <w:szCs w:val="22"/>
        </w:rPr>
      </w:pPr>
      <w:r w:rsidRPr="0030358C">
        <w:rPr>
          <w:rFonts w:ascii="Arial" w:hAnsi="Arial" w:cs="Arial"/>
          <w:sz w:val="22"/>
          <w:szCs w:val="22"/>
        </w:rPr>
        <w:t>d)    vnitřní/venkovní nátěrové hmoty na dřevo, kov nebo plasty pro vybavení a obklady budov jsou nátěrové hmoty vytvářející neprůhledný film a jsou určené pro dřevěné, kovové nebo plastové podklady. Tato podkategorie též zahrnuje podkladové nátěrové hmoty a nátěrové hmoty pro mezivrstvy,</w:t>
      </w:r>
    </w:p>
    <w:p w14:paraId="376BA397" w14:textId="77777777" w:rsidR="00A77B3E" w:rsidRPr="0030358C" w:rsidRDefault="00000000">
      <w:pPr>
        <w:pStyle w:val="22"/>
        <w:rPr>
          <w:rFonts w:ascii="Arial" w:hAnsi="Arial" w:cs="Arial"/>
          <w:sz w:val="22"/>
          <w:szCs w:val="22"/>
        </w:rPr>
      </w:pPr>
      <w:r w:rsidRPr="0030358C">
        <w:rPr>
          <w:rFonts w:ascii="Arial" w:hAnsi="Arial" w:cs="Arial"/>
          <w:sz w:val="22"/>
          <w:szCs w:val="22"/>
        </w:rPr>
        <w:t>e)    vnitřní/venkovní laky a mořidla jsou nátěrové hmoty určené k nanášení na budovy a jejich vybavení a vytvářející transparentní nebo polotransparentní film pro účely dekorace nebo ochrany dřeva, kovu a plastů. Tato podkategorie zahrnuje též lazurovací hmoty na dřevo, kterými se rozumějí nátěrové hmoty vytvářející silnovrstvý film a sloužící k dekoraci nebo k ochraně dřeva před povětrnostními vlivy podle normy EN 927-1 (kategorie polostabilní),</w:t>
      </w:r>
    </w:p>
    <w:p w14:paraId="376FB405" w14:textId="77777777" w:rsidR="00A77B3E" w:rsidRPr="0030358C" w:rsidRDefault="00000000">
      <w:pPr>
        <w:pStyle w:val="22"/>
        <w:rPr>
          <w:rFonts w:ascii="Arial" w:hAnsi="Arial" w:cs="Arial"/>
          <w:sz w:val="22"/>
          <w:szCs w:val="22"/>
        </w:rPr>
      </w:pPr>
      <w:r w:rsidRPr="0030358C">
        <w:rPr>
          <w:rFonts w:ascii="Arial" w:hAnsi="Arial" w:cs="Arial"/>
          <w:sz w:val="22"/>
          <w:szCs w:val="22"/>
        </w:rPr>
        <w:t>f)    nefilmotvorná mořidla jsou mořidla, která v souladu s normou EN 927-1:1996 tvoří vrstvu průměrné tloušťky menší než 5 μm, měřeno metodou 5A podle normy ISO 2808:1997,</w:t>
      </w:r>
    </w:p>
    <w:p w14:paraId="5359E753" w14:textId="77777777" w:rsidR="00A77B3E" w:rsidRPr="0030358C" w:rsidRDefault="00000000">
      <w:pPr>
        <w:pStyle w:val="22"/>
        <w:rPr>
          <w:rFonts w:ascii="Arial" w:hAnsi="Arial" w:cs="Arial"/>
          <w:sz w:val="22"/>
          <w:szCs w:val="22"/>
        </w:rPr>
      </w:pPr>
      <w:r w:rsidRPr="0030358C">
        <w:rPr>
          <w:rFonts w:ascii="Arial" w:hAnsi="Arial" w:cs="Arial"/>
          <w:sz w:val="22"/>
          <w:szCs w:val="22"/>
        </w:rPr>
        <w:t>g)    základní nátěrové hmoty jsou nátěrové hmoty s těsnicím a/nebo izolačním účinkem určené k použití na dřevu nebo stěnách a stropech,</w:t>
      </w:r>
    </w:p>
    <w:p w14:paraId="3B0C4E3E" w14:textId="77777777" w:rsidR="00A77B3E" w:rsidRPr="0030358C" w:rsidRDefault="00000000">
      <w:pPr>
        <w:pStyle w:val="22"/>
        <w:rPr>
          <w:rFonts w:ascii="Arial" w:hAnsi="Arial" w:cs="Arial"/>
          <w:sz w:val="22"/>
          <w:szCs w:val="22"/>
        </w:rPr>
      </w:pPr>
      <w:r w:rsidRPr="0030358C">
        <w:rPr>
          <w:rFonts w:ascii="Arial" w:hAnsi="Arial" w:cs="Arial"/>
          <w:sz w:val="22"/>
          <w:szCs w:val="22"/>
        </w:rPr>
        <w:t>h)    penetrační nátěrové hmoty jsou nátěrové hmoty určené ke stabilizaci volných částic podkladu nebo k dosažení hydrofobních vlastností a/nebo k ochraně dřeva proti zmodrání,</w:t>
      </w:r>
    </w:p>
    <w:p w14:paraId="62227A5C" w14:textId="77777777" w:rsidR="00A77B3E" w:rsidRPr="0030358C" w:rsidRDefault="00000000">
      <w:pPr>
        <w:pStyle w:val="22"/>
        <w:rPr>
          <w:rFonts w:ascii="Arial" w:hAnsi="Arial" w:cs="Arial"/>
          <w:sz w:val="22"/>
          <w:szCs w:val="22"/>
        </w:rPr>
      </w:pPr>
      <w:r w:rsidRPr="0030358C">
        <w:rPr>
          <w:rFonts w:ascii="Arial" w:hAnsi="Arial" w:cs="Arial"/>
          <w:sz w:val="22"/>
          <w:szCs w:val="22"/>
        </w:rPr>
        <w:t>i)    jednosložkové speciální nátěrové hmoty jsou nátěrové hmoty se speciální funkcí na bázi filmotvorných látek. Jsou určeny pro aplikace se zvláštními požadavky, jako jsou základní a vrchní nátěry na plasty, základní nátěry na železné podklady, základní nátěry na lehké kovy jako je zinek a hliník, antikorozní nátěry, nátěrové hmoty na podlahy, včetně dřevěných a betonových podlah, ochrana proti graffiti, protipožární nátěry a nátěry odpovídající hygienickým normám v potravinářském průmyslu a ve zdravotnických zařízeních,</w:t>
      </w:r>
    </w:p>
    <w:p w14:paraId="5FBD1375" w14:textId="77777777" w:rsidR="00A77B3E" w:rsidRPr="0030358C" w:rsidRDefault="00000000">
      <w:pPr>
        <w:pStyle w:val="22"/>
        <w:rPr>
          <w:rFonts w:ascii="Arial" w:hAnsi="Arial" w:cs="Arial"/>
          <w:sz w:val="22"/>
          <w:szCs w:val="22"/>
        </w:rPr>
      </w:pPr>
      <w:r w:rsidRPr="0030358C">
        <w:rPr>
          <w:rFonts w:ascii="Arial" w:hAnsi="Arial" w:cs="Arial"/>
          <w:sz w:val="22"/>
          <w:szCs w:val="22"/>
        </w:rPr>
        <w:t>j)    vícesložkové speciální nátěrové hmoty jsou nátěrové hmoty ke stejnému použití jako jednosložkové nátěrové hmoty se speciální funkcí, avšak s druhou složkou (např. terciálními aminy) přidávanou před použitím,</w:t>
      </w:r>
    </w:p>
    <w:p w14:paraId="73A048E4" w14:textId="77777777" w:rsidR="00A77B3E" w:rsidRPr="0030358C" w:rsidRDefault="00000000">
      <w:pPr>
        <w:pStyle w:val="22"/>
        <w:rPr>
          <w:rFonts w:ascii="Arial" w:hAnsi="Arial" w:cs="Arial"/>
          <w:sz w:val="22"/>
          <w:szCs w:val="22"/>
        </w:rPr>
      </w:pPr>
      <w:r w:rsidRPr="0030358C">
        <w:rPr>
          <w:rFonts w:ascii="Arial" w:hAnsi="Arial" w:cs="Arial"/>
          <w:sz w:val="22"/>
          <w:szCs w:val="22"/>
        </w:rPr>
        <w:t>k)    vícebarevné nátěrové hmoty jsou nátěrové hmoty, které přímo při prvním nanesení vytvářejí dvoubarevné nebo vícebarevné efekty,</w:t>
      </w:r>
    </w:p>
    <w:p w14:paraId="6719476A" w14:textId="77777777" w:rsidR="00A77B3E" w:rsidRPr="0030358C" w:rsidRDefault="00000000">
      <w:pPr>
        <w:pStyle w:val="23"/>
        <w:rPr>
          <w:rFonts w:ascii="Arial" w:hAnsi="Arial" w:cs="Arial"/>
          <w:sz w:val="22"/>
          <w:szCs w:val="22"/>
        </w:rPr>
      </w:pPr>
      <w:r w:rsidRPr="0030358C">
        <w:rPr>
          <w:rFonts w:ascii="Arial" w:hAnsi="Arial" w:cs="Arial"/>
          <w:sz w:val="22"/>
          <w:szCs w:val="22"/>
        </w:rPr>
        <w:t>l)    nátěrové hmoty s dekorativními efekty jsou nátěrové hmoty určené k vytváření zvláštních estetických efektů na speciálně upravených, předem natřených podkladech nebo podkladových nátěrech, s následným opracováním různými nástroji během fáze zasychání.</w:t>
      </w:r>
    </w:p>
    <w:p w14:paraId="4FD59F9F" w14:textId="77777777" w:rsidR="00A77B3E" w:rsidRPr="0030358C" w:rsidRDefault="00000000">
      <w:pPr>
        <w:pStyle w:val="32"/>
        <w:rPr>
          <w:rFonts w:ascii="Arial" w:hAnsi="Arial" w:cs="Arial"/>
          <w:sz w:val="22"/>
          <w:szCs w:val="22"/>
        </w:rPr>
      </w:pPr>
      <w:r w:rsidRPr="0030358C">
        <w:rPr>
          <w:rFonts w:ascii="Arial" w:hAnsi="Arial" w:cs="Arial"/>
          <w:sz w:val="22"/>
          <w:szCs w:val="22"/>
        </w:rPr>
        <w:lastRenderedPageBreak/>
        <w:t>Kategorie B</w:t>
      </w:r>
    </w:p>
    <w:p w14:paraId="5159891A" w14:textId="77777777" w:rsidR="00A77B3E" w:rsidRPr="0030358C" w:rsidRDefault="00000000">
      <w:pPr>
        <w:pStyle w:val="48"/>
        <w:rPr>
          <w:rFonts w:ascii="Arial" w:hAnsi="Arial" w:cs="Arial"/>
          <w:sz w:val="22"/>
          <w:szCs w:val="22"/>
        </w:rPr>
      </w:pPr>
      <w:r w:rsidRPr="0030358C">
        <w:rPr>
          <w:rFonts w:ascii="Arial" w:hAnsi="Arial" w:cs="Arial"/>
          <w:sz w:val="22"/>
          <w:szCs w:val="22"/>
        </w:rPr>
        <w:t xml:space="preserve">Výrobky určené pro opravy a přestříkávání silničních vozidel podle směrnice </w:t>
      </w:r>
      <w:hyperlink w:history="1">
        <w:r w:rsidR="00A77B3E" w:rsidRPr="0030358C">
          <w:rPr>
            <w:rFonts w:ascii="Arial" w:hAnsi="Arial" w:cs="Arial"/>
            <w:sz w:val="22"/>
            <w:szCs w:val="22"/>
          </w:rPr>
          <w:t>70/156/EHS</w:t>
        </w:r>
      </w:hyperlink>
      <w:r w:rsidRPr="0030358C">
        <w:rPr>
          <w:rFonts w:ascii="Arial" w:hAnsi="Arial" w:cs="Arial"/>
          <w:sz w:val="22"/>
          <w:szCs w:val="22"/>
        </w:rPr>
        <w:t xml:space="preserve"> nebo jejich částí při jejich opravě, údržbě nebo za účely dekorace prováděné vně výrobních zařízeních.</w:t>
      </w:r>
    </w:p>
    <w:p w14:paraId="72ED8B53" w14:textId="77777777" w:rsidR="00A77B3E" w:rsidRPr="0030358C" w:rsidRDefault="00000000">
      <w:pPr>
        <w:pStyle w:val="49"/>
        <w:rPr>
          <w:rFonts w:ascii="Arial" w:hAnsi="Arial" w:cs="Arial"/>
          <w:sz w:val="22"/>
          <w:szCs w:val="22"/>
        </w:rPr>
      </w:pPr>
      <w:r w:rsidRPr="0030358C">
        <w:rPr>
          <w:rFonts w:ascii="Arial" w:hAnsi="Arial" w:cs="Arial"/>
          <w:sz w:val="22"/>
          <w:szCs w:val="22"/>
        </w:rPr>
        <w:t>Subkategorie:</w:t>
      </w:r>
    </w:p>
    <w:p w14:paraId="1E06EA0A" w14:textId="77777777" w:rsidR="00A77B3E" w:rsidRPr="0030358C" w:rsidRDefault="00000000">
      <w:pPr>
        <w:pStyle w:val="17"/>
        <w:rPr>
          <w:rFonts w:ascii="Arial" w:hAnsi="Arial" w:cs="Arial"/>
          <w:sz w:val="22"/>
          <w:szCs w:val="22"/>
        </w:rPr>
      </w:pPr>
      <w:r w:rsidRPr="0030358C">
        <w:rPr>
          <w:rFonts w:ascii="Arial" w:hAnsi="Arial" w:cs="Arial"/>
          <w:sz w:val="22"/>
          <w:szCs w:val="22"/>
        </w:rPr>
        <w:t>a)    výrobky pro přípravné a čisticí operace jsou výrobky určené k mechanickému nebo chemickému odstraňování starých nátěrů a rzi nebo k přípravě na nanášení nových nátěrů:</w:t>
      </w:r>
    </w:p>
    <w:p w14:paraId="0A4D30EB" w14:textId="77777777" w:rsidR="00A77B3E" w:rsidRPr="0030358C" w:rsidRDefault="00000000">
      <w:pPr>
        <w:pStyle w:val="101"/>
        <w:rPr>
          <w:rFonts w:ascii="Arial" w:hAnsi="Arial" w:cs="Arial"/>
          <w:sz w:val="22"/>
          <w:szCs w:val="22"/>
        </w:rPr>
      </w:pPr>
      <w:r w:rsidRPr="0030358C">
        <w:rPr>
          <w:rFonts w:ascii="Arial" w:hAnsi="Arial" w:cs="Arial"/>
          <w:sz w:val="22"/>
          <w:szCs w:val="22"/>
        </w:rPr>
        <w:t>i)    přípravné prostředky zahrnují čisticí prostředky na nástroje (výrobky určené k čištění stříkacích pistolí a dalších zařízení), odstraňovače nátěrů, odmašťovadla (včetně antistatických činidel pro plasty) a odstraňovače silikonu,</w:t>
      </w:r>
    </w:p>
    <w:p w14:paraId="4E5A4C16" w14:textId="77777777" w:rsidR="00A77B3E" w:rsidRPr="0030358C" w:rsidRDefault="00000000">
      <w:pPr>
        <w:pStyle w:val="102"/>
        <w:rPr>
          <w:rFonts w:ascii="Arial" w:hAnsi="Arial" w:cs="Arial"/>
          <w:sz w:val="22"/>
          <w:szCs w:val="22"/>
        </w:rPr>
      </w:pPr>
      <w:r w:rsidRPr="0030358C">
        <w:rPr>
          <w:rFonts w:ascii="Arial" w:hAnsi="Arial" w:cs="Arial"/>
          <w:sz w:val="22"/>
          <w:szCs w:val="22"/>
        </w:rPr>
        <w:t>ii)    čisticí prostředek je výrobek určený k odstranění povrchových nečistot během příprav na nanášení nátěrových hmot a před jejich nanesením,</w:t>
      </w:r>
    </w:p>
    <w:p w14:paraId="7925C1FA" w14:textId="77777777" w:rsidR="00A77B3E" w:rsidRPr="0030358C" w:rsidRDefault="00000000">
      <w:pPr>
        <w:pStyle w:val="21"/>
        <w:rPr>
          <w:rFonts w:ascii="Arial" w:hAnsi="Arial" w:cs="Arial"/>
          <w:sz w:val="22"/>
          <w:szCs w:val="22"/>
        </w:rPr>
      </w:pPr>
      <w:r w:rsidRPr="0030358C">
        <w:rPr>
          <w:rFonts w:ascii="Arial" w:hAnsi="Arial" w:cs="Arial"/>
          <w:sz w:val="22"/>
          <w:szCs w:val="22"/>
        </w:rPr>
        <w:t>b)    karosářské plniče a tmely jsou viskózní látky určené k vyplnění hlubokých nerovností povrchu před nanesením vyrovnávacího nátěru,</w:t>
      </w:r>
    </w:p>
    <w:p w14:paraId="388F99CB" w14:textId="77777777" w:rsidR="00A77B3E" w:rsidRPr="0030358C" w:rsidRDefault="00000000">
      <w:pPr>
        <w:pStyle w:val="23"/>
        <w:rPr>
          <w:rFonts w:ascii="Arial" w:hAnsi="Arial" w:cs="Arial"/>
          <w:sz w:val="22"/>
          <w:szCs w:val="22"/>
        </w:rPr>
      </w:pPr>
      <w:r w:rsidRPr="0030358C">
        <w:rPr>
          <w:rFonts w:ascii="Arial" w:hAnsi="Arial" w:cs="Arial"/>
          <w:sz w:val="22"/>
          <w:szCs w:val="22"/>
        </w:rPr>
        <w:t>c)    základní nátěrové hmoty jsou veškeré nátěrové hmoty určené k nanášení na holý povrch kovu nebo na existující nátěry jako ochrana proti korozi před nanesením vyrovnávací nátěrové hmoty</w:t>
      </w:r>
    </w:p>
    <w:p w14:paraId="780BD1E4" w14:textId="77777777" w:rsidR="00A77B3E" w:rsidRPr="0030358C" w:rsidRDefault="00000000">
      <w:pPr>
        <w:pStyle w:val="101"/>
        <w:rPr>
          <w:rFonts w:ascii="Arial" w:hAnsi="Arial" w:cs="Arial"/>
          <w:sz w:val="22"/>
          <w:szCs w:val="22"/>
        </w:rPr>
      </w:pPr>
      <w:r w:rsidRPr="0030358C">
        <w:rPr>
          <w:rFonts w:ascii="Arial" w:hAnsi="Arial" w:cs="Arial"/>
          <w:sz w:val="22"/>
          <w:szCs w:val="22"/>
        </w:rPr>
        <w:t>i)    vyrovnávací nátěrové hmoty jsou nátěrové hmoty určené k nanášení bezprostředně před nanesením vrchního nátěru ke zvýšení odolnosti proti korozi a přilnavosti vrchního nátěru a k dosažení rovnoměrné jakosti povrchu vyplněním drobných povrchových nerovností,</w:t>
      </w:r>
    </w:p>
    <w:p w14:paraId="78800D2A" w14:textId="77777777" w:rsidR="00A77B3E" w:rsidRPr="0030358C" w:rsidRDefault="00000000">
      <w:pPr>
        <w:pStyle w:val="103"/>
        <w:rPr>
          <w:rFonts w:ascii="Arial" w:hAnsi="Arial" w:cs="Arial"/>
          <w:sz w:val="22"/>
          <w:szCs w:val="22"/>
        </w:rPr>
      </w:pPr>
      <w:r w:rsidRPr="0030358C">
        <w:rPr>
          <w:rFonts w:ascii="Arial" w:hAnsi="Arial" w:cs="Arial"/>
          <w:sz w:val="22"/>
          <w:szCs w:val="22"/>
        </w:rPr>
        <w:t>ii)    základní nátěrové hmoty na kov jsou nátěrové hmoty určené k nanášení jako základní nátěr, jako jsou promotory přilnavosti, plniče, vyrovnávací nátěrové hmoty, podkladové nátěrové hmoty, základní nátěrové hmoty na plasty, nátěrové hmoty pro nanášení způsobem mokrý do mokrého, plniče neurčené k broušení a stříkací plniče,</w:t>
      </w:r>
    </w:p>
    <w:p w14:paraId="6385EF7A" w14:textId="77777777" w:rsidR="00A77B3E" w:rsidRPr="0030358C" w:rsidRDefault="00000000">
      <w:pPr>
        <w:pStyle w:val="102"/>
        <w:rPr>
          <w:rFonts w:ascii="Arial" w:hAnsi="Arial" w:cs="Arial"/>
          <w:sz w:val="22"/>
          <w:szCs w:val="22"/>
        </w:rPr>
      </w:pPr>
      <w:r w:rsidRPr="0030358C">
        <w:rPr>
          <w:rFonts w:ascii="Arial" w:hAnsi="Arial" w:cs="Arial"/>
          <w:sz w:val="22"/>
          <w:szCs w:val="22"/>
        </w:rPr>
        <w:t>iii)    reaktivní základní nátěrové hmoty jsou nátěrové hmoty obsahující nejméně 0,5 % hmotn. kyseliny fosforečné, určené k přímému nanášení na holý povrch kovu k zajištění odolnosti proti korozi a přilnavosti, nátěrové hmoty používané jako svařitelné základní nátěrové hmoty a mořicí roztoky pro galvanizované a pozinkované povrchy,</w:t>
      </w:r>
    </w:p>
    <w:p w14:paraId="244118D4" w14:textId="77777777" w:rsidR="00A77B3E" w:rsidRPr="0030358C" w:rsidRDefault="00000000">
      <w:pPr>
        <w:pStyle w:val="17"/>
        <w:rPr>
          <w:rFonts w:ascii="Arial" w:hAnsi="Arial" w:cs="Arial"/>
          <w:sz w:val="22"/>
          <w:szCs w:val="22"/>
        </w:rPr>
      </w:pPr>
      <w:r w:rsidRPr="0030358C">
        <w:rPr>
          <w:rFonts w:ascii="Arial" w:hAnsi="Arial" w:cs="Arial"/>
          <w:sz w:val="22"/>
          <w:szCs w:val="22"/>
        </w:rPr>
        <w:t>d)    vrchní nátěrové hmoty jsou pigmentované nátěrové hmoty určené k nanášení v jedné nebo několika vrstvách k dosažení lesku a trvanlivosti; zahrnují veškeré výrobky užívané k těmto účelům, jako jsou podkladové nátěrové hmoty a laky</w:t>
      </w:r>
    </w:p>
    <w:p w14:paraId="70623A01" w14:textId="77777777" w:rsidR="00A77B3E" w:rsidRPr="0030358C" w:rsidRDefault="00000000">
      <w:pPr>
        <w:pStyle w:val="101"/>
        <w:rPr>
          <w:rFonts w:ascii="Arial" w:hAnsi="Arial" w:cs="Arial"/>
          <w:sz w:val="22"/>
          <w:szCs w:val="22"/>
        </w:rPr>
      </w:pPr>
      <w:r w:rsidRPr="0030358C">
        <w:rPr>
          <w:rFonts w:ascii="Arial" w:hAnsi="Arial" w:cs="Arial"/>
          <w:sz w:val="22"/>
          <w:szCs w:val="22"/>
        </w:rPr>
        <w:t>i)    podkladové nátěrové hmoty jsou pigmentované nátěrové hmoty určené k dosažení požadovaných barevných odstínů a optických efektů, avšak nikoli lesku nebo odolnosti povrchu nátěrového systému,</w:t>
      </w:r>
    </w:p>
    <w:p w14:paraId="03583306" w14:textId="77777777" w:rsidR="00A77B3E" w:rsidRPr="0030358C" w:rsidRDefault="00000000">
      <w:pPr>
        <w:pStyle w:val="102"/>
        <w:rPr>
          <w:rFonts w:ascii="Arial" w:hAnsi="Arial" w:cs="Arial"/>
          <w:sz w:val="22"/>
          <w:szCs w:val="22"/>
        </w:rPr>
      </w:pPr>
      <w:r w:rsidRPr="0030358C">
        <w:rPr>
          <w:rFonts w:ascii="Arial" w:hAnsi="Arial" w:cs="Arial"/>
          <w:sz w:val="22"/>
          <w:szCs w:val="22"/>
        </w:rPr>
        <w:t>ii)    laky jsou transparentní nátěrové hmoty určené k vytváření konečného lesku a odolnosti nátěrového systému,</w:t>
      </w:r>
    </w:p>
    <w:p w14:paraId="69AA2DFE" w14:textId="77777777" w:rsidR="00A77B3E" w:rsidRPr="0030358C" w:rsidRDefault="00000000">
      <w:pPr>
        <w:pStyle w:val="17"/>
        <w:rPr>
          <w:rFonts w:ascii="Arial" w:hAnsi="Arial" w:cs="Arial"/>
          <w:sz w:val="22"/>
          <w:szCs w:val="22"/>
        </w:rPr>
      </w:pPr>
      <w:r w:rsidRPr="0030358C">
        <w:rPr>
          <w:rFonts w:ascii="Arial" w:hAnsi="Arial" w:cs="Arial"/>
          <w:sz w:val="22"/>
          <w:szCs w:val="22"/>
        </w:rPr>
        <w:t>e)    speciální vrchní nátěrové hmoty jsou nátěrové hmoty určené k nanášení jako vrchní nátěry se zvláštními vlastnostmi v jediné vrstvě, jako je metalíza a perleťové efekty, dále to jsou vysoce odolné barevné nebo transparentní nátěry (např. nátěry odolné proti poškrábání a fluorované transparentní nátěry), reflexní podkladové nátěry, vrchní nátěry se strukturními efekty (např. tepané efekty), protiskluzové nátěry, plniče na spodky karoserií, ochranné nátěry proti nárazům, nátěry interiérů a aerosoly.</w:t>
      </w:r>
    </w:p>
    <w:p w14:paraId="40B347AF" w14:textId="77777777" w:rsidR="00A77B3E" w:rsidRPr="0030358C" w:rsidRDefault="00000000">
      <w:pPr>
        <w:pStyle w:val="44"/>
        <w:rPr>
          <w:rFonts w:ascii="Arial" w:hAnsi="Arial" w:cs="Arial"/>
          <w:sz w:val="22"/>
          <w:szCs w:val="22"/>
        </w:rPr>
      </w:pPr>
      <w:r w:rsidRPr="0030358C">
        <w:rPr>
          <w:rFonts w:ascii="Arial" w:hAnsi="Arial" w:cs="Arial"/>
          <w:sz w:val="22"/>
          <w:szCs w:val="22"/>
        </w:rPr>
        <w:t>Část II</w:t>
      </w:r>
    </w:p>
    <w:p w14:paraId="38D1D952" w14:textId="77777777" w:rsidR="00A77B3E" w:rsidRPr="0030358C" w:rsidRDefault="00000000">
      <w:pPr>
        <w:pStyle w:val="8"/>
        <w:rPr>
          <w:rFonts w:ascii="Arial" w:hAnsi="Arial" w:cs="Arial"/>
          <w:sz w:val="22"/>
          <w:szCs w:val="22"/>
        </w:rPr>
      </w:pPr>
      <w:r w:rsidRPr="0030358C">
        <w:rPr>
          <w:rFonts w:ascii="Arial" w:hAnsi="Arial" w:cs="Arial"/>
          <w:sz w:val="22"/>
          <w:szCs w:val="22"/>
        </w:rPr>
        <w:lastRenderedPageBreak/>
        <w:t>Limitní hodnoty obsahu těkavých organických látek ve vybraných výrobcích</w:t>
      </w:r>
    </w:p>
    <w:p w14:paraId="658AE2F9" w14:textId="77777777" w:rsidR="00A77B3E" w:rsidRPr="0030358C" w:rsidRDefault="00000000">
      <w:pPr>
        <w:pStyle w:val="46"/>
        <w:rPr>
          <w:rFonts w:ascii="Arial" w:hAnsi="Arial" w:cs="Arial"/>
          <w:szCs w:val="22"/>
        </w:rPr>
      </w:pPr>
      <w:r w:rsidRPr="0030358C">
        <w:rPr>
          <w:rFonts w:ascii="Arial" w:hAnsi="Arial" w:cs="Arial"/>
          <w:szCs w:val="22"/>
        </w:rPr>
        <w:t>1.    Limitní hodnoty obsahu těkavých organických látek pro výrobky spadající pod kategorii A</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26"/>
        <w:gridCol w:w="6472"/>
        <w:gridCol w:w="916"/>
        <w:gridCol w:w="1054"/>
      </w:tblGrid>
      <w:tr w:rsidR="00E40657" w14:paraId="1096D619"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1C324F8A" w14:textId="77777777" w:rsidR="00A77B3E" w:rsidRPr="0030358C" w:rsidRDefault="00A77B3E">
            <w:pPr>
              <w:pStyle w:val="47"/>
              <w:overflowPunct w:val="0"/>
              <w:ind w:left="0"/>
              <w:jc w:val="center"/>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12215E2"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Subkategorie výrobků</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3AE5426"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druh</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1DEEF7F"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 g/l*</w:t>
            </w:r>
          </w:p>
        </w:tc>
      </w:tr>
      <w:tr w:rsidR="00E40657" w14:paraId="68E85456"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05A03369"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a</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6DE0EAB4"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matné nátěrové hmoty pro stěny a stropy v interiéru (stupeň lesku ≤ 25@60°)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898F7F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F6ECE2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30</w:t>
            </w:r>
          </w:p>
        </w:tc>
      </w:tr>
      <w:tr w:rsidR="00E40657" w14:paraId="30450CB9" w14:textId="77777777">
        <w:tc>
          <w:tcPr>
            <w:tcW w:w="0" w:type="auto"/>
            <w:vMerge/>
            <w:tcBorders>
              <w:bottom w:val="single" w:sz="3" w:space="0" w:color="000000"/>
              <w:right w:val="single" w:sz="3" w:space="0" w:color="000000"/>
            </w:tcBorders>
            <w:vAlign w:val="center"/>
            <w:hideMark/>
          </w:tcPr>
          <w:p w14:paraId="33F845BA"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5697CC48"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884CC9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9A95595"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30</w:t>
            </w:r>
          </w:p>
        </w:tc>
      </w:tr>
      <w:tr w:rsidR="00E40657" w14:paraId="6CDD1967"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6405D5A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b</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4EE1FCD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lesklé nátěrové hmoty pro stěny a stropy v interiéru (stupeň lesku &gt; 25@60°)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EAEE05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5E2121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r>
      <w:tr w:rsidR="00E40657" w14:paraId="3AFA229D" w14:textId="77777777">
        <w:tc>
          <w:tcPr>
            <w:tcW w:w="0" w:type="auto"/>
            <w:vMerge/>
            <w:tcBorders>
              <w:bottom w:val="single" w:sz="3" w:space="0" w:color="000000"/>
              <w:right w:val="single" w:sz="3" w:space="0" w:color="000000"/>
            </w:tcBorders>
            <w:vAlign w:val="center"/>
            <w:hideMark/>
          </w:tcPr>
          <w:p w14:paraId="792479D4"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0762AC23"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F72606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1E9374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r>
      <w:tr w:rsidR="00E40657" w14:paraId="5D5C9263"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290EC4FE"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c</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36A80397"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nátěrové hmoty pro venkovní stěny z minerálního podkladu</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69E7DF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9542D5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40</w:t>
            </w:r>
          </w:p>
        </w:tc>
      </w:tr>
      <w:tr w:rsidR="00E40657" w14:paraId="71CD683A" w14:textId="77777777">
        <w:tc>
          <w:tcPr>
            <w:tcW w:w="0" w:type="auto"/>
            <w:vMerge/>
            <w:tcBorders>
              <w:bottom w:val="single" w:sz="3" w:space="0" w:color="000000"/>
              <w:right w:val="single" w:sz="3" w:space="0" w:color="000000"/>
            </w:tcBorders>
            <w:vAlign w:val="center"/>
            <w:hideMark/>
          </w:tcPr>
          <w:p w14:paraId="4368BEC0"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246A9CF9"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914D26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ED87A0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430</w:t>
            </w:r>
          </w:p>
        </w:tc>
      </w:tr>
      <w:tr w:rsidR="00E40657" w14:paraId="27DE7FAE"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7024808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d</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4364178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vnitřní/venkovní nátěrové hmoty na dřevo, kov nebo plasty pro vybavení a obklady budov</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E8924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2418D8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130</w:t>
            </w:r>
          </w:p>
        </w:tc>
      </w:tr>
      <w:tr w:rsidR="00E40657" w14:paraId="3F19F6F5" w14:textId="77777777">
        <w:tc>
          <w:tcPr>
            <w:tcW w:w="0" w:type="auto"/>
            <w:vMerge/>
            <w:tcBorders>
              <w:bottom w:val="single" w:sz="3" w:space="0" w:color="000000"/>
              <w:right w:val="single" w:sz="3" w:space="0" w:color="000000"/>
            </w:tcBorders>
            <w:vAlign w:val="center"/>
            <w:hideMark/>
          </w:tcPr>
          <w:p w14:paraId="1DD50CAF"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11545138"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ABC9B4C"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09E972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300</w:t>
            </w:r>
          </w:p>
        </w:tc>
      </w:tr>
      <w:tr w:rsidR="00E40657" w14:paraId="49C28590"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6223E08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e</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15699ED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vnitřní/venkovní laky a mořidla včetně silnovrstvých lazurovacích hmot na dřevo</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FFF8B5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991CF1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130</w:t>
            </w:r>
          </w:p>
        </w:tc>
      </w:tr>
      <w:tr w:rsidR="00E40657" w14:paraId="2BC4A558" w14:textId="77777777">
        <w:tc>
          <w:tcPr>
            <w:tcW w:w="0" w:type="auto"/>
            <w:vMerge/>
            <w:tcBorders>
              <w:bottom w:val="single" w:sz="3" w:space="0" w:color="000000"/>
              <w:right w:val="single" w:sz="3" w:space="0" w:color="000000"/>
            </w:tcBorders>
            <w:vAlign w:val="center"/>
            <w:hideMark/>
          </w:tcPr>
          <w:p w14:paraId="468AC7D8"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55217DD6"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E568D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BF2C6E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400</w:t>
            </w:r>
          </w:p>
        </w:tc>
      </w:tr>
      <w:tr w:rsidR="00E40657" w14:paraId="0747BFEF"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3207ECD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f</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751700EC"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vnitřní/venkovní nefilmotvorná mořidla</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E8B5CB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371940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130</w:t>
            </w:r>
          </w:p>
        </w:tc>
      </w:tr>
      <w:tr w:rsidR="00E40657" w14:paraId="3F75E3A1" w14:textId="77777777">
        <w:tc>
          <w:tcPr>
            <w:tcW w:w="0" w:type="auto"/>
            <w:vMerge/>
            <w:tcBorders>
              <w:bottom w:val="single" w:sz="3" w:space="0" w:color="000000"/>
              <w:right w:val="single" w:sz="3" w:space="0" w:color="000000"/>
            </w:tcBorders>
            <w:vAlign w:val="center"/>
            <w:hideMark/>
          </w:tcPr>
          <w:p w14:paraId="669AF7EF"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622669EF"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6BAD50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88C751D"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700</w:t>
            </w:r>
          </w:p>
        </w:tc>
      </w:tr>
      <w:tr w:rsidR="00E40657" w14:paraId="002EAC00"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28AA6856"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g</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2C7184B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základní nátěrové hmoty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9FCE8F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68179E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30</w:t>
            </w:r>
          </w:p>
        </w:tc>
      </w:tr>
      <w:tr w:rsidR="00E40657" w14:paraId="18743A26" w14:textId="77777777">
        <w:tc>
          <w:tcPr>
            <w:tcW w:w="0" w:type="auto"/>
            <w:vMerge/>
            <w:tcBorders>
              <w:bottom w:val="single" w:sz="3" w:space="0" w:color="000000"/>
              <w:right w:val="single" w:sz="3" w:space="0" w:color="000000"/>
            </w:tcBorders>
            <w:vAlign w:val="center"/>
            <w:hideMark/>
          </w:tcPr>
          <w:p w14:paraId="19893300"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3F7646EA"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8B64E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9AA61BB"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350</w:t>
            </w:r>
          </w:p>
        </w:tc>
      </w:tr>
      <w:tr w:rsidR="00E40657" w14:paraId="7DCA2ADF"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3DE776FB"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h</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73CC575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penetrační nátěrové hmoty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13FB4D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4098F4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30</w:t>
            </w:r>
          </w:p>
        </w:tc>
      </w:tr>
      <w:tr w:rsidR="00E40657" w14:paraId="360F201B" w14:textId="77777777">
        <w:tc>
          <w:tcPr>
            <w:tcW w:w="0" w:type="auto"/>
            <w:vMerge/>
            <w:tcBorders>
              <w:bottom w:val="single" w:sz="3" w:space="0" w:color="000000"/>
              <w:right w:val="single" w:sz="3" w:space="0" w:color="000000"/>
            </w:tcBorders>
            <w:vAlign w:val="center"/>
            <w:hideMark/>
          </w:tcPr>
          <w:p w14:paraId="4FDBAC6C"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39728C1E"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A762F6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305F18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750</w:t>
            </w:r>
          </w:p>
        </w:tc>
      </w:tr>
      <w:tr w:rsidR="00E40657" w14:paraId="68BF6B09"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7D4F8CC3"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i</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6FD816B0"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jednosložkové nátěrové hmoty se speciální funkcí</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FEB55E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24B2B0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140</w:t>
            </w:r>
          </w:p>
        </w:tc>
      </w:tr>
      <w:tr w:rsidR="00E40657" w14:paraId="1AA754D8" w14:textId="77777777">
        <w:tc>
          <w:tcPr>
            <w:tcW w:w="0" w:type="auto"/>
            <w:vMerge/>
            <w:tcBorders>
              <w:bottom w:val="single" w:sz="3" w:space="0" w:color="000000"/>
              <w:right w:val="single" w:sz="3" w:space="0" w:color="000000"/>
            </w:tcBorders>
            <w:vAlign w:val="center"/>
            <w:hideMark/>
          </w:tcPr>
          <w:p w14:paraId="127A25E5"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730C6BB3"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8CA3F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47C2BC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500</w:t>
            </w:r>
          </w:p>
        </w:tc>
      </w:tr>
      <w:tr w:rsidR="00E40657" w14:paraId="3C6D6A03"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206EB21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j</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51B405F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vícesložkové reaktivní nátěrové hmoty se speciální funkcí pro specifické účely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5578C6"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407059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140</w:t>
            </w:r>
          </w:p>
        </w:tc>
      </w:tr>
      <w:tr w:rsidR="00E40657" w14:paraId="13C1D4E1" w14:textId="77777777">
        <w:tc>
          <w:tcPr>
            <w:tcW w:w="0" w:type="auto"/>
            <w:vMerge/>
            <w:tcBorders>
              <w:bottom w:val="single" w:sz="3" w:space="0" w:color="000000"/>
              <w:right w:val="single" w:sz="3" w:space="0" w:color="000000"/>
            </w:tcBorders>
            <w:vAlign w:val="center"/>
            <w:hideMark/>
          </w:tcPr>
          <w:p w14:paraId="4C88D9DE"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391AFF40"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BF1FC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E32F3D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500</w:t>
            </w:r>
          </w:p>
        </w:tc>
      </w:tr>
      <w:tr w:rsidR="00E40657" w14:paraId="4FDD4C4C"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0E1077A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k</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28CC340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vícebarevné nátěrové hmoty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CF537B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666C69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r>
      <w:tr w:rsidR="00E40657" w14:paraId="6E5C6008" w14:textId="77777777">
        <w:tc>
          <w:tcPr>
            <w:tcW w:w="0" w:type="auto"/>
            <w:vMerge/>
            <w:tcBorders>
              <w:bottom w:val="single" w:sz="3" w:space="0" w:color="000000"/>
              <w:right w:val="single" w:sz="3" w:space="0" w:color="000000"/>
            </w:tcBorders>
            <w:vAlign w:val="center"/>
            <w:hideMark/>
          </w:tcPr>
          <w:p w14:paraId="77C4D759"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55866612"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0069A6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85D4CE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100</w:t>
            </w:r>
          </w:p>
        </w:tc>
      </w:tr>
      <w:tr w:rsidR="00E40657" w14:paraId="3D9EDD5E"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68DD077E"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l</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02755EE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nátěrové hmoty s dekorativními efekty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C61CCE"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VŘNH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A4BEBB9"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200</w:t>
            </w:r>
          </w:p>
        </w:tc>
      </w:tr>
      <w:tr w:rsidR="00E40657" w14:paraId="252AB7F0" w14:textId="77777777">
        <w:tc>
          <w:tcPr>
            <w:tcW w:w="0" w:type="auto"/>
            <w:vMerge/>
            <w:tcBorders>
              <w:bottom w:val="single" w:sz="3" w:space="0" w:color="000000"/>
              <w:right w:val="single" w:sz="3" w:space="0" w:color="000000"/>
            </w:tcBorders>
            <w:vAlign w:val="center"/>
            <w:hideMark/>
          </w:tcPr>
          <w:p w14:paraId="129F2BBA"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7F5D4A78"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8FEDDDF"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RNH</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4928CA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200</w:t>
            </w:r>
          </w:p>
        </w:tc>
      </w:tr>
      <w:tr w:rsidR="00E40657" w14:paraId="79C54D9C" w14:textId="77777777">
        <w:tc>
          <w:tcPr>
            <w:tcW w:w="0" w:type="auto"/>
            <w:gridSpan w:val="4"/>
            <w:tcBorders>
              <w:top w:val="single" w:sz="3" w:space="0" w:color="000000"/>
              <w:bottom w:val="single" w:sz="16" w:space="0" w:color="000000"/>
            </w:tcBorders>
            <w:tcMar>
              <w:top w:w="85" w:type="dxa"/>
              <w:left w:w="157" w:type="dxa"/>
              <w:bottom w:w="85" w:type="dxa"/>
              <w:right w:w="157" w:type="dxa"/>
            </w:tcMar>
            <w:vAlign w:val="center"/>
            <w:hideMark/>
          </w:tcPr>
          <w:p w14:paraId="72DF40C9"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lastRenderedPageBreak/>
              <w:t>Vysvětlivky:</w:t>
            </w:r>
            <w:r w:rsidRPr="0030358C">
              <w:rPr>
                <w:rFonts w:ascii="Arial" w:hAnsi="Arial" w:cs="Arial"/>
                <w:sz w:val="22"/>
                <w:szCs w:val="22"/>
              </w:rPr>
              <w:br/>
              <w:t>*) obsah těkavých organických látek ve výrobku připraveném k použití.</w:t>
            </w:r>
            <w:r w:rsidRPr="0030358C">
              <w:rPr>
                <w:rFonts w:ascii="Arial" w:hAnsi="Arial" w:cs="Arial"/>
                <w:sz w:val="22"/>
                <w:szCs w:val="22"/>
              </w:rPr>
              <w:br/>
            </w:r>
            <w:r w:rsidRPr="0030358C">
              <w:rPr>
                <w:rFonts w:ascii="Arial" w:hAnsi="Arial" w:cs="Arial"/>
                <w:sz w:val="22"/>
                <w:szCs w:val="22"/>
              </w:rPr>
              <w:br/>
              <w:t>VŘNH - vodou ředitelné nátěrové hmoty</w:t>
            </w:r>
            <w:r w:rsidRPr="0030358C">
              <w:rPr>
                <w:rFonts w:ascii="Arial" w:hAnsi="Arial" w:cs="Arial"/>
                <w:sz w:val="22"/>
                <w:szCs w:val="22"/>
              </w:rPr>
              <w:br/>
              <w:t>RNH - rozpouštědlové nátěrové hmoty</w:t>
            </w:r>
          </w:p>
        </w:tc>
      </w:tr>
    </w:tbl>
    <w:p w14:paraId="213F5DC6" w14:textId="77777777" w:rsidR="00A77B3E" w:rsidRPr="0030358C" w:rsidRDefault="00A77B3E">
      <w:pPr>
        <w:pStyle w:val="47"/>
        <w:rPr>
          <w:rFonts w:ascii="Arial" w:hAnsi="Arial" w:cs="Arial"/>
          <w:sz w:val="22"/>
          <w:szCs w:val="22"/>
        </w:rPr>
      </w:pPr>
    </w:p>
    <w:p w14:paraId="16FD3166" w14:textId="77777777" w:rsidR="00A77B3E" w:rsidRPr="0030358C" w:rsidRDefault="00000000">
      <w:pPr>
        <w:pStyle w:val="46"/>
        <w:rPr>
          <w:rFonts w:ascii="Arial" w:hAnsi="Arial" w:cs="Arial"/>
          <w:szCs w:val="22"/>
        </w:rPr>
      </w:pPr>
      <w:r w:rsidRPr="0030358C">
        <w:rPr>
          <w:rFonts w:ascii="Arial" w:hAnsi="Arial" w:cs="Arial"/>
          <w:szCs w:val="22"/>
        </w:rPr>
        <w:t>2.    Limitní hodnoty obsahu těkavých organických látek pro výrobky spadající pod kategorii B</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85"/>
        <w:gridCol w:w="3100"/>
        <w:gridCol w:w="4148"/>
        <w:gridCol w:w="1135"/>
      </w:tblGrid>
      <w:tr w:rsidR="00E40657" w14:paraId="5E061A0F"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5CDFF0" w14:textId="77777777" w:rsidR="00A77B3E" w:rsidRPr="0030358C" w:rsidRDefault="00A77B3E">
            <w:pPr>
              <w:pStyle w:val="47"/>
              <w:overflowPunct w:val="0"/>
              <w:ind w:left="0"/>
              <w:jc w:val="center"/>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807B169"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Subkategorie výrobků</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A2DDDF7"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Výrobky</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5CA917E2" w14:textId="77777777" w:rsidR="00A77B3E" w:rsidRPr="0030358C" w:rsidRDefault="00000000">
            <w:pPr>
              <w:pStyle w:val="47"/>
              <w:overflowPunct w:val="0"/>
              <w:ind w:left="0"/>
              <w:jc w:val="center"/>
              <w:rPr>
                <w:rFonts w:ascii="Arial" w:hAnsi="Arial" w:cs="Arial"/>
                <w:b/>
                <w:bCs/>
                <w:sz w:val="22"/>
                <w:szCs w:val="22"/>
              </w:rPr>
            </w:pPr>
            <w:r w:rsidRPr="0030358C">
              <w:rPr>
                <w:rFonts w:ascii="Arial" w:hAnsi="Arial" w:cs="Arial"/>
                <w:b/>
                <w:bCs/>
                <w:sz w:val="22"/>
                <w:szCs w:val="22"/>
              </w:rPr>
              <w:t>VOC g/l*)</w:t>
            </w:r>
          </w:p>
        </w:tc>
      </w:tr>
      <w:tr w:rsidR="00E40657" w14:paraId="4DA54E3B"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2B228CF0"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a</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6785A4B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výrobky pro přípravné a čisticí operace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D0CA593"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přípravné prostředky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938A882"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850</w:t>
            </w:r>
          </w:p>
        </w:tc>
      </w:tr>
      <w:tr w:rsidR="00E40657" w14:paraId="4341DA58" w14:textId="77777777">
        <w:tc>
          <w:tcPr>
            <w:tcW w:w="0" w:type="auto"/>
            <w:vMerge/>
            <w:tcBorders>
              <w:bottom w:val="single" w:sz="3" w:space="0" w:color="000000"/>
              <w:right w:val="single" w:sz="3" w:space="0" w:color="000000"/>
            </w:tcBorders>
            <w:vAlign w:val="center"/>
            <w:hideMark/>
          </w:tcPr>
          <w:p w14:paraId="59B70074"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5C9945DE"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1A4CC8"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čisticí prostředky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F008D84"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200</w:t>
            </w:r>
          </w:p>
        </w:tc>
      </w:tr>
      <w:tr w:rsidR="00E40657" w14:paraId="0C950581"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0623031"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b</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1DFB9E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karosářské plniče a tmely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EC3859"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všechny druhy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73A8F37"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250</w:t>
            </w:r>
          </w:p>
        </w:tc>
      </w:tr>
      <w:tr w:rsidR="00E40657" w14:paraId="0FA8A311"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4C00D52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c</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56FDB78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základní nátěrové hmoty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76434E"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vyrovnávací nátěrové hmoty a základní nátěrové hmoty (na kov)</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A00E6F1"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540</w:t>
            </w:r>
          </w:p>
        </w:tc>
      </w:tr>
      <w:tr w:rsidR="00E40657" w14:paraId="311D38E7" w14:textId="77777777">
        <w:tc>
          <w:tcPr>
            <w:tcW w:w="0" w:type="auto"/>
            <w:vMerge/>
            <w:tcBorders>
              <w:bottom w:val="single" w:sz="3" w:space="0" w:color="000000"/>
              <w:right w:val="single" w:sz="3" w:space="0" w:color="000000"/>
            </w:tcBorders>
            <w:vAlign w:val="center"/>
            <w:hideMark/>
          </w:tcPr>
          <w:p w14:paraId="53846BDC" w14:textId="77777777" w:rsidR="00A77B3E" w:rsidRPr="0030358C" w:rsidRDefault="00A77B3E">
            <w:pPr>
              <w:overflowPunct w:val="0"/>
              <w:rPr>
                <w:rFonts w:ascii="Arial" w:hAnsi="Arial" w:cs="Arial"/>
                <w:sz w:val="22"/>
                <w:szCs w:val="22"/>
              </w:rPr>
            </w:pPr>
          </w:p>
        </w:tc>
        <w:tc>
          <w:tcPr>
            <w:tcW w:w="0" w:type="auto"/>
            <w:vMerge/>
            <w:tcBorders>
              <w:left w:val="single" w:sz="3" w:space="0" w:color="000000"/>
              <w:bottom w:val="single" w:sz="3" w:space="0" w:color="000000"/>
              <w:right w:val="single" w:sz="3" w:space="0" w:color="000000"/>
            </w:tcBorders>
            <w:vAlign w:val="center"/>
            <w:hideMark/>
          </w:tcPr>
          <w:p w14:paraId="1A2AC8F7" w14:textId="77777777" w:rsidR="00A77B3E" w:rsidRPr="0030358C" w:rsidRDefault="00A77B3E">
            <w:pPr>
              <w:overflowPunct w:val="0"/>
              <w:rPr>
                <w:rFonts w:ascii="Arial" w:hAnsi="Arial" w:cs="Arial"/>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66C70BD"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reaktivní základní nátěrové hmoty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92DE7AA"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780</w:t>
            </w:r>
          </w:p>
        </w:tc>
      </w:tr>
      <w:tr w:rsidR="00E40657" w14:paraId="360967D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91CCF1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d</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41384F"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vrchní nátěrové hmoty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E1A2D2D"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všechny druhy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D440890"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420</w:t>
            </w:r>
          </w:p>
        </w:tc>
      </w:tr>
      <w:tr w:rsidR="00E40657" w14:paraId="79ADE06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1E14965"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e</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AC97A90"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speciální vrchní nátěrové hmoty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6FBC1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všechny druhy</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F9030D3" w14:textId="77777777" w:rsidR="00A77B3E" w:rsidRPr="0030358C" w:rsidRDefault="00000000">
            <w:pPr>
              <w:pStyle w:val="47"/>
              <w:overflowPunct w:val="0"/>
              <w:ind w:left="0"/>
              <w:jc w:val="center"/>
              <w:rPr>
                <w:rFonts w:ascii="Arial" w:hAnsi="Arial" w:cs="Arial"/>
                <w:sz w:val="22"/>
                <w:szCs w:val="22"/>
              </w:rPr>
            </w:pPr>
            <w:r w:rsidRPr="0030358C">
              <w:rPr>
                <w:rFonts w:ascii="Arial" w:hAnsi="Arial" w:cs="Arial"/>
                <w:sz w:val="22"/>
                <w:szCs w:val="22"/>
              </w:rPr>
              <w:t>840</w:t>
            </w:r>
          </w:p>
        </w:tc>
      </w:tr>
      <w:tr w:rsidR="00E40657" w14:paraId="2A5271C3" w14:textId="77777777">
        <w:tc>
          <w:tcPr>
            <w:tcW w:w="0" w:type="auto"/>
            <w:gridSpan w:val="4"/>
            <w:tcBorders>
              <w:top w:val="single" w:sz="3" w:space="0" w:color="000000"/>
              <w:bottom w:val="single" w:sz="16" w:space="0" w:color="000000"/>
            </w:tcBorders>
            <w:tcMar>
              <w:top w:w="85" w:type="dxa"/>
              <w:left w:w="157" w:type="dxa"/>
              <w:bottom w:w="85" w:type="dxa"/>
              <w:right w:w="157" w:type="dxa"/>
            </w:tcMar>
            <w:vAlign w:val="center"/>
            <w:hideMark/>
          </w:tcPr>
          <w:p w14:paraId="1E86896A" w14:textId="77777777" w:rsidR="00A77B3E" w:rsidRPr="0030358C" w:rsidRDefault="00000000">
            <w:pPr>
              <w:pStyle w:val="47"/>
              <w:overflowPunct w:val="0"/>
              <w:ind w:left="0"/>
              <w:jc w:val="left"/>
              <w:rPr>
                <w:rFonts w:ascii="Arial" w:hAnsi="Arial" w:cs="Arial"/>
                <w:sz w:val="22"/>
                <w:szCs w:val="22"/>
              </w:rPr>
            </w:pPr>
            <w:r w:rsidRPr="0030358C">
              <w:rPr>
                <w:rFonts w:ascii="Arial" w:hAnsi="Arial" w:cs="Arial"/>
                <w:sz w:val="22"/>
                <w:szCs w:val="22"/>
              </w:rPr>
              <w:t>Vysvětlivka:</w:t>
            </w:r>
            <w:r w:rsidRPr="0030358C">
              <w:rPr>
                <w:rFonts w:ascii="Arial" w:hAnsi="Arial" w:cs="Arial"/>
                <w:sz w:val="22"/>
                <w:szCs w:val="22"/>
              </w:rPr>
              <w:br/>
              <w:t>*) obsah těkavých organických látek ve výrobku připraveném k použití. Případný obsah vody ve výrobku připraveném k použití se odečte, s výjimkou výrobků v subkategorii a.</w:t>
            </w:r>
          </w:p>
        </w:tc>
      </w:tr>
    </w:tbl>
    <w:p w14:paraId="37E31FE8" w14:textId="77777777" w:rsidR="00A77B3E" w:rsidRPr="0030358C" w:rsidRDefault="00A77B3E">
      <w:pPr>
        <w:pStyle w:val="47"/>
        <w:rPr>
          <w:rFonts w:ascii="Arial" w:hAnsi="Arial" w:cs="Arial"/>
          <w:sz w:val="22"/>
          <w:szCs w:val="22"/>
        </w:rPr>
      </w:pPr>
    </w:p>
    <w:p w14:paraId="1F4BC77F" w14:textId="77777777" w:rsidR="00A77B3E" w:rsidRPr="0030358C" w:rsidRDefault="00000000">
      <w:pPr>
        <w:pStyle w:val="44"/>
        <w:rPr>
          <w:rFonts w:ascii="Arial" w:hAnsi="Arial" w:cs="Arial"/>
          <w:sz w:val="22"/>
          <w:szCs w:val="22"/>
        </w:rPr>
      </w:pPr>
      <w:r w:rsidRPr="0030358C">
        <w:rPr>
          <w:rFonts w:ascii="Arial" w:hAnsi="Arial" w:cs="Arial"/>
          <w:sz w:val="22"/>
          <w:szCs w:val="22"/>
        </w:rPr>
        <w:t>Část III</w:t>
      </w:r>
    </w:p>
    <w:p w14:paraId="3931202A" w14:textId="77777777" w:rsidR="00A77B3E" w:rsidRPr="0030358C" w:rsidRDefault="00000000">
      <w:pPr>
        <w:pStyle w:val="8"/>
        <w:rPr>
          <w:rFonts w:ascii="Arial" w:hAnsi="Arial" w:cs="Arial"/>
          <w:sz w:val="22"/>
          <w:szCs w:val="22"/>
        </w:rPr>
      </w:pPr>
      <w:r w:rsidRPr="0030358C">
        <w:rPr>
          <w:rFonts w:ascii="Arial" w:hAnsi="Arial" w:cs="Arial"/>
          <w:sz w:val="22"/>
          <w:szCs w:val="22"/>
        </w:rPr>
        <w:t>Analytické metody pro stanovení obsahu těkavých organických látek ve vybraných výrobcích</w:t>
      </w:r>
    </w:p>
    <w:p w14:paraId="2CABBA9C" w14:textId="77777777" w:rsidR="00A77B3E" w:rsidRPr="0030358C" w:rsidRDefault="00000000">
      <w:pPr>
        <w:pStyle w:val="16"/>
        <w:rPr>
          <w:rFonts w:ascii="Arial" w:hAnsi="Arial" w:cs="Arial"/>
          <w:sz w:val="22"/>
          <w:szCs w:val="22"/>
        </w:rPr>
      </w:pPr>
      <w:r w:rsidRPr="0030358C">
        <w:rPr>
          <w:rFonts w:ascii="Arial" w:hAnsi="Arial" w:cs="Arial"/>
          <w:sz w:val="22"/>
          <w:szCs w:val="22"/>
        </w:rPr>
        <w:t>Povolené metody pro výrobky o obsahu VOC nižším než 15 % hmotnostních bez přítomnosti reaktivních ředidel</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490"/>
        <w:gridCol w:w="1280"/>
        <w:gridCol w:w="2872"/>
        <w:gridCol w:w="2136"/>
      </w:tblGrid>
      <w:tr w:rsidR="00E40657" w14:paraId="1C877F73"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5322B3DC"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Parametr</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55AD9CF"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Jednotky</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962C0B4"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Zkouška</w:t>
            </w:r>
          </w:p>
        </w:tc>
      </w:tr>
      <w:tr w:rsidR="00E40657" w14:paraId="3AA39753" w14:textId="77777777">
        <w:tc>
          <w:tcPr>
            <w:tcW w:w="0" w:type="auto"/>
            <w:vMerge/>
            <w:tcBorders>
              <w:left w:val="single" w:sz="12" w:space="0" w:color="000000"/>
              <w:bottom w:val="single" w:sz="12" w:space="0" w:color="000000"/>
              <w:right w:val="single" w:sz="12" w:space="0" w:color="000000"/>
            </w:tcBorders>
            <w:vAlign w:val="center"/>
            <w:hideMark/>
          </w:tcPr>
          <w:p w14:paraId="15313240" w14:textId="77777777" w:rsidR="00A77B3E" w:rsidRPr="0030358C" w:rsidRDefault="00A77B3E">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1B618211"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6C77E3A"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Metoda</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E422574"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Datum zveřejnění</w:t>
            </w:r>
          </w:p>
        </w:tc>
      </w:tr>
      <w:tr w:rsidR="00E40657" w14:paraId="6C13E590"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30F1303B"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Obsah VOC</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FD4228C"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g/l</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83E29E6"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ČSN ISO EN ISO 11890-2</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3DA62FB"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2006</w:t>
            </w:r>
          </w:p>
        </w:tc>
      </w:tr>
    </w:tbl>
    <w:p w14:paraId="525AAFDC" w14:textId="77777777" w:rsidR="00A77B3E" w:rsidRPr="0030358C" w:rsidRDefault="00A77B3E">
      <w:pPr>
        <w:pStyle w:val="16"/>
        <w:rPr>
          <w:rFonts w:ascii="Arial" w:hAnsi="Arial" w:cs="Arial"/>
          <w:sz w:val="22"/>
          <w:szCs w:val="22"/>
        </w:rPr>
      </w:pPr>
    </w:p>
    <w:p w14:paraId="7C197026" w14:textId="77777777" w:rsidR="00A77B3E" w:rsidRPr="0030358C" w:rsidRDefault="00000000">
      <w:pPr>
        <w:pStyle w:val="16"/>
        <w:rPr>
          <w:rFonts w:ascii="Arial" w:hAnsi="Arial" w:cs="Arial"/>
          <w:sz w:val="22"/>
          <w:szCs w:val="22"/>
        </w:rPr>
      </w:pPr>
      <w:r w:rsidRPr="0030358C">
        <w:rPr>
          <w:rFonts w:ascii="Arial" w:hAnsi="Arial" w:cs="Arial"/>
          <w:sz w:val="22"/>
          <w:szCs w:val="22"/>
        </w:rPr>
        <w:t>Povolené metody pro výrobky o obsahu VOC 15 % hmotnostních a více bez přítomnosti reaktivních ředidel</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490"/>
        <w:gridCol w:w="1280"/>
        <w:gridCol w:w="2872"/>
        <w:gridCol w:w="2136"/>
      </w:tblGrid>
      <w:tr w:rsidR="00E40657" w14:paraId="36899AB6"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6F04ADA"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Parametr</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7B748082"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Jednotky</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F72EA0C"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Zkouška</w:t>
            </w:r>
          </w:p>
        </w:tc>
      </w:tr>
      <w:tr w:rsidR="00E40657" w14:paraId="5015150F" w14:textId="77777777">
        <w:tc>
          <w:tcPr>
            <w:tcW w:w="0" w:type="auto"/>
            <w:vMerge/>
            <w:tcBorders>
              <w:left w:val="single" w:sz="12" w:space="0" w:color="000000"/>
              <w:bottom w:val="single" w:sz="12" w:space="0" w:color="000000"/>
              <w:right w:val="single" w:sz="12" w:space="0" w:color="000000"/>
            </w:tcBorders>
            <w:vAlign w:val="center"/>
            <w:hideMark/>
          </w:tcPr>
          <w:p w14:paraId="5801157A" w14:textId="77777777" w:rsidR="00A77B3E" w:rsidRPr="0030358C" w:rsidRDefault="00A77B3E">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3CA1CF99"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6A5F81A"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Metoda</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82BB6EA"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Datum zveřejnění</w:t>
            </w:r>
          </w:p>
        </w:tc>
      </w:tr>
      <w:tr w:rsidR="00E40657" w14:paraId="28EF1BA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3D5C96C"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lastRenderedPageBreak/>
              <w:t>Obsah VOC</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B9D206E"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g/l</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F200E3"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ČSN ISO EN ISO 11890-1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018F802"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2007</w:t>
            </w:r>
          </w:p>
        </w:tc>
      </w:tr>
      <w:tr w:rsidR="00E40657" w14:paraId="7079FCBB"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8048E9C"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Obsah VOC</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1DFF8AC"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g/l</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853BE04"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ČSN ISO EN ISO 11890-2</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6FAD8FFE"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2006</w:t>
            </w:r>
          </w:p>
        </w:tc>
      </w:tr>
    </w:tbl>
    <w:p w14:paraId="12E17CB6" w14:textId="77777777" w:rsidR="00A77B3E" w:rsidRPr="0030358C" w:rsidRDefault="00A77B3E">
      <w:pPr>
        <w:pStyle w:val="16"/>
        <w:rPr>
          <w:rFonts w:ascii="Arial" w:hAnsi="Arial" w:cs="Arial"/>
          <w:sz w:val="22"/>
          <w:szCs w:val="22"/>
        </w:rPr>
      </w:pPr>
    </w:p>
    <w:p w14:paraId="6F79FF72" w14:textId="77777777" w:rsidR="00A77B3E" w:rsidRPr="0030358C" w:rsidRDefault="00000000">
      <w:pPr>
        <w:pStyle w:val="16"/>
        <w:rPr>
          <w:rFonts w:ascii="Arial" w:hAnsi="Arial" w:cs="Arial"/>
          <w:sz w:val="22"/>
          <w:szCs w:val="22"/>
        </w:rPr>
      </w:pPr>
      <w:r w:rsidRPr="0030358C">
        <w:rPr>
          <w:rFonts w:ascii="Arial" w:hAnsi="Arial" w:cs="Arial"/>
          <w:sz w:val="22"/>
          <w:szCs w:val="22"/>
        </w:rPr>
        <w:t>Povolené metody pro výrobky obsahující VOC za přítomnosti reaktivních ředidel</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1490"/>
        <w:gridCol w:w="1280"/>
        <w:gridCol w:w="1613"/>
        <w:gridCol w:w="2136"/>
      </w:tblGrid>
      <w:tr w:rsidR="00E40657" w14:paraId="5AAE0B88" w14:textId="77777777">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3649B47F"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Parametr</w:t>
            </w:r>
          </w:p>
        </w:tc>
        <w:tc>
          <w:tcPr>
            <w:tcW w:w="0" w:type="auto"/>
            <w:vMerge w:val="restart"/>
            <w:tcBorders>
              <w:top w:val="single" w:sz="12" w:space="0" w:color="000000"/>
              <w:left w:val="single" w:sz="12" w:space="0" w:color="000000"/>
              <w:right w:val="single" w:sz="12" w:space="0" w:color="000000"/>
            </w:tcBorders>
            <w:tcMar>
              <w:top w:w="85" w:type="dxa"/>
              <w:left w:w="157" w:type="dxa"/>
              <w:bottom w:w="85" w:type="dxa"/>
              <w:right w:w="157" w:type="dxa"/>
            </w:tcMar>
            <w:vAlign w:val="center"/>
            <w:hideMark/>
          </w:tcPr>
          <w:p w14:paraId="449E3E2F"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Jednotky</w:t>
            </w:r>
          </w:p>
        </w:tc>
        <w:tc>
          <w:tcPr>
            <w:tcW w:w="0" w:type="auto"/>
            <w:gridSpan w:val="2"/>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5C466F2"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Zkouška</w:t>
            </w:r>
          </w:p>
        </w:tc>
      </w:tr>
      <w:tr w:rsidR="00E40657" w14:paraId="5B25D0E9" w14:textId="77777777">
        <w:tc>
          <w:tcPr>
            <w:tcW w:w="0" w:type="auto"/>
            <w:vMerge/>
            <w:tcBorders>
              <w:left w:val="single" w:sz="12" w:space="0" w:color="000000"/>
              <w:bottom w:val="single" w:sz="12" w:space="0" w:color="000000"/>
              <w:right w:val="single" w:sz="12" w:space="0" w:color="000000"/>
            </w:tcBorders>
            <w:vAlign w:val="center"/>
            <w:hideMark/>
          </w:tcPr>
          <w:p w14:paraId="61FD5465" w14:textId="77777777" w:rsidR="00A77B3E" w:rsidRPr="0030358C" w:rsidRDefault="00A77B3E">
            <w:pPr>
              <w:overflowPunct w:val="0"/>
              <w:rPr>
                <w:rFonts w:ascii="Arial" w:hAnsi="Arial" w:cs="Arial"/>
                <w:b/>
                <w:bCs/>
                <w:sz w:val="22"/>
                <w:szCs w:val="22"/>
              </w:rPr>
            </w:pPr>
          </w:p>
        </w:tc>
        <w:tc>
          <w:tcPr>
            <w:tcW w:w="0" w:type="auto"/>
            <w:vMerge/>
            <w:tcBorders>
              <w:left w:val="single" w:sz="12" w:space="0" w:color="000000"/>
              <w:bottom w:val="single" w:sz="12" w:space="0" w:color="000000"/>
              <w:right w:val="single" w:sz="12" w:space="0" w:color="000000"/>
            </w:tcBorders>
            <w:vAlign w:val="center"/>
            <w:hideMark/>
          </w:tcPr>
          <w:p w14:paraId="4E9B876C" w14:textId="77777777" w:rsidR="00A77B3E" w:rsidRPr="0030358C" w:rsidRDefault="00A77B3E">
            <w:pPr>
              <w:overflowPunct w:val="0"/>
              <w:rPr>
                <w:rFonts w:ascii="Arial" w:hAnsi="Arial" w:cs="Arial"/>
                <w:b/>
                <w:bCs/>
                <w:sz w:val="22"/>
                <w:szCs w:val="22"/>
              </w:rPr>
            </w:pP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FA7272E"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Metoda</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0A96ED9A"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Datum zveřejnění</w:t>
            </w:r>
          </w:p>
        </w:tc>
      </w:tr>
      <w:tr w:rsidR="00E40657" w14:paraId="7AF3EF5A"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4CC5BAD"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Obsah VOC</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EE5DE4E"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g/l</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38E23BD"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ASTMD 2369</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4EFDD57D"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2003</w:t>
            </w:r>
          </w:p>
        </w:tc>
      </w:tr>
    </w:tbl>
    <w:p w14:paraId="7B3252D1" w14:textId="77777777" w:rsidR="00A77B3E" w:rsidRPr="0030358C" w:rsidRDefault="00A77B3E">
      <w:pPr>
        <w:pStyle w:val="16"/>
        <w:rPr>
          <w:rFonts w:ascii="Arial" w:hAnsi="Arial" w:cs="Arial"/>
          <w:sz w:val="22"/>
          <w:szCs w:val="22"/>
        </w:rPr>
      </w:pPr>
    </w:p>
    <w:p w14:paraId="54A01755" w14:textId="77777777" w:rsidR="00A77B3E" w:rsidRPr="0030358C" w:rsidRDefault="00A77B3E">
      <w:pPr>
        <w:pStyle w:val="1"/>
        <w:rPr>
          <w:rFonts w:ascii="Arial" w:hAnsi="Arial" w:cs="Arial"/>
          <w:sz w:val="22"/>
          <w:szCs w:val="22"/>
        </w:rPr>
      </w:pPr>
    </w:p>
    <w:p w14:paraId="1CABF804" w14:textId="77777777" w:rsidR="008F52C8" w:rsidRPr="0030358C" w:rsidRDefault="00000000" w:rsidP="008F52C8">
      <w:pPr>
        <w:jc w:val="right"/>
        <w:rPr>
          <w:rFonts w:ascii="Arial" w:hAnsi="Arial" w:cs="Arial"/>
          <w:b/>
          <w:bCs/>
          <w:strike/>
          <w:sz w:val="22"/>
          <w:szCs w:val="22"/>
        </w:rPr>
      </w:pPr>
      <w:r w:rsidRPr="0030358C">
        <w:rPr>
          <w:rFonts w:ascii="Arial" w:hAnsi="Arial" w:cs="Arial"/>
          <w:b/>
          <w:bCs/>
          <w:strike/>
          <w:sz w:val="22"/>
          <w:szCs w:val="22"/>
        </w:rPr>
        <w:t>Příloha č. 8 k vyhlášce č. 415/2012 Sb.</w:t>
      </w:r>
    </w:p>
    <w:p w14:paraId="0C5666A8" w14:textId="77777777" w:rsidR="008F52C8" w:rsidRPr="0030358C" w:rsidRDefault="008F52C8" w:rsidP="008F52C8">
      <w:pPr>
        <w:pStyle w:val="xl32"/>
        <w:spacing w:before="0" w:after="0"/>
        <w:jc w:val="right"/>
        <w:rPr>
          <w:rFonts w:ascii="Arial" w:hAnsi="Arial" w:cs="Arial"/>
          <w:strike/>
          <w:sz w:val="22"/>
          <w:szCs w:val="22"/>
        </w:rPr>
      </w:pPr>
    </w:p>
    <w:p w14:paraId="69ACED28" w14:textId="77777777" w:rsidR="008F52C8" w:rsidRPr="0030358C" w:rsidRDefault="008F52C8" w:rsidP="008F52C8">
      <w:pPr>
        <w:widowControl w:val="0"/>
        <w:autoSpaceDE w:val="0"/>
        <w:jc w:val="center"/>
        <w:rPr>
          <w:rFonts w:ascii="Arial" w:hAnsi="Arial" w:cs="Arial"/>
          <w:b/>
          <w:bCs/>
          <w:caps/>
          <w:strike/>
          <w:sz w:val="22"/>
          <w:szCs w:val="22"/>
        </w:rPr>
      </w:pPr>
    </w:p>
    <w:p w14:paraId="2A13053A" w14:textId="77777777" w:rsidR="008F52C8" w:rsidRPr="0030358C" w:rsidRDefault="00000000" w:rsidP="008F52C8">
      <w:pPr>
        <w:widowControl w:val="0"/>
        <w:autoSpaceDE w:val="0"/>
        <w:jc w:val="center"/>
        <w:rPr>
          <w:rFonts w:ascii="Arial" w:hAnsi="Arial" w:cs="Arial"/>
          <w:b/>
          <w:bCs/>
          <w:caps/>
          <w:strike/>
          <w:sz w:val="22"/>
          <w:szCs w:val="22"/>
        </w:rPr>
      </w:pPr>
      <w:r w:rsidRPr="0030358C">
        <w:rPr>
          <w:rFonts w:ascii="Arial" w:hAnsi="Arial" w:cs="Arial"/>
          <w:b/>
          <w:bCs/>
          <w:caps/>
          <w:strike/>
          <w:sz w:val="22"/>
          <w:szCs w:val="22"/>
        </w:rPr>
        <w:t>podmínky provozu pro Ostatní stacionární zdroje</w:t>
      </w:r>
    </w:p>
    <w:p w14:paraId="36BC58EA" w14:textId="77777777" w:rsidR="008F52C8" w:rsidRPr="0030358C" w:rsidRDefault="008F52C8" w:rsidP="008F52C8">
      <w:pPr>
        <w:widowControl w:val="0"/>
        <w:autoSpaceDE w:val="0"/>
        <w:rPr>
          <w:rFonts w:ascii="Arial" w:hAnsi="Arial" w:cs="Arial"/>
          <w:b/>
          <w:bCs/>
          <w:caps/>
          <w:strike/>
          <w:sz w:val="22"/>
          <w:szCs w:val="22"/>
        </w:rPr>
      </w:pPr>
    </w:p>
    <w:p w14:paraId="72ABD07D" w14:textId="77777777" w:rsidR="008F52C8" w:rsidRPr="0030358C" w:rsidRDefault="008F52C8" w:rsidP="008F52C8">
      <w:pPr>
        <w:widowControl w:val="0"/>
        <w:autoSpaceDE w:val="0"/>
        <w:rPr>
          <w:rFonts w:ascii="Arial" w:hAnsi="Arial" w:cs="Arial"/>
          <w:b/>
          <w:bCs/>
          <w:caps/>
          <w:strike/>
          <w:sz w:val="22"/>
          <w:szCs w:val="22"/>
        </w:rPr>
      </w:pPr>
    </w:p>
    <w:p w14:paraId="446A3030" w14:textId="77777777" w:rsidR="008F52C8" w:rsidRPr="0030358C" w:rsidRDefault="00000000" w:rsidP="008F52C8">
      <w:pPr>
        <w:widowControl w:val="0"/>
        <w:autoSpaceDE w:val="0"/>
        <w:jc w:val="center"/>
        <w:rPr>
          <w:rFonts w:ascii="Arial" w:hAnsi="Arial" w:cs="Arial"/>
          <w:b/>
          <w:bCs/>
          <w:strike/>
          <w:sz w:val="22"/>
          <w:szCs w:val="22"/>
        </w:rPr>
      </w:pPr>
      <w:r w:rsidRPr="0030358C">
        <w:rPr>
          <w:rFonts w:ascii="Arial" w:hAnsi="Arial" w:cs="Arial"/>
          <w:b/>
          <w:bCs/>
          <w:strike/>
          <w:sz w:val="22"/>
          <w:szCs w:val="22"/>
        </w:rPr>
        <w:t>Část I</w:t>
      </w:r>
    </w:p>
    <w:p w14:paraId="38C7871E" w14:textId="77777777" w:rsidR="008F52C8" w:rsidRPr="0030358C" w:rsidRDefault="00000000" w:rsidP="008F52C8">
      <w:pPr>
        <w:widowControl w:val="0"/>
        <w:autoSpaceDE w:val="0"/>
        <w:jc w:val="center"/>
        <w:rPr>
          <w:rFonts w:ascii="Arial" w:hAnsi="Arial" w:cs="Arial"/>
          <w:b/>
          <w:bCs/>
          <w:strike/>
          <w:sz w:val="22"/>
          <w:szCs w:val="22"/>
        </w:rPr>
      </w:pPr>
      <w:r w:rsidRPr="0030358C">
        <w:rPr>
          <w:rFonts w:ascii="Arial" w:hAnsi="Arial" w:cs="Arial"/>
          <w:b/>
          <w:bCs/>
          <w:strike/>
          <w:sz w:val="22"/>
          <w:szCs w:val="22"/>
        </w:rPr>
        <w:t>Obecná ustanovení a pojmy</w:t>
      </w:r>
    </w:p>
    <w:p w14:paraId="59975008" w14:textId="77777777" w:rsidR="008F52C8" w:rsidRPr="0030358C" w:rsidRDefault="008F52C8" w:rsidP="008F52C8">
      <w:pPr>
        <w:widowControl w:val="0"/>
        <w:autoSpaceDE w:val="0"/>
        <w:jc w:val="center"/>
        <w:rPr>
          <w:rFonts w:ascii="Arial" w:hAnsi="Arial" w:cs="Arial"/>
          <w:b/>
          <w:bCs/>
          <w:strike/>
          <w:sz w:val="22"/>
          <w:szCs w:val="22"/>
        </w:rPr>
      </w:pPr>
    </w:p>
    <w:p w14:paraId="1CE61D59" w14:textId="77777777" w:rsidR="008F52C8" w:rsidRPr="0030358C" w:rsidRDefault="00000000" w:rsidP="008F52C8">
      <w:pPr>
        <w:widowControl w:val="0"/>
        <w:autoSpaceDE w:val="0"/>
        <w:rPr>
          <w:rFonts w:ascii="Arial" w:hAnsi="Arial" w:cs="Arial"/>
          <w:b/>
          <w:bCs/>
          <w:strike/>
          <w:sz w:val="22"/>
          <w:szCs w:val="22"/>
        </w:rPr>
      </w:pPr>
      <w:r w:rsidRPr="0030358C">
        <w:rPr>
          <w:rFonts w:ascii="Arial" w:hAnsi="Arial" w:cs="Arial"/>
          <w:b/>
          <w:bCs/>
          <w:strike/>
          <w:sz w:val="22"/>
          <w:szCs w:val="22"/>
        </w:rPr>
        <w:t>1. Pojmy</w:t>
      </w:r>
    </w:p>
    <w:p w14:paraId="43009C06" w14:textId="77777777" w:rsidR="008F52C8" w:rsidRPr="0030358C" w:rsidRDefault="008F52C8" w:rsidP="008F52C8">
      <w:pPr>
        <w:widowControl w:val="0"/>
        <w:autoSpaceDE w:val="0"/>
        <w:rPr>
          <w:rFonts w:ascii="Arial" w:hAnsi="Arial" w:cs="Arial"/>
          <w:b/>
          <w:bCs/>
          <w:strike/>
          <w:sz w:val="22"/>
          <w:szCs w:val="22"/>
        </w:rPr>
      </w:pPr>
    </w:p>
    <w:p w14:paraId="096E70F8" w14:textId="77777777" w:rsidR="008F52C8" w:rsidRPr="0030358C" w:rsidRDefault="00000000" w:rsidP="008F52C8">
      <w:pPr>
        <w:widowControl w:val="0"/>
        <w:autoSpaceDE w:val="0"/>
        <w:rPr>
          <w:rFonts w:ascii="Arial" w:hAnsi="Arial" w:cs="Arial"/>
          <w:strike/>
          <w:sz w:val="22"/>
          <w:szCs w:val="22"/>
        </w:rPr>
      </w:pPr>
      <w:r w:rsidRPr="0030358C">
        <w:rPr>
          <w:rFonts w:ascii="Arial" w:hAnsi="Arial" w:cs="Arial"/>
          <w:strike/>
          <w:sz w:val="22"/>
          <w:szCs w:val="22"/>
        </w:rPr>
        <w:t>Pro účely této přílohy se rozumí</w:t>
      </w:r>
    </w:p>
    <w:p w14:paraId="6CF084F3" w14:textId="77777777" w:rsidR="008F52C8" w:rsidRPr="0030358C" w:rsidRDefault="00000000" w:rsidP="008F52C8">
      <w:pPr>
        <w:pStyle w:val="Odstavecseseznamem"/>
        <w:widowControl w:val="0"/>
        <w:numPr>
          <w:ilvl w:val="0"/>
          <w:numId w:val="127"/>
        </w:numPr>
        <w:suppressAutoHyphens/>
        <w:autoSpaceDE w:val="0"/>
        <w:spacing w:before="60" w:after="0" w:line="300" w:lineRule="exact"/>
        <w:ind w:left="426" w:hanging="426"/>
        <w:contextualSpacing w:val="0"/>
        <w:jc w:val="both"/>
        <w:rPr>
          <w:rFonts w:ascii="Arial" w:hAnsi="Arial" w:cs="Arial"/>
          <w:strike/>
        </w:rPr>
      </w:pPr>
      <w:r w:rsidRPr="0030358C">
        <w:rPr>
          <w:rFonts w:ascii="Arial" w:hAnsi="Arial" w:cs="Arial"/>
          <w:strike/>
        </w:rPr>
        <w:t>vztažnými podmínkami A pro emisní limit - koncentrace příslušné látky při normálních stavových podmínkách v suchém plynu, někdy s udáním referenčního obsahu některé látky v odpadním plynu, obvykle kyslíku,</w:t>
      </w:r>
    </w:p>
    <w:p w14:paraId="62295A95" w14:textId="77777777" w:rsidR="008F52C8" w:rsidRPr="0030358C" w:rsidRDefault="00000000" w:rsidP="008F52C8">
      <w:pPr>
        <w:pStyle w:val="Odstavecseseznamem"/>
        <w:widowControl w:val="0"/>
        <w:numPr>
          <w:ilvl w:val="0"/>
          <w:numId w:val="127"/>
        </w:numPr>
        <w:suppressAutoHyphens/>
        <w:autoSpaceDE w:val="0"/>
        <w:spacing w:before="60" w:after="0" w:line="300" w:lineRule="exact"/>
        <w:ind w:left="426" w:hanging="426"/>
        <w:contextualSpacing w:val="0"/>
        <w:jc w:val="both"/>
        <w:rPr>
          <w:rFonts w:ascii="Arial" w:hAnsi="Arial" w:cs="Arial"/>
          <w:strike/>
        </w:rPr>
      </w:pPr>
      <w:r w:rsidRPr="0030358C">
        <w:rPr>
          <w:rFonts w:ascii="Arial" w:hAnsi="Arial" w:cs="Arial"/>
          <w:strike/>
        </w:rPr>
        <w:t>vztažnými podmínkami B pro emisní limit - koncentrace příslušné látky ve vlhkém plynu za normálních stavových podmínek, někdy s udáním referenčního obsahu některé látky v odpadním plynu, obvykle kyslíku,</w:t>
      </w:r>
    </w:p>
    <w:p w14:paraId="6784ED27" w14:textId="77777777" w:rsidR="008F52C8" w:rsidRPr="0030358C" w:rsidRDefault="00000000" w:rsidP="008F52C8">
      <w:pPr>
        <w:pStyle w:val="Odstavecseseznamem"/>
        <w:widowControl w:val="0"/>
        <w:numPr>
          <w:ilvl w:val="0"/>
          <w:numId w:val="127"/>
        </w:numPr>
        <w:suppressAutoHyphens/>
        <w:autoSpaceDE w:val="0"/>
        <w:spacing w:before="60" w:after="0" w:line="300" w:lineRule="exact"/>
        <w:ind w:left="426" w:hanging="426"/>
        <w:contextualSpacing w:val="0"/>
        <w:jc w:val="both"/>
        <w:rPr>
          <w:rFonts w:ascii="Arial" w:hAnsi="Arial" w:cs="Arial"/>
          <w:strike/>
        </w:rPr>
      </w:pPr>
      <w:r w:rsidRPr="0030358C">
        <w:rPr>
          <w:rFonts w:ascii="Arial" w:hAnsi="Arial" w:cs="Arial"/>
          <w:strike/>
        </w:rPr>
        <w:t>vztažnými podmínkami C pro emisní limit - koncentrace příslušné látky v odpadním plynu za obvyklých provozních podmínek,</w:t>
      </w:r>
    </w:p>
    <w:p w14:paraId="718AE800" w14:textId="77777777" w:rsidR="008F52C8" w:rsidRPr="0030358C" w:rsidRDefault="00000000" w:rsidP="008F52C8">
      <w:pPr>
        <w:pStyle w:val="Odstavecseseznamem"/>
        <w:numPr>
          <w:ilvl w:val="0"/>
          <w:numId w:val="127"/>
        </w:numPr>
        <w:suppressAutoHyphens/>
        <w:spacing w:before="120" w:after="0" w:line="240" w:lineRule="auto"/>
        <w:ind w:left="426" w:hanging="426"/>
        <w:contextualSpacing w:val="0"/>
        <w:jc w:val="both"/>
        <w:rPr>
          <w:rFonts w:ascii="Arial" w:hAnsi="Arial" w:cs="Arial"/>
          <w:strike/>
        </w:rPr>
      </w:pPr>
      <w:r w:rsidRPr="0030358C">
        <w:rPr>
          <w:rFonts w:ascii="Arial" w:hAnsi="Arial" w:cs="Arial"/>
          <w:strike/>
        </w:rPr>
        <w:t>přímým procesním ohřevem - ohřev, u kterého jsou znečišťující látky vzniklé spalováním paliv odváděny a vnášeny do ovzduší společně se znečišťujícími látkami vzniklými v technologickém procesu,</w:t>
      </w:r>
    </w:p>
    <w:p w14:paraId="78F34B59" w14:textId="77777777" w:rsidR="008F52C8" w:rsidRPr="0030358C" w:rsidRDefault="00000000" w:rsidP="008F52C8">
      <w:pPr>
        <w:pStyle w:val="Odstavecseseznamem"/>
        <w:numPr>
          <w:ilvl w:val="0"/>
          <w:numId w:val="127"/>
        </w:numPr>
        <w:suppressAutoHyphens/>
        <w:spacing w:before="120" w:after="0" w:line="240" w:lineRule="auto"/>
        <w:ind w:left="426" w:hanging="426"/>
        <w:contextualSpacing w:val="0"/>
        <w:jc w:val="both"/>
        <w:rPr>
          <w:rFonts w:ascii="Arial" w:hAnsi="Arial" w:cs="Arial"/>
          <w:strike/>
        </w:rPr>
      </w:pPr>
      <w:r w:rsidRPr="0030358C">
        <w:rPr>
          <w:rFonts w:ascii="Arial" w:hAnsi="Arial" w:cs="Arial"/>
          <w:strike/>
        </w:rPr>
        <w:t>flérou (pochodní) - zařízení pro snížení úrovně znečišťování, které pracuje jako havarijní výpust plynů do vnějšího ovzduší, při spojení technologických prostorů s vnějším ovzduším nebo při neustáleném a jinak těžce zpracovatelném přebytku plynů.</w:t>
      </w:r>
      <w:r w:rsidRPr="0030358C">
        <w:rPr>
          <w:rFonts w:ascii="Arial" w:hAnsi="Arial" w:cs="Arial"/>
          <w:b/>
          <w:strike/>
        </w:rPr>
        <w:t>,</w:t>
      </w:r>
    </w:p>
    <w:p w14:paraId="289E7F35" w14:textId="77777777" w:rsidR="008F52C8" w:rsidRPr="0030358C" w:rsidRDefault="00000000" w:rsidP="008F52C8">
      <w:pPr>
        <w:pStyle w:val="Odstavecseseznamem"/>
        <w:numPr>
          <w:ilvl w:val="0"/>
          <w:numId w:val="127"/>
        </w:numPr>
        <w:suppressAutoHyphens/>
        <w:spacing w:before="120" w:after="0" w:line="240" w:lineRule="auto"/>
        <w:ind w:left="426" w:hanging="426"/>
        <w:contextualSpacing w:val="0"/>
        <w:jc w:val="both"/>
        <w:rPr>
          <w:rFonts w:ascii="Arial" w:hAnsi="Arial" w:cs="Arial"/>
          <w:bCs/>
          <w:strike/>
        </w:rPr>
      </w:pPr>
      <w:r w:rsidRPr="0030358C">
        <w:rPr>
          <w:rFonts w:ascii="Arial" w:hAnsi="Arial" w:cs="Arial"/>
          <w:bCs/>
          <w:strike/>
        </w:rPr>
        <w:t>TOC - hmotnostní koncentrace těkavých organických látek vyjádřených jako celkový organický uhlík.</w:t>
      </w:r>
    </w:p>
    <w:p w14:paraId="6382E10E" w14:textId="77777777" w:rsidR="008F52C8" w:rsidRPr="0030358C" w:rsidRDefault="008F52C8" w:rsidP="008F52C8">
      <w:pPr>
        <w:pStyle w:val="Odstavecseseznamem"/>
        <w:spacing w:before="120"/>
        <w:ind w:left="9357" w:hanging="360"/>
        <w:jc w:val="both"/>
        <w:rPr>
          <w:rFonts w:ascii="Arial" w:hAnsi="Arial" w:cs="Arial"/>
          <w:strike/>
        </w:rPr>
      </w:pPr>
    </w:p>
    <w:p w14:paraId="2F00B6E5" w14:textId="77777777" w:rsidR="008F52C8" w:rsidRPr="0030358C" w:rsidRDefault="008F52C8" w:rsidP="008F52C8">
      <w:pPr>
        <w:widowControl w:val="0"/>
        <w:autoSpaceDE w:val="0"/>
        <w:spacing w:before="60" w:line="300" w:lineRule="exact"/>
        <w:jc w:val="both"/>
        <w:rPr>
          <w:rFonts w:ascii="Arial" w:hAnsi="Arial" w:cs="Arial"/>
          <w:b/>
          <w:strike/>
          <w:sz w:val="22"/>
          <w:szCs w:val="22"/>
        </w:rPr>
      </w:pPr>
    </w:p>
    <w:p w14:paraId="49753CBE" w14:textId="77777777" w:rsidR="008F52C8" w:rsidRPr="0030358C" w:rsidRDefault="00000000" w:rsidP="008F52C8">
      <w:pPr>
        <w:widowControl w:val="0"/>
        <w:autoSpaceDE w:val="0"/>
        <w:spacing w:before="60" w:line="300" w:lineRule="exact"/>
        <w:jc w:val="both"/>
        <w:rPr>
          <w:rFonts w:ascii="Arial" w:hAnsi="Arial" w:cs="Arial"/>
          <w:b/>
          <w:strike/>
          <w:sz w:val="22"/>
          <w:szCs w:val="22"/>
        </w:rPr>
      </w:pPr>
      <w:r w:rsidRPr="0030358C">
        <w:rPr>
          <w:rFonts w:ascii="Arial" w:hAnsi="Arial" w:cs="Arial"/>
          <w:b/>
          <w:strike/>
          <w:sz w:val="22"/>
          <w:szCs w:val="22"/>
        </w:rPr>
        <w:t>2.  Technické podmínky provozu pro stacionární zdroje využívající fléry</w:t>
      </w:r>
    </w:p>
    <w:p w14:paraId="31A81ECA" w14:textId="77777777" w:rsidR="008F52C8" w:rsidRPr="0030358C" w:rsidRDefault="008F52C8" w:rsidP="008F52C8">
      <w:pPr>
        <w:widowControl w:val="0"/>
        <w:autoSpaceDE w:val="0"/>
        <w:spacing w:before="60" w:line="300" w:lineRule="exact"/>
        <w:jc w:val="both"/>
        <w:rPr>
          <w:rFonts w:ascii="Arial" w:hAnsi="Arial" w:cs="Arial"/>
          <w:b/>
          <w:strike/>
          <w:sz w:val="22"/>
          <w:szCs w:val="22"/>
        </w:rPr>
      </w:pPr>
    </w:p>
    <w:p w14:paraId="19B1F617" w14:textId="77777777" w:rsidR="008F52C8" w:rsidRPr="0030358C" w:rsidRDefault="00000000" w:rsidP="008F52C8">
      <w:pPr>
        <w:pStyle w:val="Odstavecseseznamem"/>
        <w:widowControl w:val="0"/>
        <w:numPr>
          <w:ilvl w:val="0"/>
          <w:numId w:val="128"/>
        </w:numPr>
        <w:suppressAutoHyphens/>
        <w:autoSpaceDE w:val="0"/>
        <w:spacing w:before="120" w:after="0" w:line="300" w:lineRule="exact"/>
        <w:ind w:left="425" w:hanging="425"/>
        <w:contextualSpacing w:val="0"/>
        <w:jc w:val="both"/>
        <w:rPr>
          <w:rFonts w:ascii="Arial" w:hAnsi="Arial" w:cs="Arial"/>
          <w:strike/>
        </w:rPr>
      </w:pPr>
      <w:r w:rsidRPr="0030358C">
        <w:rPr>
          <w:rFonts w:ascii="Arial" w:hAnsi="Arial" w:cs="Arial"/>
          <w:strike/>
        </w:rPr>
        <w:t xml:space="preserve">Všechna, i nouzová, technologická zařízení k likvidaci odpadních plynů jsou konstruována tak, aby při spalování odpadních plynů bylo zabezpečeno optimální vedení spalovacího </w:t>
      </w:r>
      <w:r w:rsidRPr="0030358C">
        <w:rPr>
          <w:rFonts w:ascii="Arial" w:hAnsi="Arial" w:cs="Arial"/>
          <w:strike/>
        </w:rPr>
        <w:lastRenderedPageBreak/>
        <w:t>režimu a snižování úrovně znečišťování.</w:t>
      </w:r>
    </w:p>
    <w:p w14:paraId="5B3A8780" w14:textId="77777777" w:rsidR="008F52C8" w:rsidRPr="0030358C" w:rsidRDefault="00000000" w:rsidP="008F52C8">
      <w:pPr>
        <w:pStyle w:val="Odstavecseseznamem"/>
        <w:widowControl w:val="0"/>
        <w:numPr>
          <w:ilvl w:val="0"/>
          <w:numId w:val="128"/>
        </w:numPr>
        <w:suppressAutoHyphens/>
        <w:autoSpaceDE w:val="0"/>
        <w:spacing w:before="120" w:after="0" w:line="300" w:lineRule="exact"/>
        <w:ind w:left="425" w:hanging="425"/>
        <w:contextualSpacing w:val="0"/>
        <w:jc w:val="both"/>
        <w:rPr>
          <w:rFonts w:ascii="Arial" w:hAnsi="Arial" w:cs="Arial"/>
          <w:strike/>
        </w:rPr>
      </w:pPr>
      <w:r w:rsidRPr="0030358C">
        <w:rPr>
          <w:rFonts w:ascii="Arial" w:hAnsi="Arial" w:cs="Arial"/>
          <w:strike/>
        </w:rPr>
        <w:t>V případě kolísání výhřevnosti nebo množství odpadního plynu vstupujícího do fléry je odpadní plyn spalován současně s vhodným stabilizačním palivem.</w:t>
      </w:r>
    </w:p>
    <w:p w14:paraId="6F6D2DB6" w14:textId="77777777" w:rsidR="008F52C8" w:rsidRPr="0030358C" w:rsidRDefault="00000000" w:rsidP="008F52C8">
      <w:pPr>
        <w:pStyle w:val="Odstavecseseznamem"/>
        <w:widowControl w:val="0"/>
        <w:numPr>
          <w:ilvl w:val="0"/>
          <w:numId w:val="128"/>
        </w:numPr>
        <w:suppressAutoHyphens/>
        <w:autoSpaceDE w:val="0"/>
        <w:spacing w:before="120" w:after="0" w:line="276" w:lineRule="auto"/>
        <w:ind w:left="425" w:hanging="425"/>
        <w:contextualSpacing w:val="0"/>
        <w:jc w:val="both"/>
        <w:rPr>
          <w:rFonts w:ascii="Arial" w:hAnsi="Arial" w:cs="Arial"/>
          <w:strike/>
        </w:rPr>
      </w:pPr>
      <w:r w:rsidRPr="0030358C">
        <w:rPr>
          <w:rFonts w:ascii="Arial" w:hAnsi="Arial" w:cs="Arial"/>
          <w:strike/>
        </w:rPr>
        <w:t xml:space="preserve">Každá fléra je posuzována individuálně s ohledem na její konstrukci, lokalizaci a na spalované plynné médium. Při posuzování je třeba dávat přednost asistovaným flérám, tedy flérám, které mají konstrukční možnost ovlivňovat množství přiváděného vzduchu a teploty spalování. </w:t>
      </w:r>
    </w:p>
    <w:p w14:paraId="4A7F94C1" w14:textId="77777777" w:rsidR="008F52C8" w:rsidRPr="0030358C" w:rsidRDefault="00000000" w:rsidP="008F52C8">
      <w:pPr>
        <w:spacing w:after="160" w:line="259" w:lineRule="auto"/>
        <w:rPr>
          <w:rFonts w:ascii="Arial" w:hAnsi="Arial" w:cs="Arial"/>
          <w:b/>
          <w:strike/>
          <w:sz w:val="22"/>
          <w:szCs w:val="22"/>
        </w:rPr>
      </w:pPr>
      <w:r w:rsidRPr="0030358C">
        <w:rPr>
          <w:rFonts w:ascii="Arial" w:hAnsi="Arial" w:cs="Arial"/>
          <w:b/>
          <w:strike/>
          <w:sz w:val="22"/>
          <w:szCs w:val="22"/>
        </w:rPr>
        <w:br w:type="page"/>
      </w:r>
    </w:p>
    <w:p w14:paraId="1B7A90D9" w14:textId="77777777" w:rsidR="008F52C8" w:rsidRPr="0030358C" w:rsidRDefault="008F52C8" w:rsidP="008F52C8">
      <w:pPr>
        <w:widowControl w:val="0"/>
        <w:autoSpaceDE w:val="0"/>
        <w:jc w:val="center"/>
        <w:rPr>
          <w:rFonts w:ascii="Arial" w:hAnsi="Arial" w:cs="Arial"/>
          <w:strike/>
          <w:sz w:val="22"/>
          <w:szCs w:val="22"/>
          <w:lang w:eastAsia="zh-CN"/>
        </w:rPr>
      </w:pPr>
    </w:p>
    <w:p w14:paraId="48139B6A" w14:textId="77777777" w:rsidR="008F52C8" w:rsidRPr="0030358C" w:rsidRDefault="008F52C8" w:rsidP="008F52C8">
      <w:pPr>
        <w:widowControl w:val="0"/>
        <w:autoSpaceDE w:val="0"/>
        <w:jc w:val="center"/>
        <w:rPr>
          <w:rFonts w:ascii="Arial" w:hAnsi="Arial" w:cs="Arial"/>
          <w:strike/>
          <w:sz w:val="22"/>
          <w:szCs w:val="22"/>
          <w:lang w:eastAsia="zh-CN"/>
        </w:rPr>
      </w:pPr>
    </w:p>
    <w:p w14:paraId="333E0F65" w14:textId="77777777" w:rsidR="008F52C8" w:rsidRPr="0030358C" w:rsidRDefault="00000000" w:rsidP="008F52C8">
      <w:pPr>
        <w:widowControl w:val="0"/>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Část II</w:t>
      </w:r>
    </w:p>
    <w:p w14:paraId="6EE16005" w14:textId="77777777" w:rsidR="008F52C8" w:rsidRPr="0030358C" w:rsidRDefault="00000000" w:rsidP="008F52C8">
      <w:pPr>
        <w:widowControl w:val="0"/>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Specifické emisní limity a technické podmínky provozu</w:t>
      </w:r>
    </w:p>
    <w:p w14:paraId="572D80D9" w14:textId="77777777" w:rsidR="008F52C8" w:rsidRPr="0030358C" w:rsidRDefault="008F52C8" w:rsidP="008F52C8">
      <w:pPr>
        <w:rPr>
          <w:rFonts w:ascii="Arial" w:hAnsi="Arial" w:cs="Arial"/>
          <w:strike/>
          <w:sz w:val="22"/>
          <w:szCs w:val="22"/>
          <w:lang w:eastAsia="zh-CN"/>
        </w:rPr>
      </w:pPr>
    </w:p>
    <w:p w14:paraId="07B4E75E" w14:textId="77777777" w:rsidR="008F52C8" w:rsidRPr="0030358C" w:rsidRDefault="00000000" w:rsidP="008F52C8">
      <w:pPr>
        <w:keepNext/>
        <w:numPr>
          <w:ilvl w:val="1"/>
          <w:numId w:val="0"/>
        </w:numPr>
        <w:tabs>
          <w:tab w:val="num" w:pos="0"/>
        </w:tabs>
        <w:spacing w:before="60"/>
        <w:ind w:left="360" w:hanging="360"/>
        <w:outlineLvl w:val="1"/>
        <w:rPr>
          <w:rFonts w:ascii="Arial" w:hAnsi="Arial" w:cs="Arial"/>
          <w:strike/>
          <w:sz w:val="22"/>
          <w:szCs w:val="22"/>
          <w:lang w:eastAsia="zh-CN"/>
        </w:rPr>
      </w:pPr>
      <w:r w:rsidRPr="0030358C">
        <w:rPr>
          <w:rFonts w:ascii="Arial" w:hAnsi="Arial" w:cs="Arial"/>
          <w:strike/>
          <w:sz w:val="22"/>
          <w:szCs w:val="22"/>
          <w:lang w:eastAsia="zh-CN"/>
        </w:rPr>
        <w:t>1.  NAKLÁDÁNÍ S ODPADY A ODPADNÍMI VODAMI</w:t>
      </w:r>
    </w:p>
    <w:p w14:paraId="421CAF28" w14:textId="77777777" w:rsidR="008F52C8" w:rsidRPr="0030358C" w:rsidRDefault="008F52C8" w:rsidP="008F52C8">
      <w:pPr>
        <w:widowControl w:val="0"/>
        <w:autoSpaceDE w:val="0"/>
        <w:spacing w:before="60" w:line="300" w:lineRule="exact"/>
        <w:jc w:val="both"/>
        <w:rPr>
          <w:rFonts w:ascii="Arial" w:hAnsi="Arial" w:cs="Arial"/>
          <w:strike/>
          <w:sz w:val="22"/>
          <w:szCs w:val="22"/>
          <w:lang w:eastAsia="zh-CN"/>
        </w:rPr>
      </w:pPr>
    </w:p>
    <w:p w14:paraId="6178593C" w14:textId="77777777" w:rsidR="008F52C8" w:rsidRPr="0030358C" w:rsidRDefault="00000000" w:rsidP="008F52C8">
      <w:pPr>
        <w:keepNext/>
        <w:numPr>
          <w:ilvl w:val="1"/>
          <w:numId w:val="0"/>
        </w:numPr>
        <w:tabs>
          <w:tab w:val="num" w:pos="0"/>
        </w:tabs>
        <w:suppressAutoHyphens/>
        <w:spacing w:before="60"/>
        <w:jc w:val="both"/>
        <w:outlineLvl w:val="2"/>
        <w:rPr>
          <w:rFonts w:ascii="Arial" w:hAnsi="Arial" w:cs="Arial"/>
          <w:strike/>
          <w:sz w:val="22"/>
          <w:szCs w:val="22"/>
          <w:lang w:eastAsia="zh-CN"/>
        </w:rPr>
      </w:pPr>
      <w:r w:rsidRPr="0030358C">
        <w:rPr>
          <w:rFonts w:ascii="Arial" w:hAnsi="Arial" w:cs="Arial"/>
          <w:b/>
          <w:bCs/>
          <w:strike/>
          <w:sz w:val="22"/>
          <w:szCs w:val="22"/>
          <w:lang w:eastAsia="zh-CN"/>
        </w:rPr>
        <w:t xml:space="preserve">1.1 Kompostárny a zařízení na biologickou úpravu odpadů o celkové projektované kapacitě rovné nebo větší než 10 tun na jednu zakládku nebo větší než 150 tun zpracovaného odpadu ročně </w:t>
      </w:r>
      <w:r w:rsidRPr="0030358C">
        <w:rPr>
          <w:rFonts w:ascii="Arial" w:hAnsi="Arial" w:cs="Arial"/>
          <w:strike/>
          <w:sz w:val="22"/>
          <w:szCs w:val="22"/>
          <w:lang w:eastAsia="zh-CN"/>
        </w:rPr>
        <w:t>(kód 2.3. přílohy č. 2 k zákonu)</w:t>
      </w:r>
    </w:p>
    <w:p w14:paraId="61044C7B" w14:textId="77777777" w:rsidR="008F52C8" w:rsidRPr="0030358C" w:rsidRDefault="00000000" w:rsidP="008F52C8">
      <w:pPr>
        <w:spacing w:before="120"/>
        <w:jc w:val="both"/>
        <w:rPr>
          <w:rFonts w:ascii="Arial" w:hAnsi="Arial" w:cs="Arial"/>
          <w:strike/>
          <w:sz w:val="22"/>
          <w:szCs w:val="22"/>
          <w:lang w:eastAsia="zh-CN"/>
        </w:rPr>
      </w:pPr>
      <w:r w:rsidRPr="0030358C">
        <w:rPr>
          <w:rFonts w:ascii="Arial" w:hAnsi="Arial" w:cs="Arial"/>
          <w:strike/>
          <w:sz w:val="22"/>
          <w:szCs w:val="22"/>
          <w:lang w:eastAsia="zh-CN"/>
        </w:rPr>
        <w:t>Technické podmínky provozu:</w:t>
      </w:r>
    </w:p>
    <w:p w14:paraId="7CF6E3EB" w14:textId="77777777" w:rsidR="008F52C8" w:rsidRPr="0030358C" w:rsidRDefault="00000000" w:rsidP="008F52C8">
      <w:pPr>
        <w:widowControl w:val="0"/>
        <w:autoSpaceDE w:val="0"/>
        <w:spacing w:before="60" w:line="300" w:lineRule="exact"/>
        <w:ind w:left="709" w:hanging="425"/>
        <w:jc w:val="both"/>
        <w:rPr>
          <w:rFonts w:ascii="Arial" w:hAnsi="Arial" w:cs="Arial"/>
          <w:strike/>
          <w:sz w:val="22"/>
          <w:szCs w:val="22"/>
          <w:lang w:eastAsia="zh-CN"/>
        </w:rPr>
      </w:pPr>
      <w:r w:rsidRPr="0030358C">
        <w:rPr>
          <w:rFonts w:ascii="Arial" w:hAnsi="Arial" w:cs="Arial"/>
          <w:strike/>
          <w:sz w:val="22"/>
          <w:szCs w:val="22"/>
          <w:lang w:eastAsia="zh-CN"/>
        </w:rPr>
        <w:t>a)</w:t>
      </w:r>
      <w:r w:rsidRPr="0030358C">
        <w:rPr>
          <w:rFonts w:ascii="Arial" w:hAnsi="Arial" w:cs="Arial"/>
          <w:strike/>
          <w:sz w:val="22"/>
          <w:szCs w:val="22"/>
          <w:lang w:eastAsia="zh-CN"/>
        </w:rPr>
        <w:tab/>
        <w:t>Násypné bunkry jsou v uzavřeném provedení s komorou pro vozidla, u otevřených hal a při vykládce svozových vozidel s odpady, musí být plyny z bunkrů odsávány a odváděny do zařízení na čištění odpadních plynů.</w:t>
      </w:r>
    </w:p>
    <w:p w14:paraId="2692BB63" w14:textId="77777777" w:rsidR="008F52C8" w:rsidRPr="0030358C" w:rsidRDefault="00000000" w:rsidP="008F52C8">
      <w:pPr>
        <w:widowControl w:val="0"/>
        <w:autoSpaceDE w:val="0"/>
        <w:spacing w:before="60" w:line="300" w:lineRule="exact"/>
        <w:ind w:left="709" w:hanging="425"/>
        <w:jc w:val="both"/>
        <w:rPr>
          <w:rFonts w:ascii="Arial" w:hAnsi="Arial" w:cs="Arial"/>
          <w:strike/>
          <w:sz w:val="22"/>
          <w:szCs w:val="22"/>
          <w:lang w:eastAsia="zh-CN"/>
        </w:rPr>
      </w:pPr>
      <w:r w:rsidRPr="0030358C">
        <w:rPr>
          <w:rFonts w:ascii="Arial" w:hAnsi="Arial" w:cs="Arial"/>
          <w:strike/>
          <w:sz w:val="22"/>
          <w:szCs w:val="22"/>
          <w:lang w:eastAsia="zh-CN"/>
        </w:rPr>
        <w:t>b)</w:t>
      </w:r>
      <w:r w:rsidRPr="0030358C">
        <w:rPr>
          <w:rFonts w:ascii="Arial" w:hAnsi="Arial" w:cs="Arial"/>
          <w:strike/>
          <w:sz w:val="22"/>
          <w:szCs w:val="22"/>
          <w:lang w:eastAsia="zh-CN"/>
        </w:rPr>
        <w:tab/>
        <w:t>Zkondenzované výpary a voda vznikající při kompostovacím procesu (zrání kompostů) smí být u stavebně neuzavřených a nezakrytých kompostáren používány k vlhčení kompostu pouze tehdy, nebude-li použití zvyšovat pachovou zátěž okolí.</w:t>
      </w:r>
    </w:p>
    <w:p w14:paraId="662B991B" w14:textId="77777777" w:rsidR="008F52C8" w:rsidRPr="0030358C" w:rsidRDefault="00000000" w:rsidP="008F52C8">
      <w:pPr>
        <w:widowControl w:val="0"/>
        <w:autoSpaceDE w:val="0"/>
        <w:spacing w:before="60" w:line="300" w:lineRule="exact"/>
        <w:ind w:left="709" w:hanging="425"/>
        <w:jc w:val="both"/>
        <w:rPr>
          <w:rFonts w:ascii="Arial" w:hAnsi="Arial" w:cs="Arial"/>
          <w:strike/>
          <w:sz w:val="22"/>
          <w:szCs w:val="22"/>
          <w:lang w:eastAsia="zh-CN"/>
        </w:rPr>
      </w:pPr>
      <w:r w:rsidRPr="0030358C">
        <w:rPr>
          <w:rFonts w:ascii="Arial" w:hAnsi="Arial" w:cs="Arial"/>
          <w:strike/>
          <w:sz w:val="22"/>
          <w:szCs w:val="22"/>
          <w:lang w:eastAsia="zh-CN"/>
        </w:rPr>
        <w:t>c)</w:t>
      </w:r>
      <w:r w:rsidRPr="0030358C">
        <w:rPr>
          <w:rFonts w:ascii="Arial" w:hAnsi="Arial" w:cs="Arial"/>
          <w:strike/>
          <w:sz w:val="22"/>
          <w:szCs w:val="22"/>
          <w:lang w:eastAsia="zh-CN"/>
        </w:rPr>
        <w:tab/>
        <w:t>Odpadní plyny z dozrávání kompostů v uzavřených halách kompostárny jsou odváděny do zařízení na čištění odpadních plynů.</w:t>
      </w:r>
    </w:p>
    <w:p w14:paraId="319DA056" w14:textId="77777777" w:rsidR="008F52C8" w:rsidRPr="0030358C" w:rsidRDefault="00000000" w:rsidP="008F52C8">
      <w:pPr>
        <w:widowControl w:val="0"/>
        <w:autoSpaceDE w:val="0"/>
        <w:spacing w:before="60" w:line="300" w:lineRule="exact"/>
        <w:jc w:val="both"/>
        <w:rPr>
          <w:rFonts w:ascii="Arial" w:hAnsi="Arial" w:cs="Arial"/>
          <w:strike/>
          <w:sz w:val="22"/>
          <w:szCs w:val="22"/>
          <w:lang w:eastAsia="zh-CN"/>
        </w:rPr>
      </w:pPr>
      <w:r w:rsidRPr="0030358C">
        <w:rPr>
          <w:rFonts w:ascii="Arial" w:hAnsi="Arial" w:cs="Arial"/>
          <w:strike/>
          <w:sz w:val="22"/>
          <w:szCs w:val="22"/>
          <w:lang w:eastAsia="zh-CN"/>
        </w:rPr>
        <w:tab/>
      </w:r>
    </w:p>
    <w:p w14:paraId="071CE2EE" w14:textId="77777777" w:rsidR="008F52C8" w:rsidRPr="0030358C" w:rsidRDefault="00000000" w:rsidP="008F52C8">
      <w:pPr>
        <w:keepNext/>
        <w:keepLines/>
        <w:jc w:val="both"/>
        <w:rPr>
          <w:rFonts w:ascii="Arial" w:hAnsi="Arial" w:cs="Arial"/>
          <w:b/>
          <w:bCs/>
          <w:strike/>
          <w:sz w:val="22"/>
          <w:szCs w:val="22"/>
          <w:lang w:eastAsia="zh-CN"/>
        </w:rPr>
      </w:pPr>
      <w:r w:rsidRPr="0030358C">
        <w:rPr>
          <w:rFonts w:ascii="Arial" w:hAnsi="Arial" w:cs="Arial"/>
          <w:b/>
          <w:bCs/>
          <w:strike/>
          <w:sz w:val="22"/>
          <w:szCs w:val="22"/>
          <w:lang w:eastAsia="zh-CN"/>
        </w:rPr>
        <w:t xml:space="preserve">1.2 Biodegradační a solidifikační zařízení </w:t>
      </w:r>
      <w:r w:rsidRPr="0030358C">
        <w:rPr>
          <w:rFonts w:ascii="Arial" w:hAnsi="Arial" w:cs="Arial"/>
          <w:strike/>
          <w:sz w:val="22"/>
          <w:szCs w:val="22"/>
          <w:lang w:eastAsia="zh-CN"/>
        </w:rPr>
        <w:t>(kód 2.4. přílohy č. 2 k zákonu)</w:t>
      </w:r>
    </w:p>
    <w:p w14:paraId="7A3A7636" w14:textId="77777777" w:rsidR="008F52C8" w:rsidRPr="0030358C" w:rsidRDefault="00000000" w:rsidP="008F52C8">
      <w:pPr>
        <w:keepNext/>
        <w:keepLines/>
        <w:spacing w:before="120"/>
        <w:jc w:val="both"/>
        <w:rPr>
          <w:rFonts w:ascii="Arial" w:hAnsi="Arial" w:cs="Arial"/>
          <w:strike/>
          <w:sz w:val="22"/>
          <w:szCs w:val="22"/>
          <w:lang w:eastAsia="zh-CN"/>
        </w:rPr>
      </w:pPr>
      <w:r w:rsidRPr="0030358C">
        <w:rPr>
          <w:rFonts w:ascii="Arial" w:hAnsi="Arial" w:cs="Arial"/>
          <w:strike/>
          <w:sz w:val="22"/>
          <w:szCs w:val="22"/>
          <w:lang w:eastAsia="zh-CN"/>
        </w:rPr>
        <w:t>Technická podmínka provozu:</w:t>
      </w:r>
    </w:p>
    <w:p w14:paraId="2FD5E6D6" w14:textId="77777777" w:rsidR="008F52C8" w:rsidRPr="0030358C" w:rsidRDefault="00000000" w:rsidP="008F52C8">
      <w:pPr>
        <w:keepNext/>
        <w:keepLines/>
        <w:spacing w:before="120"/>
        <w:jc w:val="both"/>
        <w:rPr>
          <w:rFonts w:ascii="Arial" w:hAnsi="Arial" w:cs="Arial"/>
          <w:strike/>
          <w:sz w:val="22"/>
          <w:szCs w:val="22"/>
          <w:lang w:eastAsia="zh-CN"/>
        </w:rPr>
      </w:pPr>
      <w:r w:rsidRPr="0030358C">
        <w:rPr>
          <w:rFonts w:ascii="Arial" w:hAnsi="Arial" w:cs="Arial"/>
          <w:strike/>
          <w:sz w:val="22"/>
          <w:szCs w:val="22"/>
          <w:lang w:eastAsia="zh-CN"/>
        </w:rPr>
        <w:t>V případě zpracovávání materiálů, u nichž může docházet k emisím znečišťujících látek obtěžujících zápachem, musí být zajištěna technicko-organizační opatření ke snížení těchto látek např. zakrytování biodegradačních ploch a odtah odpadních plynů do zařízení na čištění odpadních plynů.</w:t>
      </w:r>
    </w:p>
    <w:p w14:paraId="3C0564E7" w14:textId="77777777" w:rsidR="008F52C8" w:rsidRPr="0030358C" w:rsidRDefault="00000000" w:rsidP="008F52C8">
      <w:pPr>
        <w:keepNext/>
        <w:keepLines/>
        <w:spacing w:before="120"/>
        <w:jc w:val="both"/>
        <w:rPr>
          <w:rFonts w:ascii="Arial" w:hAnsi="Arial" w:cs="Arial"/>
          <w:strike/>
          <w:sz w:val="22"/>
          <w:szCs w:val="22"/>
          <w:lang w:eastAsia="zh-CN"/>
        </w:rPr>
      </w:pPr>
      <w:r w:rsidRPr="0030358C">
        <w:rPr>
          <w:rFonts w:ascii="Arial" w:hAnsi="Arial" w:cs="Arial"/>
          <w:strike/>
          <w:sz w:val="22"/>
          <w:szCs w:val="22"/>
          <w:lang w:eastAsia="zh-CN"/>
        </w:rPr>
        <w:t>V případě volných zakládek snižovat vnášení tuhých znečišťujících látek do ovzduší, například umístěním zakládek na závětrné straně, jejich skrápěním nebo mlžením.</w:t>
      </w:r>
    </w:p>
    <w:p w14:paraId="35FCBE7F" w14:textId="77777777" w:rsidR="008F52C8" w:rsidRPr="0030358C" w:rsidRDefault="008F52C8" w:rsidP="008F52C8">
      <w:pPr>
        <w:widowControl w:val="0"/>
        <w:autoSpaceDE w:val="0"/>
        <w:spacing w:before="60" w:line="300" w:lineRule="exact"/>
        <w:jc w:val="both"/>
        <w:rPr>
          <w:rFonts w:ascii="Arial" w:hAnsi="Arial" w:cs="Arial"/>
          <w:strike/>
          <w:sz w:val="22"/>
          <w:szCs w:val="22"/>
          <w:lang w:eastAsia="zh-CN"/>
        </w:rPr>
      </w:pPr>
    </w:p>
    <w:p w14:paraId="3C24DA0A" w14:textId="77777777" w:rsidR="008F52C8" w:rsidRPr="0030358C" w:rsidRDefault="00000000" w:rsidP="008F52C8">
      <w:pPr>
        <w:rPr>
          <w:rFonts w:ascii="Arial" w:hAnsi="Arial" w:cs="Arial"/>
          <w:strike/>
          <w:sz w:val="22"/>
          <w:szCs w:val="22"/>
          <w:lang w:eastAsia="zh-CN"/>
        </w:rPr>
      </w:pPr>
      <w:r w:rsidRPr="0030358C">
        <w:rPr>
          <w:rFonts w:ascii="Arial" w:hAnsi="Arial" w:cs="Arial"/>
          <w:b/>
          <w:bCs/>
          <w:strike/>
          <w:sz w:val="22"/>
          <w:szCs w:val="22"/>
          <w:lang w:eastAsia="zh-CN"/>
        </w:rPr>
        <w:t>1.3. Sanační zařízení (odstraňování ropných a chlorovaných uhlovodíků z kontaminovaných zemin) s celkovým projektovaným ročním výkonem vyšším než 1 t VOC včetně</w:t>
      </w:r>
      <w:r w:rsidRPr="0030358C">
        <w:rPr>
          <w:rFonts w:ascii="Arial" w:hAnsi="Arial" w:cs="Arial"/>
          <w:strike/>
          <w:sz w:val="22"/>
          <w:szCs w:val="22"/>
          <w:lang w:eastAsia="zh-CN"/>
        </w:rPr>
        <w:t xml:space="preserve"> (kód 2.5. přílohy č. 2 k zákonu)</w:t>
      </w:r>
    </w:p>
    <w:p w14:paraId="6CCD8B8B" w14:textId="77777777" w:rsidR="008F52C8" w:rsidRPr="0030358C" w:rsidRDefault="008F52C8" w:rsidP="008F52C8">
      <w:pPr>
        <w:rPr>
          <w:rFonts w:ascii="Arial" w:hAnsi="Arial" w:cs="Arial"/>
          <w:strike/>
          <w:sz w:val="22"/>
          <w:szCs w:val="22"/>
          <w:lang w:eastAsia="zh-CN"/>
        </w:rPr>
      </w:pPr>
    </w:p>
    <w:p w14:paraId="246F5280" w14:textId="77777777" w:rsidR="008F52C8" w:rsidRPr="0030358C" w:rsidRDefault="00000000" w:rsidP="008F52C8">
      <w:pPr>
        <w:rPr>
          <w:rFonts w:ascii="Arial" w:hAnsi="Arial" w:cs="Arial"/>
          <w:strike/>
          <w:sz w:val="22"/>
          <w:szCs w:val="22"/>
          <w:lang w:eastAsia="zh-CN"/>
        </w:rPr>
      </w:pPr>
      <w:r w:rsidRPr="0030358C">
        <w:rPr>
          <w:rFonts w:ascii="Arial" w:hAnsi="Arial" w:cs="Arial"/>
          <w:strike/>
          <w:sz w:val="22"/>
          <w:szCs w:val="22"/>
          <w:lang w:eastAsia="zh-CN"/>
        </w:rPr>
        <w:t>Platí pro sanační zařízení provozovaná ex situ.</w:t>
      </w:r>
    </w:p>
    <w:p w14:paraId="5DBCCDD8" w14:textId="77777777" w:rsidR="008F52C8" w:rsidRPr="0030358C" w:rsidRDefault="008F52C8" w:rsidP="008F52C8">
      <w:pPr>
        <w:rPr>
          <w:rFonts w:ascii="Arial" w:hAnsi="Arial" w:cs="Arial"/>
          <w:b/>
          <w:strike/>
          <w:sz w:val="22"/>
          <w:szCs w:val="22"/>
          <w:lang w:eastAsia="zh-CN"/>
        </w:rPr>
      </w:pPr>
    </w:p>
    <w:tbl>
      <w:tblPr>
        <w:tblW w:w="9580" w:type="dxa"/>
        <w:tblInd w:w="-5" w:type="dxa"/>
        <w:tblLayout w:type="fixed"/>
        <w:tblLook w:val="0000" w:firstRow="0" w:lastRow="0" w:firstColumn="0" w:lastColumn="0" w:noHBand="0" w:noVBand="0"/>
      </w:tblPr>
      <w:tblGrid>
        <w:gridCol w:w="4785"/>
        <w:gridCol w:w="4795"/>
      </w:tblGrid>
      <w:tr w:rsidR="00E40657" w14:paraId="5B038322" w14:textId="77777777" w:rsidTr="00732453">
        <w:trPr>
          <w:cantSplit/>
          <w:trHeight w:hRule="exact" w:val="340"/>
        </w:trPr>
        <w:tc>
          <w:tcPr>
            <w:tcW w:w="4785" w:type="dxa"/>
            <w:tcBorders>
              <w:top w:val="single" w:sz="4" w:space="0" w:color="000000"/>
              <w:left w:val="single" w:sz="4" w:space="0" w:color="000000"/>
              <w:bottom w:val="single" w:sz="4" w:space="0" w:color="000000"/>
            </w:tcBorders>
            <w:vAlign w:val="center"/>
          </w:tcPr>
          <w:p w14:paraId="2F31AD0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795" w:type="dxa"/>
            <w:vMerge w:val="restart"/>
            <w:tcBorders>
              <w:top w:val="single" w:sz="4" w:space="0" w:color="000000"/>
              <w:left w:val="single" w:sz="4" w:space="0" w:color="000000"/>
              <w:bottom w:val="single" w:sz="4" w:space="0" w:color="000000"/>
              <w:right w:val="single" w:sz="4" w:space="0" w:color="000000"/>
            </w:tcBorders>
            <w:vAlign w:val="center"/>
          </w:tcPr>
          <w:p w14:paraId="1FC81CB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080397A" w14:textId="77777777" w:rsidTr="00732453">
        <w:trPr>
          <w:cantSplit/>
          <w:trHeight w:hRule="exact" w:val="565"/>
        </w:trPr>
        <w:tc>
          <w:tcPr>
            <w:tcW w:w="4785" w:type="dxa"/>
            <w:tcBorders>
              <w:left w:val="single" w:sz="4" w:space="0" w:color="000000"/>
              <w:bottom w:val="single" w:sz="4" w:space="0" w:color="000000"/>
            </w:tcBorders>
            <w:vAlign w:val="center"/>
          </w:tcPr>
          <w:p w14:paraId="30CA8E96"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TOC</w:t>
            </w:r>
          </w:p>
        </w:tc>
        <w:tc>
          <w:tcPr>
            <w:tcW w:w="4795" w:type="dxa"/>
            <w:vMerge/>
            <w:tcBorders>
              <w:top w:val="single" w:sz="4" w:space="0" w:color="000000"/>
              <w:left w:val="single" w:sz="4" w:space="0" w:color="000000"/>
              <w:bottom w:val="single" w:sz="4" w:space="0" w:color="000000"/>
              <w:right w:val="single" w:sz="4" w:space="0" w:color="000000"/>
            </w:tcBorders>
            <w:vAlign w:val="center"/>
          </w:tcPr>
          <w:p w14:paraId="65CCE529" w14:textId="77777777" w:rsidR="008F52C8" w:rsidRPr="0030358C" w:rsidRDefault="008F52C8" w:rsidP="00732453">
            <w:pPr>
              <w:snapToGrid w:val="0"/>
              <w:rPr>
                <w:rFonts w:ascii="Arial" w:hAnsi="Arial" w:cs="Arial"/>
                <w:b/>
                <w:strike/>
                <w:sz w:val="22"/>
                <w:szCs w:val="22"/>
                <w:lang w:eastAsia="zh-CN"/>
              </w:rPr>
            </w:pPr>
          </w:p>
        </w:tc>
      </w:tr>
      <w:tr w:rsidR="00E40657" w14:paraId="52ADD018" w14:textId="77777777" w:rsidTr="00732453">
        <w:trPr>
          <w:cantSplit/>
          <w:trHeight w:hRule="exact" w:val="340"/>
        </w:trPr>
        <w:tc>
          <w:tcPr>
            <w:tcW w:w="4785" w:type="dxa"/>
            <w:tcBorders>
              <w:left w:val="single" w:sz="4" w:space="0" w:color="000000"/>
              <w:bottom w:val="single" w:sz="4" w:space="0" w:color="000000"/>
            </w:tcBorders>
            <w:vAlign w:val="center"/>
          </w:tcPr>
          <w:p w14:paraId="5229C02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50</w:t>
            </w:r>
          </w:p>
        </w:tc>
        <w:tc>
          <w:tcPr>
            <w:tcW w:w="4795" w:type="dxa"/>
            <w:tcBorders>
              <w:left w:val="single" w:sz="4" w:space="0" w:color="000000"/>
              <w:bottom w:val="single" w:sz="4" w:space="0" w:color="000000"/>
              <w:right w:val="single" w:sz="4" w:space="0" w:color="000000"/>
            </w:tcBorders>
            <w:vAlign w:val="center"/>
          </w:tcPr>
          <w:p w14:paraId="26BD9946"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w:t>
            </w:r>
          </w:p>
        </w:tc>
      </w:tr>
    </w:tbl>
    <w:p w14:paraId="7115155D" w14:textId="77777777" w:rsidR="008F52C8" w:rsidRPr="0030358C" w:rsidRDefault="008F52C8" w:rsidP="008F52C8">
      <w:pPr>
        <w:widowControl w:val="0"/>
        <w:autoSpaceDE w:val="0"/>
        <w:spacing w:before="60" w:line="300" w:lineRule="exact"/>
        <w:jc w:val="both"/>
        <w:rPr>
          <w:rFonts w:ascii="Arial" w:hAnsi="Arial" w:cs="Arial"/>
          <w:b/>
          <w:strike/>
          <w:sz w:val="22"/>
          <w:szCs w:val="22"/>
          <w:lang w:eastAsia="zh-CN"/>
        </w:rPr>
      </w:pPr>
    </w:p>
    <w:p w14:paraId="50E17929" w14:textId="77777777" w:rsidR="008F52C8" w:rsidRPr="0030358C" w:rsidRDefault="00000000" w:rsidP="008F52C8">
      <w:pPr>
        <w:keepNext/>
        <w:numPr>
          <w:ilvl w:val="2"/>
          <w:numId w:val="0"/>
        </w:numPr>
        <w:tabs>
          <w:tab w:val="num" w:pos="0"/>
        </w:tabs>
        <w:spacing w:before="144"/>
        <w:jc w:val="both"/>
        <w:outlineLvl w:val="2"/>
        <w:rPr>
          <w:rFonts w:ascii="Arial" w:hAnsi="Arial" w:cs="Arial"/>
          <w:bCs/>
          <w:strike/>
          <w:sz w:val="22"/>
          <w:szCs w:val="22"/>
          <w:lang w:eastAsia="zh-CN"/>
        </w:rPr>
      </w:pPr>
      <w:r w:rsidRPr="0030358C">
        <w:rPr>
          <w:rFonts w:ascii="Arial" w:hAnsi="Arial" w:cs="Arial"/>
          <w:b/>
          <w:strike/>
          <w:sz w:val="22"/>
          <w:szCs w:val="22"/>
          <w:lang w:eastAsia="zh-CN"/>
        </w:rPr>
        <w:t>1.4. Čistírny odpadních vod, které jsou primárně určeny k čištění vod z průmyslových provozoven a provozů technologií produkujících odpadní vody v množství větším než 50 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 xml:space="preserve"> za den </w:t>
      </w:r>
      <w:r w:rsidRPr="0030358C">
        <w:rPr>
          <w:rFonts w:ascii="Arial" w:hAnsi="Arial" w:cs="Arial"/>
          <w:bCs/>
          <w:strike/>
          <w:sz w:val="22"/>
          <w:szCs w:val="22"/>
          <w:lang w:eastAsia="zh-CN"/>
        </w:rPr>
        <w:t>(kód 2.6. přílohy č. 2 k zákonu)</w:t>
      </w:r>
    </w:p>
    <w:p w14:paraId="74F1F4C8" w14:textId="77777777" w:rsidR="008F52C8" w:rsidRPr="0030358C" w:rsidRDefault="00000000" w:rsidP="008F52C8">
      <w:pPr>
        <w:spacing w:before="144"/>
        <w:jc w:val="both"/>
        <w:rPr>
          <w:rFonts w:ascii="Arial" w:hAnsi="Arial" w:cs="Arial"/>
          <w:bCs/>
          <w:strike/>
          <w:sz w:val="22"/>
          <w:szCs w:val="22"/>
          <w:lang w:eastAsia="zh-CN"/>
        </w:rPr>
      </w:pPr>
      <w:r w:rsidRPr="0030358C">
        <w:rPr>
          <w:rFonts w:ascii="Arial" w:hAnsi="Arial" w:cs="Arial"/>
          <w:bCs/>
          <w:strike/>
          <w:sz w:val="22"/>
          <w:szCs w:val="22"/>
          <w:lang w:eastAsia="zh-CN"/>
        </w:rPr>
        <w:t xml:space="preserve">Technická podmínka provozu: </w:t>
      </w:r>
    </w:p>
    <w:p w14:paraId="0148832A" w14:textId="77777777" w:rsidR="008F52C8" w:rsidRPr="0030358C" w:rsidRDefault="00000000" w:rsidP="008F52C8">
      <w:pPr>
        <w:spacing w:before="144"/>
        <w:jc w:val="both"/>
        <w:rPr>
          <w:rFonts w:ascii="Arial" w:hAnsi="Arial" w:cs="Arial"/>
          <w:bCs/>
          <w:strike/>
          <w:sz w:val="22"/>
          <w:szCs w:val="22"/>
          <w:lang w:eastAsia="zh-CN"/>
        </w:rPr>
      </w:pPr>
      <w:r w:rsidRPr="0030358C">
        <w:rPr>
          <w:rFonts w:ascii="Arial" w:hAnsi="Arial" w:cs="Arial"/>
          <w:bCs/>
          <w:strike/>
          <w:sz w:val="22"/>
          <w:szCs w:val="22"/>
          <w:lang w:eastAsia="zh-CN"/>
        </w:rPr>
        <w:t xml:space="preserve">Za účelem snížení emisí znečišťujících látek obtěžujících zápachem využívat opatření ke snižování emisí těchto látek, např. provedením odsávání odpadních plynů do zařízení </w:t>
      </w:r>
      <w:r w:rsidRPr="0030358C">
        <w:rPr>
          <w:rFonts w:ascii="Arial" w:hAnsi="Arial" w:cs="Arial"/>
          <w:bCs/>
          <w:strike/>
          <w:sz w:val="22"/>
          <w:szCs w:val="22"/>
          <w:lang w:eastAsia="zh-CN"/>
        </w:rPr>
        <w:lastRenderedPageBreak/>
        <w:t>k omezování emisí, zakrytováním jímek a dopravníků, uzavřením objektů, pravidelným odstraňováním usazenin organického původu ze zařízení pro předčištění odpadních vod, dodržování technologické kázně.</w:t>
      </w:r>
    </w:p>
    <w:p w14:paraId="55DC81F4" w14:textId="77777777" w:rsidR="008F52C8" w:rsidRPr="0030358C" w:rsidRDefault="008F52C8" w:rsidP="008F52C8">
      <w:pPr>
        <w:spacing w:before="144"/>
        <w:jc w:val="both"/>
        <w:rPr>
          <w:rFonts w:ascii="Arial" w:hAnsi="Arial" w:cs="Arial"/>
          <w:bCs/>
          <w:strike/>
          <w:sz w:val="22"/>
          <w:szCs w:val="22"/>
          <w:lang w:eastAsia="zh-CN"/>
        </w:rPr>
      </w:pPr>
    </w:p>
    <w:p w14:paraId="0772411E" w14:textId="77777777" w:rsidR="008F52C8" w:rsidRPr="0030358C" w:rsidRDefault="00000000" w:rsidP="008F52C8">
      <w:pPr>
        <w:spacing w:before="144"/>
        <w:jc w:val="both"/>
        <w:rPr>
          <w:rFonts w:ascii="Arial" w:hAnsi="Arial" w:cs="Arial"/>
          <w:b/>
          <w:strike/>
          <w:sz w:val="22"/>
          <w:szCs w:val="22"/>
          <w:lang w:eastAsia="zh-CN"/>
        </w:rPr>
      </w:pPr>
      <w:r w:rsidRPr="0030358C">
        <w:rPr>
          <w:rFonts w:ascii="Arial" w:hAnsi="Arial" w:cs="Arial"/>
          <w:b/>
          <w:strike/>
          <w:sz w:val="22"/>
          <w:szCs w:val="22"/>
          <w:lang w:eastAsia="zh-CN"/>
        </w:rPr>
        <w:t xml:space="preserve">1.5. Čistírny odpadních vod s celkovou projektovanou kapacitou pro 10 000 a více ekvivalentních obyvatel </w:t>
      </w:r>
      <w:r w:rsidRPr="0030358C">
        <w:rPr>
          <w:rFonts w:ascii="Arial" w:hAnsi="Arial" w:cs="Arial"/>
          <w:bCs/>
          <w:strike/>
          <w:sz w:val="22"/>
          <w:szCs w:val="22"/>
          <w:lang w:eastAsia="zh-CN"/>
        </w:rPr>
        <w:t>(kód 2.7. přílohy č. 2 k zákonu)</w:t>
      </w:r>
    </w:p>
    <w:p w14:paraId="4538C1D0" w14:textId="77777777" w:rsidR="008F52C8" w:rsidRPr="0030358C" w:rsidRDefault="00000000" w:rsidP="008F52C8">
      <w:pPr>
        <w:spacing w:before="144"/>
        <w:jc w:val="both"/>
        <w:rPr>
          <w:rFonts w:ascii="Arial" w:hAnsi="Arial" w:cs="Arial"/>
          <w:bCs/>
          <w:strike/>
          <w:sz w:val="22"/>
          <w:szCs w:val="22"/>
          <w:lang w:eastAsia="zh-CN"/>
        </w:rPr>
      </w:pPr>
      <w:r w:rsidRPr="0030358C">
        <w:rPr>
          <w:rFonts w:ascii="Arial" w:hAnsi="Arial" w:cs="Arial"/>
          <w:bCs/>
          <w:strike/>
          <w:sz w:val="22"/>
          <w:szCs w:val="22"/>
          <w:lang w:eastAsia="zh-CN"/>
        </w:rPr>
        <w:t xml:space="preserve">Technická podmínka provozu: </w:t>
      </w:r>
    </w:p>
    <w:p w14:paraId="2D701EF5" w14:textId="77777777" w:rsidR="008F52C8" w:rsidRPr="0030358C" w:rsidRDefault="00000000" w:rsidP="008F52C8">
      <w:pPr>
        <w:spacing w:before="144"/>
        <w:jc w:val="both"/>
        <w:rPr>
          <w:rFonts w:ascii="Arial" w:hAnsi="Arial" w:cs="Arial"/>
          <w:bCs/>
          <w:strike/>
          <w:sz w:val="22"/>
          <w:szCs w:val="22"/>
          <w:lang w:eastAsia="zh-CN"/>
        </w:rPr>
      </w:pPr>
      <w:r w:rsidRPr="0030358C">
        <w:rPr>
          <w:rFonts w:ascii="Arial" w:hAnsi="Arial" w:cs="Arial"/>
          <w:bCs/>
          <w:strike/>
          <w:sz w:val="22"/>
          <w:szCs w:val="22"/>
          <w:lang w:eastAsia="zh-CN"/>
        </w:rPr>
        <w:t>Za účelem snížení emisí znečišťujících látek obtěžujících zápachem využívat opatření ke snižování emisí těchto látek, např. provedením odsávání odpadních plynů do zařízení k omezování emisí, zakrytováním jímek a dopravníků, uzavřením objektů, pravidelným odstraňováním usazenin organického původu ze zařízení pro předčištění odpadních vod, dodržování technologické kázně.</w:t>
      </w:r>
    </w:p>
    <w:p w14:paraId="4160610A" w14:textId="77777777" w:rsidR="008F52C8" w:rsidRPr="0030358C" w:rsidRDefault="008F52C8" w:rsidP="008F52C8">
      <w:pPr>
        <w:rPr>
          <w:rFonts w:ascii="Arial" w:hAnsi="Arial" w:cs="Arial"/>
          <w:b/>
          <w:strike/>
          <w:sz w:val="22"/>
          <w:szCs w:val="22"/>
          <w:lang w:eastAsia="zh-CN"/>
        </w:rPr>
      </w:pPr>
    </w:p>
    <w:p w14:paraId="297793C7" w14:textId="77777777" w:rsidR="008F52C8" w:rsidRPr="0030358C" w:rsidRDefault="008F52C8" w:rsidP="008F52C8">
      <w:pPr>
        <w:rPr>
          <w:rFonts w:ascii="Arial" w:hAnsi="Arial" w:cs="Arial"/>
          <w:b/>
          <w:strike/>
          <w:sz w:val="22"/>
          <w:szCs w:val="22"/>
          <w:lang w:eastAsia="zh-CN"/>
        </w:rPr>
      </w:pPr>
    </w:p>
    <w:p w14:paraId="6B6CF648" w14:textId="77777777" w:rsidR="008F52C8" w:rsidRPr="0030358C" w:rsidRDefault="00000000" w:rsidP="008F52C8">
      <w:pPr>
        <w:keepNext/>
        <w:numPr>
          <w:ilvl w:val="1"/>
          <w:numId w:val="0"/>
        </w:numPr>
        <w:tabs>
          <w:tab w:val="num" w:pos="0"/>
        </w:tabs>
        <w:spacing w:before="60"/>
        <w:ind w:left="576" w:hanging="576"/>
        <w:outlineLvl w:val="1"/>
        <w:rPr>
          <w:rFonts w:ascii="Arial" w:hAnsi="Arial" w:cs="Arial"/>
          <w:b/>
          <w:caps/>
          <w:strike/>
          <w:sz w:val="22"/>
          <w:szCs w:val="22"/>
          <w:lang w:eastAsia="zh-CN"/>
        </w:rPr>
      </w:pPr>
      <w:r w:rsidRPr="0030358C">
        <w:rPr>
          <w:rFonts w:ascii="Arial" w:hAnsi="Arial" w:cs="Arial"/>
          <w:b/>
          <w:caps/>
          <w:strike/>
          <w:sz w:val="22"/>
          <w:szCs w:val="22"/>
          <w:lang w:eastAsia="zh-CN"/>
        </w:rPr>
        <w:t xml:space="preserve">2. Energetika – OSTATNÍ </w:t>
      </w:r>
    </w:p>
    <w:p w14:paraId="4E3122D0" w14:textId="77777777" w:rsidR="008F52C8" w:rsidRPr="0030358C" w:rsidRDefault="008F52C8" w:rsidP="008F52C8">
      <w:pPr>
        <w:keepNext/>
        <w:numPr>
          <w:ilvl w:val="2"/>
          <w:numId w:val="0"/>
        </w:numPr>
        <w:tabs>
          <w:tab w:val="num" w:pos="0"/>
        </w:tabs>
        <w:spacing w:before="60"/>
        <w:ind w:left="720"/>
        <w:outlineLvl w:val="2"/>
        <w:rPr>
          <w:rFonts w:ascii="Arial" w:hAnsi="Arial" w:cs="Arial"/>
          <w:b/>
          <w:strike/>
          <w:sz w:val="22"/>
          <w:szCs w:val="22"/>
          <w:lang w:eastAsia="zh-CN"/>
        </w:rPr>
      </w:pPr>
    </w:p>
    <w:p w14:paraId="4E116CBD" w14:textId="77777777" w:rsidR="008F52C8" w:rsidRPr="0030358C" w:rsidRDefault="00000000" w:rsidP="008F52C8">
      <w:pPr>
        <w:spacing w:before="120"/>
        <w:rPr>
          <w:rFonts w:ascii="Arial" w:hAnsi="Arial" w:cs="Arial"/>
          <w:bCs/>
          <w:strike/>
          <w:sz w:val="22"/>
          <w:szCs w:val="22"/>
          <w:lang w:eastAsia="zh-CN"/>
        </w:rPr>
      </w:pPr>
      <w:r w:rsidRPr="0030358C">
        <w:rPr>
          <w:rFonts w:ascii="Arial" w:hAnsi="Arial" w:cs="Arial"/>
          <w:b/>
          <w:strike/>
          <w:sz w:val="22"/>
          <w:szCs w:val="22"/>
          <w:lang w:eastAsia="zh-CN"/>
        </w:rPr>
        <w:t xml:space="preserve">2.1. Rozmrazovny s přímým procesním ohřevem </w:t>
      </w:r>
      <w:r w:rsidRPr="0030358C">
        <w:rPr>
          <w:rFonts w:ascii="Arial" w:hAnsi="Arial" w:cs="Arial"/>
          <w:bCs/>
          <w:strike/>
          <w:sz w:val="22"/>
          <w:szCs w:val="22"/>
          <w:lang w:eastAsia="zh-CN"/>
        </w:rPr>
        <w:t>(kód 3.2. přílohy č. 2 k zákonu)</w:t>
      </w:r>
    </w:p>
    <w:p w14:paraId="0D856D13" w14:textId="77777777" w:rsidR="008F52C8" w:rsidRPr="0030358C" w:rsidRDefault="008F52C8" w:rsidP="008F52C8">
      <w:pPr>
        <w:spacing w:before="120"/>
        <w:rPr>
          <w:rFonts w:ascii="Arial" w:hAnsi="Arial" w:cs="Arial"/>
          <w:b/>
          <w:strike/>
          <w:sz w:val="22"/>
          <w:szCs w:val="22"/>
          <w:lang w:eastAsia="zh-CN"/>
        </w:rPr>
      </w:pPr>
    </w:p>
    <w:tbl>
      <w:tblPr>
        <w:tblW w:w="0" w:type="auto"/>
        <w:tblInd w:w="-6" w:type="dxa"/>
        <w:tblLayout w:type="fixed"/>
        <w:tblCellMar>
          <w:left w:w="10" w:type="dxa"/>
          <w:right w:w="10" w:type="dxa"/>
        </w:tblCellMar>
        <w:tblLook w:val="0000" w:firstRow="0" w:lastRow="0" w:firstColumn="0" w:lastColumn="0" w:noHBand="0" w:noVBand="0"/>
      </w:tblPr>
      <w:tblGrid>
        <w:gridCol w:w="2934"/>
        <w:gridCol w:w="3112"/>
        <w:gridCol w:w="3343"/>
      </w:tblGrid>
      <w:tr w:rsidR="00E40657" w14:paraId="3E1B6278" w14:textId="77777777" w:rsidTr="00732453">
        <w:trPr>
          <w:cantSplit/>
          <w:trHeight w:hRule="exact" w:val="341"/>
        </w:trPr>
        <w:tc>
          <w:tcPr>
            <w:tcW w:w="6046" w:type="dxa"/>
            <w:gridSpan w:val="2"/>
            <w:tcBorders>
              <w:top w:val="single" w:sz="2" w:space="0" w:color="000000"/>
              <w:left w:val="single" w:sz="2" w:space="0" w:color="000000"/>
              <w:bottom w:val="single" w:sz="2" w:space="0" w:color="000000"/>
            </w:tcBorders>
            <w:shd w:val="clear" w:color="auto" w:fill="auto"/>
            <w:vAlign w:val="center"/>
          </w:tcPr>
          <w:p w14:paraId="52B62048"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343" w:type="dxa"/>
            <w:vMerge w:val="restart"/>
            <w:tcBorders>
              <w:top w:val="single" w:sz="2" w:space="0" w:color="000000"/>
              <w:left w:val="single" w:sz="2" w:space="0" w:color="000000"/>
              <w:right w:val="single" w:sz="2" w:space="0" w:color="000000"/>
            </w:tcBorders>
            <w:shd w:val="clear" w:color="auto" w:fill="auto"/>
            <w:vAlign w:val="center"/>
          </w:tcPr>
          <w:p w14:paraId="300154B5"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43DD7437" w14:textId="77777777" w:rsidTr="00732453">
        <w:trPr>
          <w:cantSplit/>
          <w:trHeight w:hRule="exact" w:val="482"/>
        </w:trPr>
        <w:tc>
          <w:tcPr>
            <w:tcW w:w="2934" w:type="dxa"/>
            <w:tcBorders>
              <w:top w:val="single" w:sz="2" w:space="0" w:color="000000"/>
              <w:left w:val="single" w:sz="2" w:space="0" w:color="000000"/>
              <w:bottom w:val="single" w:sz="2" w:space="0" w:color="000000"/>
            </w:tcBorders>
            <w:shd w:val="clear" w:color="auto" w:fill="auto"/>
            <w:vAlign w:val="center"/>
          </w:tcPr>
          <w:p w14:paraId="3B9D70B5"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3112" w:type="dxa"/>
            <w:tcBorders>
              <w:top w:val="single" w:sz="2" w:space="0" w:color="000000"/>
              <w:left w:val="single" w:sz="2" w:space="0" w:color="000000"/>
              <w:bottom w:val="single" w:sz="2" w:space="0" w:color="000000"/>
            </w:tcBorders>
            <w:shd w:val="clear" w:color="auto" w:fill="auto"/>
            <w:vAlign w:val="center"/>
          </w:tcPr>
          <w:p w14:paraId="21F9A4CD"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CO</w:t>
            </w:r>
          </w:p>
        </w:tc>
        <w:tc>
          <w:tcPr>
            <w:tcW w:w="3343" w:type="dxa"/>
            <w:vMerge/>
            <w:tcBorders>
              <w:left w:val="single" w:sz="2" w:space="0" w:color="000000"/>
              <w:bottom w:val="single" w:sz="2" w:space="0" w:color="000000"/>
              <w:right w:val="single" w:sz="2" w:space="0" w:color="000000"/>
            </w:tcBorders>
            <w:shd w:val="clear" w:color="auto" w:fill="auto"/>
            <w:vAlign w:val="center"/>
          </w:tcPr>
          <w:p w14:paraId="0134062C" w14:textId="77777777" w:rsidR="008F52C8" w:rsidRPr="0030358C" w:rsidRDefault="008F52C8" w:rsidP="00732453">
            <w:pPr>
              <w:widowControl w:val="0"/>
              <w:autoSpaceDE w:val="0"/>
              <w:snapToGrid w:val="0"/>
              <w:jc w:val="center"/>
              <w:rPr>
                <w:rFonts w:ascii="Arial" w:hAnsi="Arial" w:cs="Arial"/>
                <w:b/>
                <w:bCs/>
                <w:strike/>
                <w:sz w:val="22"/>
                <w:szCs w:val="22"/>
                <w:lang w:eastAsia="zh-CN"/>
              </w:rPr>
            </w:pPr>
          </w:p>
        </w:tc>
      </w:tr>
      <w:tr w:rsidR="00E40657" w14:paraId="35DD577A" w14:textId="77777777" w:rsidTr="00732453">
        <w:trPr>
          <w:trHeight w:hRule="exact" w:val="508"/>
        </w:trPr>
        <w:tc>
          <w:tcPr>
            <w:tcW w:w="2934" w:type="dxa"/>
            <w:tcBorders>
              <w:top w:val="single" w:sz="2" w:space="0" w:color="000000"/>
              <w:left w:val="single" w:sz="2" w:space="0" w:color="000000"/>
              <w:bottom w:val="single" w:sz="2" w:space="0" w:color="000000"/>
            </w:tcBorders>
            <w:shd w:val="clear" w:color="auto" w:fill="auto"/>
            <w:vAlign w:val="center"/>
          </w:tcPr>
          <w:p w14:paraId="21C03E98"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3112" w:type="dxa"/>
            <w:tcBorders>
              <w:top w:val="single" w:sz="2" w:space="0" w:color="000000"/>
              <w:left w:val="single" w:sz="2" w:space="0" w:color="000000"/>
              <w:bottom w:val="single" w:sz="2" w:space="0" w:color="000000"/>
            </w:tcBorders>
            <w:shd w:val="clear" w:color="auto" w:fill="auto"/>
            <w:vAlign w:val="center"/>
          </w:tcPr>
          <w:p w14:paraId="672E1FA3"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33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80A8EC"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0771B2F9" w14:textId="77777777" w:rsidR="008F52C8" w:rsidRPr="0030358C" w:rsidRDefault="008F52C8" w:rsidP="008F52C8">
      <w:pPr>
        <w:rPr>
          <w:rFonts w:ascii="Arial" w:hAnsi="Arial" w:cs="Arial"/>
          <w:b/>
          <w:strike/>
          <w:sz w:val="22"/>
          <w:szCs w:val="22"/>
          <w:lang w:eastAsia="zh-CN"/>
        </w:rPr>
      </w:pPr>
    </w:p>
    <w:p w14:paraId="2FEBB128" w14:textId="77777777" w:rsidR="008F52C8" w:rsidRPr="0030358C" w:rsidRDefault="00000000" w:rsidP="008F52C8">
      <w:pPr>
        <w:spacing w:before="120"/>
        <w:rPr>
          <w:rFonts w:ascii="Arial" w:hAnsi="Arial" w:cs="Arial"/>
          <w:b/>
          <w:strike/>
          <w:sz w:val="22"/>
          <w:szCs w:val="22"/>
          <w:lang w:eastAsia="zh-CN"/>
        </w:rPr>
      </w:pPr>
      <w:r w:rsidRPr="0030358C">
        <w:rPr>
          <w:rFonts w:ascii="Arial" w:hAnsi="Arial" w:cs="Arial"/>
          <w:b/>
          <w:strike/>
          <w:sz w:val="22"/>
          <w:szCs w:val="22"/>
          <w:lang w:eastAsia="zh-CN"/>
        </w:rPr>
        <w:t>2.2. Třídění a úprava uhlí, briketárny</w:t>
      </w:r>
    </w:p>
    <w:p w14:paraId="7FF815EE" w14:textId="77777777" w:rsidR="008F52C8" w:rsidRPr="0030358C" w:rsidRDefault="00000000" w:rsidP="008F52C8">
      <w:pPr>
        <w:spacing w:before="120"/>
        <w:rPr>
          <w:rFonts w:ascii="Arial" w:hAnsi="Arial" w:cs="Arial"/>
          <w:bCs/>
          <w:strike/>
          <w:sz w:val="22"/>
          <w:szCs w:val="22"/>
          <w:lang w:eastAsia="zh-CN"/>
        </w:rPr>
      </w:pPr>
      <w:r w:rsidRPr="0030358C">
        <w:rPr>
          <w:rFonts w:ascii="Arial" w:hAnsi="Arial" w:cs="Arial"/>
          <w:b/>
          <w:strike/>
          <w:sz w:val="22"/>
          <w:szCs w:val="22"/>
          <w:lang w:eastAsia="zh-CN"/>
        </w:rPr>
        <w:t xml:space="preserve">2.2.1. Třídění a jiná studená úprava uhlí </w:t>
      </w:r>
      <w:r w:rsidRPr="0030358C">
        <w:rPr>
          <w:rFonts w:ascii="Arial" w:hAnsi="Arial" w:cs="Arial"/>
          <w:bCs/>
          <w:strike/>
          <w:sz w:val="22"/>
          <w:szCs w:val="22"/>
          <w:lang w:eastAsia="zh-CN"/>
        </w:rPr>
        <w:t>(kód 3.3. přílohy č. 2 k zákonu)</w:t>
      </w:r>
    </w:p>
    <w:p w14:paraId="6B6E59D3" w14:textId="77777777" w:rsidR="008F52C8" w:rsidRPr="0030358C" w:rsidRDefault="008F52C8" w:rsidP="008F52C8">
      <w:pPr>
        <w:rPr>
          <w:rFonts w:ascii="Arial" w:hAnsi="Arial" w:cs="Arial"/>
          <w:b/>
          <w:strike/>
          <w:sz w:val="22"/>
          <w:szCs w:val="22"/>
          <w:lang w:eastAsia="zh-CN"/>
        </w:rPr>
      </w:pPr>
    </w:p>
    <w:tbl>
      <w:tblPr>
        <w:tblW w:w="0" w:type="auto"/>
        <w:tblInd w:w="-15" w:type="dxa"/>
        <w:tblLayout w:type="fixed"/>
        <w:tblLook w:val="0000" w:firstRow="0" w:lastRow="0" w:firstColumn="0" w:lastColumn="0" w:noHBand="0" w:noVBand="0"/>
      </w:tblPr>
      <w:tblGrid>
        <w:gridCol w:w="4785"/>
        <w:gridCol w:w="4815"/>
      </w:tblGrid>
      <w:tr w:rsidR="00E40657" w14:paraId="5EE99C1D"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0378D1F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1CA4C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3574068" w14:textId="77777777" w:rsidTr="00732453">
        <w:trPr>
          <w:cantSplit/>
          <w:trHeight w:hRule="exact" w:val="430"/>
        </w:trPr>
        <w:tc>
          <w:tcPr>
            <w:tcW w:w="4785" w:type="dxa"/>
            <w:tcBorders>
              <w:top w:val="single" w:sz="4" w:space="0" w:color="000000"/>
              <w:left w:val="single" w:sz="4" w:space="0" w:color="000000"/>
              <w:bottom w:val="single" w:sz="4" w:space="0" w:color="000000"/>
            </w:tcBorders>
            <w:shd w:val="clear" w:color="auto" w:fill="auto"/>
            <w:vAlign w:val="center"/>
          </w:tcPr>
          <w:p w14:paraId="4316E51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608EE8" w14:textId="77777777" w:rsidR="008F52C8" w:rsidRPr="0030358C" w:rsidRDefault="008F52C8" w:rsidP="00732453">
            <w:pPr>
              <w:snapToGrid w:val="0"/>
              <w:rPr>
                <w:rFonts w:ascii="Arial" w:hAnsi="Arial" w:cs="Arial"/>
                <w:b/>
                <w:strike/>
                <w:sz w:val="22"/>
                <w:szCs w:val="22"/>
                <w:lang w:eastAsia="zh-CN"/>
              </w:rPr>
            </w:pPr>
          </w:p>
        </w:tc>
      </w:tr>
      <w:tr w:rsidR="00E40657" w14:paraId="51D1E0A8" w14:textId="77777777" w:rsidTr="00732453">
        <w:trPr>
          <w:cantSplit/>
          <w:trHeight w:hRule="exact" w:val="676"/>
        </w:trPr>
        <w:tc>
          <w:tcPr>
            <w:tcW w:w="4785" w:type="dxa"/>
            <w:tcBorders>
              <w:top w:val="single" w:sz="4" w:space="0" w:color="000000"/>
              <w:left w:val="single" w:sz="4" w:space="0" w:color="000000"/>
              <w:bottom w:val="single" w:sz="4" w:space="0" w:color="000000"/>
            </w:tcBorders>
            <w:shd w:val="clear" w:color="auto" w:fill="auto"/>
            <w:vAlign w:val="center"/>
          </w:tcPr>
          <w:p w14:paraId="754EC5B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p>
          <w:p w14:paraId="6A04326E"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1)</w:t>
            </w:r>
          </w:p>
        </w:tc>
        <w:tc>
          <w:tcPr>
            <w:tcW w:w="4815" w:type="dxa"/>
            <w:tcBorders>
              <w:left w:val="single" w:sz="4" w:space="0" w:color="000000"/>
              <w:bottom w:val="single" w:sz="4" w:space="0" w:color="000000"/>
              <w:right w:val="single" w:sz="4" w:space="0" w:color="000000"/>
            </w:tcBorders>
            <w:shd w:val="clear" w:color="auto" w:fill="auto"/>
            <w:vAlign w:val="center"/>
          </w:tcPr>
          <w:p w14:paraId="3E0F994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7778012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1)</w:t>
            </w:r>
          </w:p>
        </w:tc>
      </w:tr>
    </w:tbl>
    <w:p w14:paraId="7BA4679E" w14:textId="77777777" w:rsidR="008F52C8" w:rsidRPr="0030358C" w:rsidRDefault="00000000" w:rsidP="008F52C8">
      <w:pPr>
        <w:widowControl w:val="0"/>
        <w:autoSpaceDE w:val="0"/>
        <w:jc w:val="both"/>
        <w:rPr>
          <w:rFonts w:ascii="Arial" w:hAnsi="Arial" w:cs="Arial"/>
          <w:iCs/>
          <w:strike/>
          <w:sz w:val="22"/>
          <w:szCs w:val="22"/>
          <w:lang w:eastAsia="zh-CN"/>
        </w:rPr>
      </w:pPr>
      <w:r w:rsidRPr="0030358C">
        <w:rPr>
          <w:rFonts w:ascii="Arial" w:hAnsi="Arial" w:cs="Arial"/>
          <w:strike/>
          <w:sz w:val="22"/>
          <w:szCs w:val="22"/>
          <w:lang w:eastAsia="zh-CN"/>
        </w:rPr>
        <w:t>Vysvětlivka</w:t>
      </w:r>
      <w:r w:rsidRPr="0030358C">
        <w:rPr>
          <w:rFonts w:ascii="Arial" w:hAnsi="Arial" w:cs="Arial"/>
          <w:iCs/>
          <w:strike/>
          <w:sz w:val="22"/>
          <w:szCs w:val="22"/>
          <w:lang w:eastAsia="zh-CN"/>
        </w:rPr>
        <w:t>: 1)</w:t>
      </w:r>
      <w:r w:rsidRPr="0030358C">
        <w:rPr>
          <w:rFonts w:ascii="Arial" w:hAnsi="Arial" w:cs="Arial"/>
          <w:iCs/>
          <w:strike/>
          <w:sz w:val="22"/>
          <w:szCs w:val="22"/>
          <w:lang w:eastAsia="zh-CN"/>
        </w:rPr>
        <w:tab/>
        <w:t>Platí od 1. ledna 2020.</w:t>
      </w:r>
    </w:p>
    <w:p w14:paraId="6D280963" w14:textId="77777777" w:rsidR="008F52C8" w:rsidRPr="0030358C" w:rsidRDefault="008F52C8" w:rsidP="008F52C8">
      <w:pPr>
        <w:spacing w:before="120"/>
        <w:rPr>
          <w:rFonts w:ascii="Arial" w:hAnsi="Arial" w:cs="Arial"/>
          <w:b/>
          <w:strike/>
          <w:sz w:val="22"/>
          <w:szCs w:val="22"/>
          <w:lang w:eastAsia="zh-CN"/>
        </w:rPr>
      </w:pPr>
    </w:p>
    <w:p w14:paraId="33FD17DF" w14:textId="77777777" w:rsidR="008F52C8" w:rsidRPr="0030358C" w:rsidRDefault="00000000" w:rsidP="008F52C8">
      <w:pPr>
        <w:spacing w:before="120"/>
        <w:rPr>
          <w:rFonts w:ascii="Arial" w:hAnsi="Arial" w:cs="Arial"/>
          <w:bCs/>
          <w:strike/>
          <w:sz w:val="22"/>
          <w:szCs w:val="22"/>
          <w:lang w:eastAsia="zh-CN"/>
        </w:rPr>
      </w:pPr>
      <w:r w:rsidRPr="0030358C">
        <w:rPr>
          <w:rFonts w:ascii="Arial" w:hAnsi="Arial" w:cs="Arial"/>
          <w:b/>
          <w:strike/>
          <w:sz w:val="22"/>
          <w:szCs w:val="22"/>
          <w:lang w:eastAsia="zh-CN"/>
        </w:rPr>
        <w:t xml:space="preserve">2.2.2. Tepelná úprava uhlí (briketárny, nízkoteplotní karbonizace, sušení) </w:t>
      </w:r>
      <w:r w:rsidRPr="0030358C">
        <w:rPr>
          <w:rFonts w:ascii="Arial" w:hAnsi="Arial" w:cs="Arial"/>
          <w:bCs/>
          <w:strike/>
          <w:sz w:val="22"/>
          <w:szCs w:val="22"/>
          <w:lang w:eastAsia="zh-CN"/>
        </w:rPr>
        <w:t>(kód 3.4. přílohy č. 2 k zákonu)</w:t>
      </w:r>
    </w:p>
    <w:p w14:paraId="0F899810" w14:textId="77777777" w:rsidR="008F52C8" w:rsidRPr="0030358C" w:rsidRDefault="008F52C8" w:rsidP="008F52C8">
      <w:pPr>
        <w:rPr>
          <w:rFonts w:ascii="Arial" w:hAnsi="Arial" w:cs="Arial"/>
          <w:b/>
          <w:strike/>
          <w:sz w:val="22"/>
          <w:szCs w:val="22"/>
          <w:lang w:eastAsia="zh-CN"/>
        </w:rPr>
      </w:pPr>
    </w:p>
    <w:tbl>
      <w:tblPr>
        <w:tblW w:w="0" w:type="auto"/>
        <w:tblInd w:w="-15" w:type="dxa"/>
        <w:tblLayout w:type="fixed"/>
        <w:tblLook w:val="0000" w:firstRow="0" w:lastRow="0" w:firstColumn="0" w:lastColumn="0" w:noHBand="0" w:noVBand="0"/>
      </w:tblPr>
      <w:tblGrid>
        <w:gridCol w:w="3595"/>
        <w:gridCol w:w="3594"/>
        <w:gridCol w:w="2411"/>
      </w:tblGrid>
      <w:tr w:rsidR="00E40657" w14:paraId="4A6D15C5" w14:textId="77777777" w:rsidTr="00732453">
        <w:trPr>
          <w:cantSplit/>
          <w:trHeight w:hRule="exact" w:val="340"/>
        </w:trPr>
        <w:tc>
          <w:tcPr>
            <w:tcW w:w="7189" w:type="dxa"/>
            <w:gridSpan w:val="2"/>
            <w:tcBorders>
              <w:top w:val="single" w:sz="4" w:space="0" w:color="000000"/>
              <w:left w:val="single" w:sz="4" w:space="0" w:color="000000"/>
              <w:bottom w:val="single" w:sz="4" w:space="0" w:color="000000"/>
            </w:tcBorders>
            <w:shd w:val="clear" w:color="auto" w:fill="auto"/>
            <w:vAlign w:val="center"/>
          </w:tcPr>
          <w:p w14:paraId="2C9B4D5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4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F1FC6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1305049" w14:textId="77777777" w:rsidTr="00732453">
        <w:trPr>
          <w:cantSplit/>
          <w:trHeight w:hRule="exact" w:val="373"/>
        </w:trPr>
        <w:tc>
          <w:tcPr>
            <w:tcW w:w="3595" w:type="dxa"/>
            <w:tcBorders>
              <w:left w:val="single" w:sz="4" w:space="0" w:color="000000"/>
              <w:bottom w:val="single" w:sz="4" w:space="0" w:color="000000"/>
            </w:tcBorders>
            <w:shd w:val="clear" w:color="auto" w:fill="auto"/>
            <w:vAlign w:val="center"/>
          </w:tcPr>
          <w:p w14:paraId="55E9074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3594" w:type="dxa"/>
            <w:tcBorders>
              <w:left w:val="single" w:sz="4" w:space="0" w:color="000000"/>
              <w:bottom w:val="single" w:sz="4" w:space="0" w:color="000000"/>
            </w:tcBorders>
            <w:shd w:val="clear" w:color="auto" w:fill="auto"/>
            <w:vAlign w:val="center"/>
          </w:tcPr>
          <w:p w14:paraId="67C9DB8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TOC</w:t>
            </w:r>
          </w:p>
        </w:tc>
        <w:tc>
          <w:tcPr>
            <w:tcW w:w="24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F8B479" w14:textId="77777777" w:rsidR="008F52C8" w:rsidRPr="0030358C" w:rsidRDefault="008F52C8" w:rsidP="00732453">
            <w:pPr>
              <w:snapToGrid w:val="0"/>
              <w:rPr>
                <w:rFonts w:ascii="Arial" w:hAnsi="Arial" w:cs="Arial"/>
                <w:b/>
                <w:strike/>
                <w:sz w:val="22"/>
                <w:szCs w:val="22"/>
                <w:lang w:eastAsia="zh-CN"/>
              </w:rPr>
            </w:pPr>
          </w:p>
        </w:tc>
      </w:tr>
      <w:tr w:rsidR="00E40657" w14:paraId="5D379A90" w14:textId="77777777" w:rsidTr="00732453">
        <w:trPr>
          <w:cantSplit/>
          <w:trHeight w:hRule="exact" w:val="655"/>
        </w:trPr>
        <w:tc>
          <w:tcPr>
            <w:tcW w:w="3595" w:type="dxa"/>
            <w:tcBorders>
              <w:left w:val="single" w:sz="4" w:space="0" w:color="000000"/>
              <w:bottom w:val="single" w:sz="4" w:space="0" w:color="000000"/>
            </w:tcBorders>
            <w:shd w:val="clear" w:color="auto" w:fill="auto"/>
            <w:vAlign w:val="center"/>
          </w:tcPr>
          <w:p w14:paraId="6584E18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p>
          <w:p w14:paraId="35CDC0C1"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1)</w:t>
            </w:r>
          </w:p>
        </w:tc>
        <w:tc>
          <w:tcPr>
            <w:tcW w:w="3594" w:type="dxa"/>
            <w:tcBorders>
              <w:left w:val="single" w:sz="4" w:space="0" w:color="000000"/>
              <w:bottom w:val="single" w:sz="4" w:space="0" w:color="000000"/>
            </w:tcBorders>
            <w:shd w:val="clear" w:color="auto" w:fill="auto"/>
            <w:vAlign w:val="center"/>
          </w:tcPr>
          <w:p w14:paraId="3168807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2411" w:type="dxa"/>
            <w:tcBorders>
              <w:left w:val="single" w:sz="4" w:space="0" w:color="000000"/>
              <w:bottom w:val="single" w:sz="4" w:space="0" w:color="000000"/>
              <w:right w:val="single" w:sz="4" w:space="0" w:color="000000"/>
            </w:tcBorders>
            <w:shd w:val="clear" w:color="auto" w:fill="auto"/>
            <w:vAlign w:val="center"/>
          </w:tcPr>
          <w:p w14:paraId="1115DCC2" w14:textId="77777777" w:rsidR="008F52C8" w:rsidRPr="0030358C" w:rsidRDefault="00000000" w:rsidP="00732453">
            <w:pPr>
              <w:snapToGrid w:val="0"/>
              <w:rPr>
                <w:rFonts w:ascii="Arial" w:hAnsi="Arial" w:cs="Arial"/>
                <w:bCs/>
                <w:strike/>
                <w:sz w:val="22"/>
                <w:szCs w:val="22"/>
                <w:lang w:eastAsia="zh-CN"/>
              </w:rPr>
            </w:pPr>
            <w:r w:rsidRPr="0030358C">
              <w:rPr>
                <w:rFonts w:ascii="Arial" w:hAnsi="Arial" w:cs="Arial"/>
                <w:bCs/>
                <w:strike/>
                <w:sz w:val="22"/>
                <w:szCs w:val="22"/>
                <w:lang w:eastAsia="zh-CN"/>
              </w:rPr>
              <w:t xml:space="preserve">               C</w:t>
            </w:r>
          </w:p>
          <w:p w14:paraId="0EC2AB70"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B</w:t>
            </w:r>
            <w:r w:rsidRPr="0030358C">
              <w:rPr>
                <w:rFonts w:ascii="Arial" w:hAnsi="Arial" w:cs="Arial"/>
                <w:bCs/>
                <w:strike/>
                <w:sz w:val="22"/>
                <w:szCs w:val="22"/>
                <w:vertAlign w:val="superscript"/>
                <w:lang w:eastAsia="zh-CN"/>
              </w:rPr>
              <w:t>1)</w:t>
            </w:r>
          </w:p>
        </w:tc>
      </w:tr>
    </w:tbl>
    <w:p w14:paraId="39316CF7" w14:textId="77777777" w:rsidR="008F52C8" w:rsidRPr="0030358C" w:rsidRDefault="00000000" w:rsidP="008F52C8">
      <w:pPr>
        <w:widowControl w:val="0"/>
        <w:autoSpaceDE w:val="0"/>
        <w:jc w:val="both"/>
        <w:rPr>
          <w:rFonts w:ascii="Arial" w:hAnsi="Arial" w:cs="Arial"/>
          <w:strike/>
          <w:sz w:val="22"/>
          <w:szCs w:val="22"/>
          <w:lang w:eastAsia="zh-CN"/>
        </w:rPr>
      </w:pPr>
      <w:r w:rsidRPr="0030358C">
        <w:rPr>
          <w:rFonts w:ascii="Arial" w:hAnsi="Arial" w:cs="Arial"/>
          <w:strike/>
          <w:sz w:val="22"/>
          <w:szCs w:val="22"/>
          <w:lang w:eastAsia="zh-CN"/>
        </w:rPr>
        <w:t>Vysvětlivka</w:t>
      </w:r>
      <w:r w:rsidRPr="0030358C">
        <w:rPr>
          <w:rFonts w:ascii="Arial" w:hAnsi="Arial" w:cs="Arial"/>
          <w:iCs/>
          <w:strike/>
          <w:sz w:val="22"/>
          <w:szCs w:val="22"/>
          <w:lang w:eastAsia="zh-CN"/>
        </w:rPr>
        <w:t>: 1)</w:t>
      </w:r>
      <w:r w:rsidRPr="0030358C">
        <w:rPr>
          <w:rFonts w:ascii="Arial" w:hAnsi="Arial" w:cs="Arial"/>
          <w:iCs/>
          <w:strike/>
          <w:sz w:val="22"/>
          <w:szCs w:val="22"/>
          <w:lang w:eastAsia="zh-CN"/>
        </w:rPr>
        <w:tab/>
        <w:t>Platí od 1. ledna 2020</w:t>
      </w:r>
      <w:r w:rsidRPr="0030358C">
        <w:rPr>
          <w:rFonts w:ascii="Arial" w:hAnsi="Arial" w:cs="Arial"/>
          <w:strike/>
          <w:sz w:val="22"/>
          <w:szCs w:val="22"/>
          <w:lang w:eastAsia="zh-CN"/>
        </w:rPr>
        <w:t>.</w:t>
      </w:r>
    </w:p>
    <w:p w14:paraId="382E13BA" w14:textId="77777777" w:rsidR="008F52C8" w:rsidRPr="0030358C" w:rsidRDefault="008F52C8" w:rsidP="008F52C8">
      <w:pPr>
        <w:spacing w:before="60"/>
        <w:rPr>
          <w:rFonts w:ascii="Arial" w:hAnsi="Arial" w:cs="Arial"/>
          <w:b/>
          <w:strike/>
          <w:sz w:val="22"/>
          <w:szCs w:val="22"/>
          <w:u w:val="single"/>
          <w:lang w:eastAsia="zh-CN"/>
        </w:rPr>
      </w:pPr>
    </w:p>
    <w:p w14:paraId="5AB791CC"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2.3. Výroba koksu</w:t>
      </w:r>
    </w:p>
    <w:p w14:paraId="4F612709" w14:textId="77777777" w:rsidR="008F52C8" w:rsidRPr="0030358C" w:rsidRDefault="008F52C8" w:rsidP="008F52C8">
      <w:pPr>
        <w:autoSpaceDE w:val="0"/>
        <w:ind w:left="-23"/>
        <w:jc w:val="both"/>
        <w:rPr>
          <w:rFonts w:ascii="Arial" w:hAnsi="Arial" w:cs="Arial"/>
          <w:b/>
          <w:i/>
          <w:strike/>
          <w:sz w:val="22"/>
          <w:szCs w:val="22"/>
          <w:lang w:eastAsia="cs-CZ"/>
        </w:rPr>
      </w:pPr>
    </w:p>
    <w:p w14:paraId="5D235BA2"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2.3.1. – 2.3.3. </w:t>
      </w:r>
      <w:r w:rsidRPr="0030358C">
        <w:rPr>
          <w:rFonts w:ascii="Arial" w:hAnsi="Arial" w:cs="Arial"/>
          <w:bCs/>
          <w:strike/>
          <w:sz w:val="22"/>
          <w:szCs w:val="22"/>
          <w:lang w:eastAsia="zh-CN"/>
        </w:rPr>
        <w:t>(kódy 3.5.1,  3.5.2,  3.5.4. přílohy č. 2 k zákonu)</w:t>
      </w:r>
    </w:p>
    <w:p w14:paraId="307F4E1D" w14:textId="77777777" w:rsidR="008F52C8" w:rsidRPr="0030358C" w:rsidRDefault="008F52C8" w:rsidP="008F52C8">
      <w:pPr>
        <w:rPr>
          <w:rFonts w:ascii="Arial" w:hAnsi="Arial" w:cs="Arial"/>
          <w:b/>
          <w:strike/>
          <w:sz w:val="22"/>
          <w:szCs w:val="22"/>
          <w:lang w:eastAsia="zh-CN"/>
        </w:rPr>
      </w:pPr>
    </w:p>
    <w:tbl>
      <w:tblPr>
        <w:tblW w:w="9600" w:type="dxa"/>
        <w:tblInd w:w="-15" w:type="dxa"/>
        <w:tblLayout w:type="fixed"/>
        <w:tblLook w:val="0000" w:firstRow="0" w:lastRow="0" w:firstColumn="0" w:lastColumn="0" w:noHBand="0" w:noVBand="0"/>
      </w:tblPr>
      <w:tblGrid>
        <w:gridCol w:w="1608"/>
        <w:gridCol w:w="1292"/>
        <w:gridCol w:w="1449"/>
        <w:gridCol w:w="1619"/>
        <w:gridCol w:w="1399"/>
        <w:gridCol w:w="2233"/>
      </w:tblGrid>
      <w:tr w:rsidR="00E40657" w14:paraId="579D33F5" w14:textId="77777777" w:rsidTr="00732453">
        <w:trPr>
          <w:cantSplit/>
          <w:trHeight w:hRule="exact" w:val="340"/>
        </w:trPr>
        <w:tc>
          <w:tcPr>
            <w:tcW w:w="5968" w:type="dxa"/>
            <w:gridSpan w:val="4"/>
            <w:tcBorders>
              <w:top w:val="single" w:sz="4" w:space="0" w:color="000000"/>
              <w:left w:val="single" w:sz="4" w:space="0" w:color="000000"/>
              <w:bottom w:val="single" w:sz="4" w:space="0" w:color="000000"/>
            </w:tcBorders>
            <w:shd w:val="clear" w:color="auto" w:fill="auto"/>
            <w:vAlign w:val="center"/>
          </w:tcPr>
          <w:p w14:paraId="1EE4767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399" w:type="dxa"/>
            <w:vMerge w:val="restart"/>
            <w:tcBorders>
              <w:top w:val="single" w:sz="4" w:space="0" w:color="000000"/>
              <w:left w:val="single" w:sz="4" w:space="0" w:color="000000"/>
              <w:bottom w:val="single" w:sz="4" w:space="0" w:color="000000"/>
            </w:tcBorders>
            <w:shd w:val="clear" w:color="auto" w:fill="auto"/>
            <w:vAlign w:val="center"/>
          </w:tcPr>
          <w:p w14:paraId="3DA19B75"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O</w:t>
            </w:r>
            <w:r w:rsidRPr="0030358C">
              <w:rPr>
                <w:rFonts w:ascii="Arial" w:hAnsi="Arial" w:cs="Arial"/>
                <w:b/>
                <w:strike/>
                <w:sz w:val="22"/>
                <w:szCs w:val="22"/>
                <w:vertAlign w:val="subscript"/>
                <w:lang w:eastAsia="zh-CN"/>
              </w:rPr>
              <w:t>2R</w:t>
            </w:r>
          </w:p>
          <w:p w14:paraId="7BD5A461" w14:textId="77777777" w:rsidR="008F52C8" w:rsidRPr="0030358C" w:rsidRDefault="00000000" w:rsidP="00732453">
            <w:pPr>
              <w:jc w:val="center"/>
              <w:rPr>
                <w:rFonts w:ascii="Arial" w:hAnsi="Arial" w:cs="Arial"/>
                <w:b/>
                <w:strike/>
                <w:sz w:val="22"/>
                <w:szCs w:val="22"/>
                <w:lang w:eastAsia="zh-CN"/>
              </w:rPr>
            </w:pPr>
            <w:r w:rsidRPr="0030358C">
              <w:rPr>
                <w:rFonts w:ascii="Arial" w:hAnsi="Arial" w:cs="Arial"/>
                <w:b/>
                <w:strike/>
                <w:sz w:val="22"/>
                <w:szCs w:val="22"/>
                <w:lang w:eastAsia="zh-CN"/>
              </w:rPr>
              <w:t>[%]</w:t>
            </w:r>
          </w:p>
        </w:tc>
        <w:tc>
          <w:tcPr>
            <w:tcW w:w="22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10050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4F10B9B5" w14:textId="77777777" w:rsidTr="00732453">
        <w:trPr>
          <w:cantSplit/>
          <w:trHeight w:hRule="exact" w:val="720"/>
        </w:trPr>
        <w:tc>
          <w:tcPr>
            <w:tcW w:w="1608" w:type="dxa"/>
            <w:tcBorders>
              <w:left w:val="single" w:sz="4" w:space="0" w:color="000000"/>
              <w:bottom w:val="single" w:sz="4" w:space="0" w:color="000000"/>
            </w:tcBorders>
            <w:shd w:val="clear" w:color="auto" w:fill="auto"/>
            <w:vAlign w:val="center"/>
          </w:tcPr>
          <w:p w14:paraId="44DF1F1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292" w:type="dxa"/>
            <w:tcBorders>
              <w:left w:val="single" w:sz="4" w:space="0" w:color="000000"/>
              <w:bottom w:val="single" w:sz="4" w:space="0" w:color="000000"/>
            </w:tcBorders>
            <w:shd w:val="clear" w:color="auto" w:fill="auto"/>
            <w:vAlign w:val="center"/>
          </w:tcPr>
          <w:p w14:paraId="3EB95E99"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449" w:type="dxa"/>
            <w:tcBorders>
              <w:left w:val="single" w:sz="4" w:space="0" w:color="000000"/>
              <w:bottom w:val="single" w:sz="4" w:space="0" w:color="000000"/>
            </w:tcBorders>
            <w:shd w:val="clear" w:color="auto" w:fill="auto"/>
            <w:vAlign w:val="center"/>
          </w:tcPr>
          <w:p w14:paraId="686EDCDC"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619" w:type="dxa"/>
            <w:tcBorders>
              <w:left w:val="single" w:sz="4" w:space="0" w:color="000000"/>
              <w:bottom w:val="single" w:sz="4" w:space="0" w:color="000000"/>
            </w:tcBorders>
            <w:shd w:val="clear" w:color="auto" w:fill="auto"/>
            <w:vAlign w:val="center"/>
          </w:tcPr>
          <w:p w14:paraId="001BD67E" w14:textId="77777777" w:rsidR="008F52C8" w:rsidRPr="0030358C" w:rsidRDefault="00000000" w:rsidP="00732453">
            <w:pPr>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PAH</w:t>
            </w:r>
            <w:r w:rsidRPr="0030358C">
              <w:rPr>
                <w:rFonts w:ascii="Arial" w:hAnsi="Arial" w:cs="Arial"/>
                <w:b/>
                <w:strike/>
                <w:sz w:val="22"/>
                <w:szCs w:val="22"/>
                <w:vertAlign w:val="superscript"/>
                <w:lang w:eastAsia="zh-CN"/>
              </w:rPr>
              <w:t>1)</w:t>
            </w:r>
          </w:p>
        </w:tc>
        <w:tc>
          <w:tcPr>
            <w:tcW w:w="1399" w:type="dxa"/>
            <w:vMerge/>
            <w:tcBorders>
              <w:top w:val="single" w:sz="4" w:space="0" w:color="000000"/>
              <w:left w:val="single" w:sz="4" w:space="0" w:color="000000"/>
              <w:bottom w:val="single" w:sz="4" w:space="0" w:color="000000"/>
            </w:tcBorders>
            <w:shd w:val="clear" w:color="auto" w:fill="auto"/>
            <w:vAlign w:val="center"/>
          </w:tcPr>
          <w:p w14:paraId="470048D6" w14:textId="77777777" w:rsidR="008F52C8" w:rsidRPr="0030358C" w:rsidRDefault="008F52C8" w:rsidP="00732453">
            <w:pPr>
              <w:snapToGrid w:val="0"/>
              <w:rPr>
                <w:rFonts w:ascii="Arial" w:hAnsi="Arial" w:cs="Arial"/>
                <w:b/>
                <w:strike/>
                <w:sz w:val="22"/>
                <w:szCs w:val="22"/>
                <w:lang w:eastAsia="zh-CN"/>
              </w:rPr>
            </w:pPr>
          </w:p>
        </w:tc>
        <w:tc>
          <w:tcPr>
            <w:tcW w:w="22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F701E6" w14:textId="77777777" w:rsidR="008F52C8" w:rsidRPr="0030358C" w:rsidRDefault="008F52C8" w:rsidP="00732453">
            <w:pPr>
              <w:snapToGrid w:val="0"/>
              <w:rPr>
                <w:rFonts w:ascii="Arial" w:hAnsi="Arial" w:cs="Arial"/>
                <w:b/>
                <w:strike/>
                <w:sz w:val="22"/>
                <w:szCs w:val="22"/>
                <w:lang w:eastAsia="zh-CN"/>
              </w:rPr>
            </w:pPr>
          </w:p>
        </w:tc>
      </w:tr>
      <w:tr w:rsidR="00E40657" w14:paraId="5C974068" w14:textId="77777777" w:rsidTr="00732453">
        <w:trPr>
          <w:cantSplit/>
          <w:trHeight w:hRule="exact" w:val="340"/>
        </w:trPr>
        <w:tc>
          <w:tcPr>
            <w:tcW w:w="9600" w:type="dxa"/>
            <w:gridSpan w:val="6"/>
            <w:tcBorders>
              <w:left w:val="single" w:sz="4" w:space="0" w:color="000000"/>
              <w:bottom w:val="single" w:sz="4" w:space="0" w:color="000000"/>
              <w:right w:val="single" w:sz="4" w:space="0" w:color="000000"/>
            </w:tcBorders>
            <w:shd w:val="clear" w:color="auto" w:fill="auto"/>
            <w:vAlign w:val="center"/>
          </w:tcPr>
          <w:p w14:paraId="4FB136FC"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 xml:space="preserve">2.3.1. Otop koksárenských baterií </w:t>
            </w:r>
            <w:r w:rsidRPr="0030358C">
              <w:rPr>
                <w:rFonts w:ascii="Arial" w:hAnsi="Arial" w:cs="Arial"/>
                <w:bCs/>
                <w:strike/>
                <w:sz w:val="22"/>
                <w:szCs w:val="22"/>
                <w:lang w:eastAsia="zh-CN"/>
              </w:rPr>
              <w:t>(kód 3.5.1. přílohy č. 2 k zákonu)</w:t>
            </w:r>
          </w:p>
        </w:tc>
      </w:tr>
      <w:tr w:rsidR="00E40657" w14:paraId="4F45DB60" w14:textId="77777777" w:rsidTr="00732453">
        <w:trPr>
          <w:cantSplit/>
          <w:trHeight w:hRule="exact" w:val="346"/>
        </w:trPr>
        <w:tc>
          <w:tcPr>
            <w:tcW w:w="1608" w:type="dxa"/>
            <w:tcBorders>
              <w:left w:val="single" w:sz="4" w:space="0" w:color="000000"/>
              <w:bottom w:val="single" w:sz="4" w:space="0" w:color="000000"/>
            </w:tcBorders>
            <w:shd w:val="clear" w:color="auto" w:fill="auto"/>
            <w:vAlign w:val="center"/>
          </w:tcPr>
          <w:p w14:paraId="318EADF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292" w:type="dxa"/>
            <w:tcBorders>
              <w:left w:val="single" w:sz="4" w:space="0" w:color="000000"/>
              <w:bottom w:val="single" w:sz="4" w:space="0" w:color="000000"/>
            </w:tcBorders>
            <w:shd w:val="clear" w:color="auto" w:fill="auto"/>
            <w:vAlign w:val="center"/>
          </w:tcPr>
          <w:p w14:paraId="49B4FB4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1449" w:type="dxa"/>
            <w:tcBorders>
              <w:left w:val="single" w:sz="4" w:space="0" w:color="000000"/>
              <w:bottom w:val="single" w:sz="4" w:space="0" w:color="000000"/>
            </w:tcBorders>
            <w:shd w:val="clear" w:color="auto" w:fill="auto"/>
            <w:vAlign w:val="center"/>
          </w:tcPr>
          <w:p w14:paraId="3F18BA1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1619" w:type="dxa"/>
            <w:tcBorders>
              <w:left w:val="single" w:sz="4" w:space="0" w:color="000000"/>
              <w:bottom w:val="single" w:sz="4" w:space="0" w:color="000000"/>
            </w:tcBorders>
            <w:shd w:val="clear" w:color="auto" w:fill="auto"/>
            <w:vAlign w:val="center"/>
          </w:tcPr>
          <w:p w14:paraId="32A8FD3F" w14:textId="77777777" w:rsidR="008F52C8" w:rsidRPr="0030358C" w:rsidRDefault="008F52C8" w:rsidP="00732453">
            <w:pPr>
              <w:snapToGrid w:val="0"/>
              <w:jc w:val="center"/>
              <w:rPr>
                <w:rFonts w:ascii="Arial" w:hAnsi="Arial" w:cs="Arial"/>
                <w:bCs/>
                <w:strike/>
                <w:sz w:val="22"/>
                <w:szCs w:val="22"/>
                <w:lang w:eastAsia="zh-CN"/>
              </w:rPr>
            </w:pPr>
          </w:p>
        </w:tc>
        <w:tc>
          <w:tcPr>
            <w:tcW w:w="1399" w:type="dxa"/>
            <w:tcBorders>
              <w:left w:val="single" w:sz="4" w:space="0" w:color="000000"/>
              <w:bottom w:val="single" w:sz="4" w:space="0" w:color="000000"/>
            </w:tcBorders>
            <w:shd w:val="clear" w:color="auto" w:fill="auto"/>
            <w:vAlign w:val="center"/>
          </w:tcPr>
          <w:p w14:paraId="1808266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2233" w:type="dxa"/>
            <w:tcBorders>
              <w:left w:val="single" w:sz="4" w:space="0" w:color="000000"/>
              <w:bottom w:val="single" w:sz="4" w:space="0" w:color="000000"/>
              <w:right w:val="single" w:sz="4" w:space="0" w:color="000000"/>
            </w:tcBorders>
            <w:shd w:val="clear" w:color="auto" w:fill="auto"/>
            <w:vAlign w:val="center"/>
          </w:tcPr>
          <w:p w14:paraId="0BB58F4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34409FDF" w14:textId="77777777" w:rsidTr="00732453">
        <w:trPr>
          <w:cantSplit/>
          <w:trHeight w:hRule="exact" w:val="346"/>
        </w:trPr>
        <w:tc>
          <w:tcPr>
            <w:tcW w:w="9600" w:type="dxa"/>
            <w:gridSpan w:val="6"/>
            <w:tcBorders>
              <w:left w:val="single" w:sz="4" w:space="0" w:color="000000"/>
              <w:bottom w:val="single" w:sz="4" w:space="0" w:color="000000"/>
              <w:right w:val="single" w:sz="4" w:space="0" w:color="000000"/>
            </w:tcBorders>
            <w:shd w:val="clear" w:color="auto" w:fill="auto"/>
            <w:vAlign w:val="center"/>
          </w:tcPr>
          <w:p w14:paraId="45FDCA24"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 xml:space="preserve">2.3.2. Příprava uhelné vsázky </w:t>
            </w:r>
            <w:r w:rsidRPr="0030358C">
              <w:rPr>
                <w:rFonts w:ascii="Arial" w:hAnsi="Arial" w:cs="Arial"/>
                <w:bCs/>
                <w:strike/>
                <w:sz w:val="22"/>
                <w:szCs w:val="22"/>
                <w:lang w:eastAsia="zh-CN"/>
              </w:rPr>
              <w:t>(kód 3.5.2. přílohy č. 2 k zákonu)</w:t>
            </w:r>
          </w:p>
        </w:tc>
      </w:tr>
      <w:tr w:rsidR="00E40657" w14:paraId="128A70C3" w14:textId="77777777" w:rsidTr="00732453">
        <w:trPr>
          <w:cantSplit/>
          <w:trHeight w:hRule="exact" w:val="370"/>
        </w:trPr>
        <w:tc>
          <w:tcPr>
            <w:tcW w:w="1608" w:type="dxa"/>
            <w:tcBorders>
              <w:left w:val="single" w:sz="4" w:space="0" w:color="000000"/>
              <w:bottom w:val="single" w:sz="4" w:space="0" w:color="000000"/>
            </w:tcBorders>
            <w:shd w:val="clear" w:color="auto" w:fill="auto"/>
            <w:vAlign w:val="center"/>
          </w:tcPr>
          <w:p w14:paraId="2E41EAD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292" w:type="dxa"/>
            <w:tcBorders>
              <w:left w:val="single" w:sz="4" w:space="0" w:color="000000"/>
              <w:bottom w:val="single" w:sz="4" w:space="0" w:color="000000"/>
            </w:tcBorders>
            <w:shd w:val="clear" w:color="auto" w:fill="auto"/>
            <w:vAlign w:val="center"/>
          </w:tcPr>
          <w:p w14:paraId="31DB99E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449" w:type="dxa"/>
            <w:tcBorders>
              <w:left w:val="single" w:sz="4" w:space="0" w:color="000000"/>
              <w:bottom w:val="single" w:sz="4" w:space="0" w:color="000000"/>
            </w:tcBorders>
            <w:shd w:val="clear" w:color="auto" w:fill="auto"/>
            <w:vAlign w:val="center"/>
          </w:tcPr>
          <w:p w14:paraId="50AC955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619" w:type="dxa"/>
            <w:tcBorders>
              <w:left w:val="single" w:sz="4" w:space="0" w:color="000000"/>
              <w:bottom w:val="single" w:sz="4" w:space="0" w:color="000000"/>
            </w:tcBorders>
            <w:shd w:val="clear" w:color="auto" w:fill="auto"/>
            <w:vAlign w:val="center"/>
          </w:tcPr>
          <w:p w14:paraId="07EA746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399" w:type="dxa"/>
            <w:tcBorders>
              <w:left w:val="single" w:sz="4" w:space="0" w:color="000000"/>
              <w:bottom w:val="single" w:sz="4" w:space="0" w:color="000000"/>
            </w:tcBorders>
            <w:shd w:val="clear" w:color="auto" w:fill="auto"/>
            <w:vAlign w:val="center"/>
          </w:tcPr>
          <w:p w14:paraId="487FD9D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233" w:type="dxa"/>
            <w:tcBorders>
              <w:left w:val="single" w:sz="4" w:space="0" w:color="000000"/>
              <w:bottom w:val="single" w:sz="4" w:space="0" w:color="000000"/>
              <w:right w:val="single" w:sz="4" w:space="0" w:color="000000"/>
            </w:tcBorders>
            <w:shd w:val="clear" w:color="auto" w:fill="auto"/>
            <w:vAlign w:val="center"/>
          </w:tcPr>
          <w:p w14:paraId="6BD62D0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08920083" w14:textId="77777777" w:rsidTr="00732453">
        <w:trPr>
          <w:cantSplit/>
          <w:trHeight w:hRule="exact" w:val="370"/>
        </w:trPr>
        <w:tc>
          <w:tcPr>
            <w:tcW w:w="9600" w:type="dxa"/>
            <w:gridSpan w:val="6"/>
            <w:tcBorders>
              <w:left w:val="single" w:sz="4" w:space="0" w:color="000000"/>
              <w:bottom w:val="single" w:sz="4" w:space="0" w:color="000000"/>
              <w:right w:val="single" w:sz="4" w:space="0" w:color="000000"/>
            </w:tcBorders>
            <w:shd w:val="clear" w:color="auto" w:fill="auto"/>
            <w:vAlign w:val="center"/>
          </w:tcPr>
          <w:p w14:paraId="6414AF32"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 xml:space="preserve">2.3.3 Vytlačování koksu </w:t>
            </w:r>
            <w:r w:rsidRPr="0030358C">
              <w:rPr>
                <w:rFonts w:ascii="Arial" w:hAnsi="Arial" w:cs="Arial"/>
                <w:bCs/>
                <w:strike/>
                <w:sz w:val="22"/>
                <w:szCs w:val="22"/>
                <w:lang w:eastAsia="zh-CN"/>
              </w:rPr>
              <w:t>(kód 3.5.4. přílohy č. 2 k zákonu)</w:t>
            </w:r>
          </w:p>
        </w:tc>
      </w:tr>
      <w:tr w:rsidR="00E40657" w14:paraId="420D7433" w14:textId="77777777" w:rsidTr="00732453">
        <w:trPr>
          <w:cantSplit/>
          <w:trHeight w:hRule="exact" w:val="408"/>
        </w:trPr>
        <w:tc>
          <w:tcPr>
            <w:tcW w:w="1608" w:type="dxa"/>
            <w:tcBorders>
              <w:left w:val="single" w:sz="4" w:space="0" w:color="000000"/>
              <w:bottom w:val="single" w:sz="4" w:space="0" w:color="000000"/>
            </w:tcBorders>
            <w:shd w:val="clear" w:color="auto" w:fill="auto"/>
            <w:vAlign w:val="center"/>
          </w:tcPr>
          <w:p w14:paraId="642A51E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292" w:type="dxa"/>
            <w:tcBorders>
              <w:left w:val="single" w:sz="4" w:space="0" w:color="000000"/>
              <w:bottom w:val="single" w:sz="4" w:space="0" w:color="000000"/>
            </w:tcBorders>
            <w:shd w:val="clear" w:color="auto" w:fill="auto"/>
          </w:tcPr>
          <w:p w14:paraId="4695844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449" w:type="dxa"/>
            <w:tcBorders>
              <w:left w:val="single" w:sz="4" w:space="0" w:color="000000"/>
              <w:bottom w:val="single" w:sz="4" w:space="0" w:color="000000"/>
            </w:tcBorders>
            <w:shd w:val="clear" w:color="auto" w:fill="auto"/>
          </w:tcPr>
          <w:p w14:paraId="710084D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619" w:type="dxa"/>
            <w:tcBorders>
              <w:left w:val="single" w:sz="4" w:space="0" w:color="000000"/>
              <w:bottom w:val="single" w:sz="4" w:space="0" w:color="000000"/>
            </w:tcBorders>
            <w:shd w:val="clear" w:color="auto" w:fill="auto"/>
            <w:vAlign w:val="center"/>
          </w:tcPr>
          <w:p w14:paraId="3BF4046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0,2</w:t>
            </w:r>
          </w:p>
        </w:tc>
        <w:tc>
          <w:tcPr>
            <w:tcW w:w="1399" w:type="dxa"/>
            <w:tcBorders>
              <w:left w:val="single" w:sz="4" w:space="0" w:color="000000"/>
              <w:bottom w:val="single" w:sz="4" w:space="0" w:color="000000"/>
            </w:tcBorders>
            <w:shd w:val="clear" w:color="auto" w:fill="auto"/>
            <w:vAlign w:val="center"/>
          </w:tcPr>
          <w:p w14:paraId="1B5A433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233" w:type="dxa"/>
            <w:tcBorders>
              <w:left w:val="single" w:sz="4" w:space="0" w:color="000000"/>
              <w:bottom w:val="single" w:sz="4" w:space="0" w:color="000000"/>
              <w:right w:val="single" w:sz="4" w:space="0" w:color="000000"/>
            </w:tcBorders>
            <w:shd w:val="clear" w:color="auto" w:fill="auto"/>
            <w:vAlign w:val="center"/>
          </w:tcPr>
          <w:p w14:paraId="70D1F76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192FA883" w14:textId="77777777" w:rsidR="008F52C8" w:rsidRPr="0030358C" w:rsidRDefault="00000000" w:rsidP="008F52C8">
      <w:pPr>
        <w:widowControl w:val="0"/>
        <w:autoSpaceDE w:val="0"/>
        <w:jc w:val="both"/>
        <w:rPr>
          <w:rFonts w:ascii="Arial" w:hAnsi="Arial" w:cs="Arial"/>
          <w:strike/>
          <w:sz w:val="22"/>
          <w:szCs w:val="22"/>
          <w:lang w:eastAsia="zh-CN"/>
        </w:rPr>
      </w:pPr>
      <w:r w:rsidRPr="0030358C">
        <w:rPr>
          <w:rFonts w:ascii="Arial" w:hAnsi="Arial" w:cs="Arial"/>
          <w:strike/>
          <w:sz w:val="22"/>
          <w:szCs w:val="22"/>
          <w:lang w:eastAsia="zh-CN"/>
        </w:rPr>
        <w:t>Vysvětlivka</w:t>
      </w:r>
      <w:r w:rsidRPr="0030358C">
        <w:rPr>
          <w:rFonts w:ascii="Arial" w:hAnsi="Arial" w:cs="Arial"/>
          <w:iCs/>
          <w:strike/>
          <w:sz w:val="22"/>
          <w:szCs w:val="22"/>
          <w:lang w:eastAsia="zh-CN"/>
        </w:rPr>
        <w:t xml:space="preserve">:  1) </w:t>
      </w:r>
      <w:r w:rsidRPr="0030358C">
        <w:rPr>
          <w:rFonts w:ascii="Arial" w:hAnsi="Arial" w:cs="Arial"/>
          <w:strike/>
          <w:sz w:val="22"/>
          <w:szCs w:val="22"/>
          <w:lang w:eastAsia="zh-CN"/>
        </w:rPr>
        <w:t>Benzo(b)fluoranten, benzo(a)pyren, indeno(1,2,3-c,d)pyren, benzo(k)fluoranten.</w:t>
      </w:r>
    </w:p>
    <w:p w14:paraId="54607737" w14:textId="77777777" w:rsidR="008F52C8" w:rsidRPr="0030358C" w:rsidRDefault="008F52C8" w:rsidP="008F52C8">
      <w:pPr>
        <w:numPr>
          <w:ilvl w:val="2"/>
          <w:numId w:val="0"/>
        </w:numPr>
        <w:tabs>
          <w:tab w:val="num" w:pos="0"/>
        </w:tabs>
        <w:spacing w:before="120"/>
        <w:ind w:left="720"/>
        <w:jc w:val="both"/>
        <w:outlineLvl w:val="2"/>
        <w:rPr>
          <w:rFonts w:ascii="Arial" w:hAnsi="Arial" w:cs="Arial"/>
          <w:b/>
          <w:strike/>
          <w:sz w:val="22"/>
          <w:szCs w:val="22"/>
          <w:lang w:eastAsia="zh-CN"/>
        </w:rPr>
      </w:pPr>
    </w:p>
    <w:p w14:paraId="13CA59B7" w14:textId="77777777" w:rsidR="008F52C8" w:rsidRPr="0030358C" w:rsidRDefault="00000000" w:rsidP="008F52C8">
      <w:pPr>
        <w:numPr>
          <w:ilvl w:val="2"/>
          <w:numId w:val="0"/>
        </w:numPr>
        <w:tabs>
          <w:tab w:val="num" w:pos="0"/>
        </w:tabs>
        <w:spacing w:before="120"/>
        <w:jc w:val="both"/>
        <w:outlineLvl w:val="2"/>
        <w:rPr>
          <w:rFonts w:ascii="Arial" w:hAnsi="Arial" w:cs="Arial"/>
          <w:bCs/>
          <w:strike/>
          <w:sz w:val="22"/>
          <w:szCs w:val="22"/>
          <w:lang w:eastAsia="zh-CN"/>
        </w:rPr>
      </w:pPr>
      <w:r w:rsidRPr="0030358C">
        <w:rPr>
          <w:rFonts w:ascii="Arial" w:hAnsi="Arial" w:cs="Arial"/>
          <w:bCs/>
          <w:strike/>
          <w:sz w:val="22"/>
          <w:szCs w:val="22"/>
          <w:lang w:eastAsia="zh-CN"/>
        </w:rPr>
        <w:t>Technické podmínky provozu:</w:t>
      </w:r>
    </w:p>
    <w:p w14:paraId="54E08810"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 xml:space="preserve">a) Koksárenský plyn používaný pro otop koksárenských baterií musí být odsířený. </w:t>
      </w:r>
    </w:p>
    <w:p w14:paraId="44D0ABB3"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b) Plnicí plyny při plnění koksovacích komor jsou odváděny do surového koksárenského plynu nebo do jiné koksovací komory. Podmínky průběhu operačního cyklu stanoví provozní řád.</w:t>
      </w:r>
    </w:p>
    <w:p w14:paraId="1457BC5C"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c) Zařízení chemických provozů koksoven jsou zabezpečena proti únikům VOC do vnějšího ovzduší. Voda z přímého chlazení plynu nesmí být v přímém styku s ovzduším.</w:t>
      </w:r>
    </w:p>
    <w:p w14:paraId="04E1D018"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d) Obsah sulfanu v koksárenském plynu na výstupu z chemických provozů nesmí překročit 500 mg/m</w:t>
      </w:r>
      <w:r w:rsidRPr="0030358C">
        <w:rPr>
          <w:rFonts w:ascii="Arial" w:hAnsi="Arial" w:cs="Arial"/>
          <w:bCs/>
          <w:strike/>
          <w:sz w:val="22"/>
          <w:szCs w:val="22"/>
          <w:vertAlign w:val="superscript"/>
          <w:lang w:eastAsia="zh-CN"/>
        </w:rPr>
        <w:t>3</w:t>
      </w:r>
      <w:r w:rsidRPr="0030358C">
        <w:rPr>
          <w:rFonts w:ascii="Arial" w:hAnsi="Arial" w:cs="Arial"/>
          <w:bCs/>
          <w:strike/>
          <w:sz w:val="22"/>
          <w:szCs w:val="22"/>
          <w:lang w:eastAsia="zh-CN"/>
        </w:rPr>
        <w:t>. Obsah sulfanu se zjišťuje trvale provozním měřením.</w:t>
      </w:r>
    </w:p>
    <w:p w14:paraId="65F8E4CF"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e) Vypouštění koksárenského plynu do ovzduší není dovoleno. Podmínky pro jeho případné řízené spalování v souladu s bodem 2 části I této přílohy je třeba stanovit v provozním řádu.</w:t>
      </w:r>
    </w:p>
    <w:p w14:paraId="186ECCF7"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 xml:space="preserve">f) Těsnost dveří koksovacích komor musí být trvale zajištěna pravidelným čištěním, seřizováním, opravami a náhradním způsobem tak, aby nebyly zjevné emise posuzované ze vzdálenosti cca 30 m u více než 10 % dveří komor na strojové i koksové straně. </w:t>
      </w:r>
    </w:p>
    <w:p w14:paraId="6DB9EB8E"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g) Při vytlačování koksu z koksovacích komor musí být odpadní plyny jímány a zaváděny do odprašovacího zařízení.</w:t>
      </w:r>
    </w:p>
    <w:p w14:paraId="108E9FE6"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Cs/>
          <w:strike/>
          <w:sz w:val="22"/>
          <w:szCs w:val="22"/>
          <w:lang w:eastAsia="zh-CN"/>
        </w:rPr>
      </w:pPr>
      <w:r w:rsidRPr="0030358C">
        <w:rPr>
          <w:rFonts w:ascii="Arial" w:hAnsi="Arial" w:cs="Arial"/>
          <w:bCs/>
          <w:strike/>
          <w:sz w:val="22"/>
          <w:szCs w:val="22"/>
          <w:lang w:eastAsia="zh-CN"/>
        </w:rPr>
        <w:t>h) Při poruše na odsávání surového koksárenského plynu z koksárenských baterií a při nutnosti spalovat jej na flérách musí být zastaveno vytlačování a plnění koksovacích komor.</w:t>
      </w:r>
    </w:p>
    <w:p w14:paraId="4A98F107" w14:textId="77777777" w:rsidR="008F52C8" w:rsidRPr="0030358C" w:rsidRDefault="008F52C8" w:rsidP="008F52C8">
      <w:pPr>
        <w:widowControl w:val="0"/>
        <w:tabs>
          <w:tab w:val="left" w:pos="284"/>
        </w:tabs>
        <w:autoSpaceDE w:val="0"/>
        <w:spacing w:before="60" w:line="300" w:lineRule="exact"/>
        <w:jc w:val="both"/>
        <w:rPr>
          <w:rFonts w:ascii="Arial" w:hAnsi="Arial" w:cs="Arial"/>
          <w:b/>
          <w:strike/>
          <w:sz w:val="22"/>
          <w:szCs w:val="22"/>
          <w:lang w:eastAsia="zh-CN"/>
        </w:rPr>
      </w:pPr>
    </w:p>
    <w:p w14:paraId="68637567" w14:textId="77777777" w:rsidR="008F52C8" w:rsidRPr="0030358C" w:rsidRDefault="00000000" w:rsidP="008F52C8">
      <w:pPr>
        <w:widowControl w:val="0"/>
        <w:tabs>
          <w:tab w:val="left" w:pos="284"/>
        </w:tabs>
        <w:autoSpaceDE w:val="0"/>
        <w:spacing w:before="60" w:line="300" w:lineRule="exact"/>
        <w:jc w:val="both"/>
        <w:rPr>
          <w:rFonts w:ascii="Arial" w:hAnsi="Arial" w:cs="Arial"/>
          <w:b/>
          <w:strike/>
          <w:sz w:val="22"/>
          <w:szCs w:val="22"/>
          <w:lang w:eastAsia="zh-CN"/>
        </w:rPr>
      </w:pPr>
      <w:r w:rsidRPr="0030358C">
        <w:rPr>
          <w:rFonts w:ascii="Arial" w:hAnsi="Arial" w:cs="Arial"/>
          <w:b/>
          <w:strike/>
          <w:sz w:val="22"/>
          <w:szCs w:val="22"/>
          <w:lang w:eastAsia="zh-CN"/>
        </w:rPr>
        <w:t xml:space="preserve">2.3.4. Třídění koksu </w:t>
      </w:r>
      <w:r w:rsidRPr="0030358C">
        <w:rPr>
          <w:rFonts w:ascii="Arial" w:hAnsi="Arial" w:cs="Arial"/>
          <w:bCs/>
          <w:strike/>
          <w:sz w:val="22"/>
          <w:szCs w:val="22"/>
          <w:lang w:eastAsia="zh-CN"/>
        </w:rPr>
        <w:t>(kód 3.5.5. přílohy č. 2 k zákonu)</w:t>
      </w:r>
    </w:p>
    <w:p w14:paraId="4A9BE4C8" w14:textId="77777777" w:rsidR="008F52C8" w:rsidRPr="0030358C" w:rsidRDefault="008F52C8" w:rsidP="008F52C8">
      <w:pPr>
        <w:widowControl w:val="0"/>
        <w:tabs>
          <w:tab w:val="left" w:pos="284"/>
        </w:tabs>
        <w:autoSpaceDE w:val="0"/>
        <w:spacing w:before="60" w:line="300" w:lineRule="exact"/>
        <w:jc w:val="both"/>
        <w:rPr>
          <w:rFonts w:ascii="Arial" w:hAnsi="Arial" w:cs="Arial"/>
          <w:b/>
          <w:strike/>
          <w:sz w:val="22"/>
          <w:szCs w:val="22"/>
          <w:lang w:eastAsia="zh-CN"/>
        </w:rPr>
      </w:pPr>
    </w:p>
    <w:tbl>
      <w:tblPr>
        <w:tblW w:w="9600" w:type="dxa"/>
        <w:tblInd w:w="-15" w:type="dxa"/>
        <w:tblLayout w:type="fixed"/>
        <w:tblLook w:val="0000" w:firstRow="0" w:lastRow="0" w:firstColumn="0" w:lastColumn="0" w:noHBand="0" w:noVBand="0"/>
      </w:tblPr>
      <w:tblGrid>
        <w:gridCol w:w="4785"/>
        <w:gridCol w:w="4815"/>
      </w:tblGrid>
      <w:tr w:rsidR="00E40657" w14:paraId="5D28A6AB"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59A4A9D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815" w:type="dxa"/>
            <w:vMerge w:val="restart"/>
            <w:tcBorders>
              <w:top w:val="single" w:sz="4" w:space="0" w:color="000000"/>
              <w:left w:val="single" w:sz="4" w:space="0" w:color="000000"/>
              <w:right w:val="single" w:sz="4" w:space="0" w:color="000000"/>
            </w:tcBorders>
            <w:shd w:val="clear" w:color="auto" w:fill="auto"/>
            <w:vAlign w:val="center"/>
          </w:tcPr>
          <w:p w14:paraId="1D1581F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85B1F5E"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7B8ECD3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815" w:type="dxa"/>
            <w:vMerge/>
            <w:tcBorders>
              <w:left w:val="single" w:sz="4" w:space="0" w:color="000000"/>
              <w:bottom w:val="single" w:sz="4" w:space="0" w:color="000000"/>
              <w:right w:val="single" w:sz="4" w:space="0" w:color="000000"/>
            </w:tcBorders>
            <w:shd w:val="clear" w:color="auto" w:fill="auto"/>
            <w:vAlign w:val="center"/>
          </w:tcPr>
          <w:p w14:paraId="306330FD" w14:textId="77777777" w:rsidR="008F52C8" w:rsidRPr="0030358C" w:rsidRDefault="008F52C8" w:rsidP="00732453">
            <w:pPr>
              <w:snapToGrid w:val="0"/>
              <w:jc w:val="center"/>
              <w:rPr>
                <w:rFonts w:ascii="Arial" w:hAnsi="Arial" w:cs="Arial"/>
                <w:b/>
                <w:strike/>
                <w:sz w:val="22"/>
                <w:szCs w:val="22"/>
                <w:lang w:eastAsia="zh-CN"/>
              </w:rPr>
            </w:pPr>
          </w:p>
        </w:tc>
      </w:tr>
      <w:tr w:rsidR="00E40657" w14:paraId="468E0733" w14:textId="77777777" w:rsidTr="00732453">
        <w:trPr>
          <w:cantSplit/>
          <w:trHeight w:hRule="exact" w:val="340"/>
        </w:trPr>
        <w:tc>
          <w:tcPr>
            <w:tcW w:w="4785" w:type="dxa"/>
            <w:tcBorders>
              <w:left w:val="single" w:sz="4" w:space="0" w:color="000000"/>
              <w:bottom w:val="single" w:sz="4" w:space="0" w:color="000000"/>
            </w:tcBorders>
            <w:shd w:val="clear" w:color="auto" w:fill="auto"/>
            <w:vAlign w:val="center"/>
          </w:tcPr>
          <w:p w14:paraId="0ACF419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p>
        </w:tc>
        <w:tc>
          <w:tcPr>
            <w:tcW w:w="4815" w:type="dxa"/>
            <w:tcBorders>
              <w:left w:val="single" w:sz="4" w:space="0" w:color="000000"/>
              <w:bottom w:val="single" w:sz="4" w:space="0" w:color="000000"/>
              <w:right w:val="single" w:sz="4" w:space="0" w:color="000000"/>
            </w:tcBorders>
            <w:shd w:val="clear" w:color="auto" w:fill="auto"/>
            <w:vAlign w:val="center"/>
          </w:tcPr>
          <w:p w14:paraId="4C146C5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51B6FA15" w14:textId="77777777" w:rsidR="008F52C8" w:rsidRPr="0030358C" w:rsidRDefault="008F52C8" w:rsidP="008F52C8">
      <w:pPr>
        <w:widowControl w:val="0"/>
        <w:tabs>
          <w:tab w:val="left" w:pos="284"/>
        </w:tabs>
        <w:autoSpaceDE w:val="0"/>
        <w:spacing w:before="60" w:line="300" w:lineRule="exact"/>
        <w:jc w:val="both"/>
        <w:rPr>
          <w:rFonts w:ascii="Arial" w:hAnsi="Arial" w:cs="Arial"/>
          <w:b/>
          <w:strike/>
          <w:sz w:val="22"/>
          <w:szCs w:val="22"/>
          <w:lang w:eastAsia="zh-CN"/>
        </w:rPr>
      </w:pPr>
    </w:p>
    <w:p w14:paraId="73A4C733" w14:textId="77777777" w:rsidR="008F52C8" w:rsidRPr="0030358C" w:rsidRDefault="00000000" w:rsidP="008F52C8">
      <w:pPr>
        <w:widowControl w:val="0"/>
        <w:tabs>
          <w:tab w:val="left" w:pos="284"/>
        </w:tabs>
        <w:autoSpaceDE w:val="0"/>
        <w:spacing w:before="60" w:line="300" w:lineRule="exact"/>
        <w:jc w:val="both"/>
        <w:rPr>
          <w:rFonts w:ascii="Arial" w:hAnsi="Arial" w:cs="Arial"/>
          <w:b/>
          <w:strike/>
          <w:sz w:val="22"/>
          <w:szCs w:val="22"/>
          <w:lang w:eastAsia="zh-CN"/>
        </w:rPr>
      </w:pPr>
      <w:r w:rsidRPr="0030358C">
        <w:rPr>
          <w:rFonts w:ascii="Arial" w:hAnsi="Arial" w:cs="Arial"/>
          <w:b/>
          <w:strike/>
          <w:sz w:val="22"/>
          <w:szCs w:val="22"/>
          <w:lang w:eastAsia="zh-CN"/>
        </w:rPr>
        <w:t xml:space="preserve">2.3.5. Chlazení koksu </w:t>
      </w:r>
      <w:r w:rsidRPr="0030358C">
        <w:rPr>
          <w:rFonts w:ascii="Arial" w:hAnsi="Arial" w:cs="Arial"/>
          <w:bCs/>
          <w:strike/>
          <w:sz w:val="22"/>
          <w:szCs w:val="22"/>
          <w:lang w:eastAsia="zh-CN"/>
        </w:rPr>
        <w:t>(kód 3.5.6. přílohy č. 2 k zákonu)</w:t>
      </w:r>
    </w:p>
    <w:p w14:paraId="137AEBFC" w14:textId="77777777" w:rsidR="008F52C8" w:rsidRPr="0030358C" w:rsidRDefault="008F52C8" w:rsidP="008F52C8">
      <w:pPr>
        <w:keepNext/>
        <w:numPr>
          <w:ilvl w:val="2"/>
          <w:numId w:val="0"/>
        </w:numPr>
        <w:tabs>
          <w:tab w:val="num" w:pos="0"/>
        </w:tabs>
        <w:ind w:left="720"/>
        <w:outlineLvl w:val="2"/>
        <w:rPr>
          <w:rFonts w:ascii="Arial" w:hAnsi="Arial" w:cs="Arial"/>
          <w:bCs/>
          <w:i/>
          <w:strike/>
          <w:sz w:val="22"/>
          <w:szCs w:val="22"/>
          <w:lang w:eastAsia="zh-CN"/>
        </w:rPr>
      </w:pPr>
    </w:p>
    <w:p w14:paraId="6DBBF125" w14:textId="77777777" w:rsidR="008F52C8" w:rsidRPr="0030358C" w:rsidRDefault="00000000" w:rsidP="008F52C8">
      <w:pPr>
        <w:keepNext/>
        <w:numPr>
          <w:ilvl w:val="1"/>
          <w:numId w:val="0"/>
        </w:numPr>
        <w:tabs>
          <w:tab w:val="num" w:pos="0"/>
        </w:tabs>
        <w:suppressAutoHyphens/>
        <w:ind w:left="576" w:hanging="576"/>
        <w:outlineLvl w:val="2"/>
        <w:rPr>
          <w:rFonts w:ascii="Arial" w:hAnsi="Arial" w:cs="Arial"/>
          <w:bCs/>
          <w:strike/>
          <w:sz w:val="22"/>
          <w:szCs w:val="22"/>
          <w:lang w:eastAsia="zh-CN"/>
        </w:rPr>
      </w:pPr>
      <w:r w:rsidRPr="0030358C">
        <w:rPr>
          <w:rFonts w:ascii="Arial" w:hAnsi="Arial" w:cs="Arial"/>
          <w:bCs/>
          <w:strike/>
          <w:sz w:val="22"/>
          <w:szCs w:val="22"/>
          <w:lang w:eastAsia="zh-CN"/>
        </w:rPr>
        <w:t>Technické podmínky provozu:</w:t>
      </w:r>
    </w:p>
    <w:p w14:paraId="5E1F0709" w14:textId="77777777" w:rsidR="008F52C8" w:rsidRPr="0030358C" w:rsidRDefault="00000000" w:rsidP="008F52C8">
      <w:pPr>
        <w:numPr>
          <w:ilvl w:val="2"/>
          <w:numId w:val="0"/>
        </w:numPr>
        <w:tabs>
          <w:tab w:val="num" w:pos="0"/>
        </w:tabs>
        <w:spacing w:before="120"/>
        <w:jc w:val="both"/>
        <w:outlineLvl w:val="2"/>
        <w:rPr>
          <w:rFonts w:ascii="Arial" w:hAnsi="Arial" w:cs="Arial"/>
          <w:bCs/>
          <w:strike/>
          <w:sz w:val="22"/>
          <w:szCs w:val="22"/>
          <w:lang w:eastAsia="zh-CN"/>
        </w:rPr>
      </w:pPr>
      <w:r w:rsidRPr="0030358C">
        <w:rPr>
          <w:rFonts w:ascii="Arial" w:hAnsi="Arial" w:cs="Arial"/>
          <w:bCs/>
          <w:strike/>
          <w:sz w:val="22"/>
          <w:szCs w:val="22"/>
          <w:lang w:eastAsia="zh-CN"/>
        </w:rPr>
        <w:t>Hasicí věže musí být vybaveny přepážkami na snižování emisí tuhých znečišťujících látek. U nových hasicích věží musí být jejich minimální výška alespoň 30 m.</w:t>
      </w:r>
    </w:p>
    <w:p w14:paraId="675DC201" w14:textId="77777777" w:rsidR="008F52C8" w:rsidRPr="0030358C" w:rsidRDefault="008F52C8" w:rsidP="008F52C8">
      <w:pPr>
        <w:keepNext/>
        <w:numPr>
          <w:ilvl w:val="2"/>
          <w:numId w:val="0"/>
        </w:numPr>
        <w:tabs>
          <w:tab w:val="num" w:pos="0"/>
        </w:tabs>
        <w:ind w:left="720"/>
        <w:outlineLvl w:val="2"/>
        <w:rPr>
          <w:rFonts w:ascii="Arial" w:hAnsi="Arial" w:cs="Arial"/>
          <w:b/>
          <w:i/>
          <w:strike/>
          <w:sz w:val="22"/>
          <w:szCs w:val="22"/>
          <w:lang w:eastAsia="zh-CN"/>
        </w:rPr>
      </w:pPr>
    </w:p>
    <w:p w14:paraId="12E8831F" w14:textId="77777777" w:rsidR="008F52C8" w:rsidRPr="0030358C" w:rsidRDefault="008F52C8" w:rsidP="008F52C8">
      <w:pPr>
        <w:keepNext/>
        <w:numPr>
          <w:ilvl w:val="2"/>
          <w:numId w:val="0"/>
        </w:numPr>
        <w:tabs>
          <w:tab w:val="num" w:pos="0"/>
        </w:tabs>
        <w:ind w:left="720"/>
        <w:outlineLvl w:val="2"/>
        <w:rPr>
          <w:rFonts w:ascii="Arial" w:hAnsi="Arial" w:cs="Arial"/>
          <w:b/>
          <w:i/>
          <w:strike/>
          <w:sz w:val="22"/>
          <w:szCs w:val="22"/>
          <w:lang w:eastAsia="zh-CN"/>
        </w:rPr>
      </w:pPr>
    </w:p>
    <w:p w14:paraId="7CFAFF2B"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2.4. Úprava uhlí a výroba plynů a olejů</w:t>
      </w:r>
    </w:p>
    <w:p w14:paraId="441C1CB1" w14:textId="77777777" w:rsidR="008F52C8" w:rsidRPr="0030358C" w:rsidRDefault="008F52C8" w:rsidP="008F52C8">
      <w:pPr>
        <w:keepNext/>
        <w:numPr>
          <w:ilvl w:val="2"/>
          <w:numId w:val="0"/>
        </w:numPr>
        <w:tabs>
          <w:tab w:val="num" w:pos="0"/>
        </w:tabs>
        <w:spacing w:before="60" w:after="40"/>
        <w:ind w:left="720"/>
        <w:jc w:val="both"/>
        <w:outlineLvl w:val="2"/>
        <w:rPr>
          <w:rFonts w:ascii="Arial" w:hAnsi="Arial" w:cs="Arial"/>
          <w:b/>
          <w:strike/>
          <w:sz w:val="22"/>
          <w:szCs w:val="22"/>
          <w:lang w:eastAsia="zh-CN"/>
        </w:rPr>
      </w:pPr>
    </w:p>
    <w:p w14:paraId="058586C0" w14:textId="77777777" w:rsidR="008F52C8" w:rsidRPr="0030358C" w:rsidRDefault="00000000" w:rsidP="008F52C8">
      <w:pPr>
        <w:keepNext/>
        <w:numPr>
          <w:ilvl w:val="2"/>
          <w:numId w:val="0"/>
        </w:numPr>
        <w:tabs>
          <w:tab w:val="num" w:pos="0"/>
        </w:tabs>
        <w:spacing w:before="60" w:after="40"/>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2.4.1. Zplyňování nebo zkapalňování uhlí, výroba nebo rafinace plynů, minerálních olejů nebo pyrolýzních olejů, výroba energetických plynů (generátorový plyn, svítiplyn) nebo syntézních plynů </w:t>
      </w:r>
      <w:r w:rsidRPr="0030358C">
        <w:rPr>
          <w:rFonts w:ascii="Arial" w:hAnsi="Arial" w:cs="Arial"/>
          <w:bCs/>
          <w:strike/>
          <w:sz w:val="22"/>
          <w:szCs w:val="22"/>
          <w:lang w:eastAsia="zh-CN"/>
        </w:rPr>
        <w:t>(kód 3.6. přílohy č. 2 k zákonu)</w:t>
      </w:r>
    </w:p>
    <w:tbl>
      <w:tblPr>
        <w:tblW w:w="0" w:type="auto"/>
        <w:tblInd w:w="-15" w:type="dxa"/>
        <w:tblLayout w:type="fixed"/>
        <w:tblLook w:val="0000" w:firstRow="0" w:lastRow="0" w:firstColumn="0" w:lastColumn="0" w:noHBand="0" w:noVBand="0"/>
      </w:tblPr>
      <w:tblGrid>
        <w:gridCol w:w="1090"/>
        <w:gridCol w:w="1321"/>
        <w:gridCol w:w="1321"/>
        <w:gridCol w:w="1321"/>
        <w:gridCol w:w="1321"/>
        <w:gridCol w:w="1506"/>
        <w:gridCol w:w="1720"/>
      </w:tblGrid>
      <w:tr w:rsidR="00E40657" w14:paraId="0B7A89C8" w14:textId="77777777" w:rsidTr="00732453">
        <w:trPr>
          <w:cantSplit/>
          <w:trHeight w:hRule="exact" w:val="340"/>
        </w:trPr>
        <w:tc>
          <w:tcPr>
            <w:tcW w:w="7880" w:type="dxa"/>
            <w:gridSpan w:val="6"/>
            <w:tcBorders>
              <w:top w:val="single" w:sz="4" w:space="0" w:color="000000"/>
              <w:left w:val="single" w:sz="4" w:space="0" w:color="000000"/>
              <w:bottom w:val="single" w:sz="4" w:space="0" w:color="000000"/>
            </w:tcBorders>
            <w:shd w:val="clear" w:color="auto" w:fill="auto"/>
          </w:tcPr>
          <w:p w14:paraId="6E8F1C0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r w:rsidRPr="0030358C">
              <w:rPr>
                <w:rFonts w:ascii="Arial" w:hAnsi="Arial" w:cs="Arial"/>
                <w:b/>
                <w:strike/>
                <w:sz w:val="22"/>
                <w:szCs w:val="22"/>
                <w:vertAlign w:val="superscript"/>
                <w:lang w:eastAsia="zh-CN"/>
              </w:rPr>
              <w:t xml:space="preserve"> 1)</w:t>
            </w:r>
          </w:p>
        </w:tc>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34610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42D99BF" w14:textId="77777777" w:rsidTr="00732453">
        <w:trPr>
          <w:cantSplit/>
          <w:trHeight w:hRule="exact" w:val="719"/>
        </w:trPr>
        <w:tc>
          <w:tcPr>
            <w:tcW w:w="1090" w:type="dxa"/>
            <w:tcBorders>
              <w:left w:val="single" w:sz="4" w:space="0" w:color="000000"/>
              <w:bottom w:val="single" w:sz="4" w:space="0" w:color="000000"/>
            </w:tcBorders>
            <w:shd w:val="clear" w:color="auto" w:fill="auto"/>
            <w:vAlign w:val="center"/>
          </w:tcPr>
          <w:p w14:paraId="7704816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321" w:type="dxa"/>
            <w:tcBorders>
              <w:left w:val="single" w:sz="4" w:space="0" w:color="000000"/>
              <w:bottom w:val="single" w:sz="4" w:space="0" w:color="000000"/>
            </w:tcBorders>
            <w:shd w:val="clear" w:color="auto" w:fill="auto"/>
            <w:vAlign w:val="center"/>
          </w:tcPr>
          <w:p w14:paraId="02E4D1F5"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321" w:type="dxa"/>
            <w:tcBorders>
              <w:left w:val="single" w:sz="4" w:space="0" w:color="000000"/>
              <w:bottom w:val="single" w:sz="4" w:space="0" w:color="000000"/>
            </w:tcBorders>
            <w:shd w:val="clear" w:color="auto" w:fill="auto"/>
            <w:vAlign w:val="center"/>
          </w:tcPr>
          <w:p w14:paraId="1F575948"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321" w:type="dxa"/>
            <w:tcBorders>
              <w:left w:val="single" w:sz="4" w:space="0" w:color="000000"/>
              <w:bottom w:val="single" w:sz="4" w:space="0" w:color="000000"/>
            </w:tcBorders>
            <w:shd w:val="clear" w:color="auto" w:fill="auto"/>
            <w:vAlign w:val="center"/>
          </w:tcPr>
          <w:p w14:paraId="7508D840"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1321" w:type="dxa"/>
            <w:tcBorders>
              <w:left w:val="single" w:sz="4" w:space="0" w:color="000000"/>
              <w:bottom w:val="single" w:sz="4" w:space="0" w:color="000000"/>
            </w:tcBorders>
            <w:shd w:val="clear" w:color="auto" w:fill="auto"/>
            <w:vAlign w:val="center"/>
          </w:tcPr>
          <w:p w14:paraId="6F5D0FD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sulfan</w:t>
            </w:r>
          </w:p>
        </w:tc>
        <w:tc>
          <w:tcPr>
            <w:tcW w:w="1506" w:type="dxa"/>
            <w:tcBorders>
              <w:left w:val="single" w:sz="4" w:space="0" w:color="000000"/>
              <w:bottom w:val="single" w:sz="4" w:space="0" w:color="000000"/>
            </w:tcBorders>
            <w:shd w:val="clear" w:color="auto" w:fill="auto"/>
            <w:vAlign w:val="center"/>
          </w:tcPr>
          <w:p w14:paraId="6035062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amoniak</w:t>
            </w:r>
          </w:p>
        </w:tc>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3A647A" w14:textId="77777777" w:rsidR="008F52C8" w:rsidRPr="0030358C" w:rsidRDefault="008F52C8" w:rsidP="00732453">
            <w:pPr>
              <w:snapToGrid w:val="0"/>
              <w:rPr>
                <w:rFonts w:ascii="Arial" w:hAnsi="Arial" w:cs="Arial"/>
                <w:b/>
                <w:strike/>
                <w:sz w:val="22"/>
                <w:szCs w:val="22"/>
                <w:lang w:eastAsia="zh-CN"/>
              </w:rPr>
            </w:pPr>
          </w:p>
        </w:tc>
      </w:tr>
      <w:tr w:rsidR="00E40657" w14:paraId="2CE386CC" w14:textId="77777777" w:rsidTr="00732453">
        <w:trPr>
          <w:trHeight w:hRule="exact" w:val="646"/>
        </w:trPr>
        <w:tc>
          <w:tcPr>
            <w:tcW w:w="1090" w:type="dxa"/>
            <w:tcBorders>
              <w:left w:val="single" w:sz="4" w:space="0" w:color="000000"/>
              <w:bottom w:val="single" w:sz="4" w:space="0" w:color="000000"/>
            </w:tcBorders>
            <w:shd w:val="clear" w:color="auto" w:fill="auto"/>
            <w:vAlign w:val="center"/>
          </w:tcPr>
          <w:p w14:paraId="1470374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150</w:t>
            </w:r>
          </w:p>
          <w:p w14:paraId="3005D1F3"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2)</w:t>
            </w:r>
          </w:p>
        </w:tc>
        <w:tc>
          <w:tcPr>
            <w:tcW w:w="1321" w:type="dxa"/>
            <w:tcBorders>
              <w:left w:val="single" w:sz="4" w:space="0" w:color="000000"/>
              <w:bottom w:val="single" w:sz="4" w:space="0" w:color="000000"/>
            </w:tcBorders>
            <w:shd w:val="clear" w:color="auto" w:fill="auto"/>
            <w:vAlign w:val="center"/>
          </w:tcPr>
          <w:p w14:paraId="6A54165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2500</w:t>
            </w:r>
          </w:p>
        </w:tc>
        <w:tc>
          <w:tcPr>
            <w:tcW w:w="1321" w:type="dxa"/>
            <w:tcBorders>
              <w:left w:val="single" w:sz="4" w:space="0" w:color="000000"/>
              <w:bottom w:val="single" w:sz="4" w:space="0" w:color="000000"/>
            </w:tcBorders>
            <w:shd w:val="clear" w:color="auto" w:fill="auto"/>
            <w:vAlign w:val="center"/>
          </w:tcPr>
          <w:p w14:paraId="36EAEBB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1321" w:type="dxa"/>
            <w:tcBorders>
              <w:left w:val="single" w:sz="4" w:space="0" w:color="000000"/>
              <w:bottom w:val="single" w:sz="4" w:space="0" w:color="000000"/>
            </w:tcBorders>
            <w:shd w:val="clear" w:color="auto" w:fill="auto"/>
            <w:vAlign w:val="center"/>
          </w:tcPr>
          <w:p w14:paraId="6D62987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1321" w:type="dxa"/>
            <w:tcBorders>
              <w:left w:val="single" w:sz="4" w:space="0" w:color="000000"/>
              <w:bottom w:val="single" w:sz="4" w:space="0" w:color="000000"/>
            </w:tcBorders>
            <w:shd w:val="clear" w:color="auto" w:fill="auto"/>
            <w:vAlign w:val="center"/>
          </w:tcPr>
          <w:p w14:paraId="7A7FC8C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p>
        </w:tc>
        <w:tc>
          <w:tcPr>
            <w:tcW w:w="1506" w:type="dxa"/>
            <w:tcBorders>
              <w:left w:val="single" w:sz="4" w:space="0" w:color="000000"/>
              <w:bottom w:val="single" w:sz="4" w:space="0" w:color="000000"/>
            </w:tcBorders>
            <w:shd w:val="clear" w:color="auto" w:fill="auto"/>
            <w:vAlign w:val="center"/>
          </w:tcPr>
          <w:p w14:paraId="1347238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B082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2FB70B6A" w14:textId="77777777" w:rsidR="008F52C8" w:rsidRPr="0030358C" w:rsidRDefault="00000000" w:rsidP="008F52C8">
      <w:pPr>
        <w:widowControl w:val="0"/>
        <w:autoSpaceDE w:val="0"/>
        <w:jc w:val="both"/>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 1) Platí pro zplyňování a zkapalňování uhlí.</w:t>
      </w:r>
    </w:p>
    <w:p w14:paraId="1C3DAA0A" w14:textId="77777777" w:rsidR="008F52C8" w:rsidRPr="0030358C" w:rsidRDefault="00000000" w:rsidP="008F52C8">
      <w:pPr>
        <w:keepNext/>
        <w:numPr>
          <w:ilvl w:val="1"/>
          <w:numId w:val="0"/>
        </w:numPr>
        <w:tabs>
          <w:tab w:val="num" w:pos="0"/>
        </w:tabs>
        <w:spacing w:before="60"/>
        <w:ind w:firstLine="993"/>
        <w:jc w:val="both"/>
        <w:outlineLvl w:val="1"/>
        <w:rPr>
          <w:rFonts w:ascii="Arial" w:hAnsi="Arial" w:cs="Arial"/>
          <w:strike/>
          <w:sz w:val="22"/>
          <w:szCs w:val="22"/>
          <w:lang w:eastAsia="zh-CN"/>
        </w:rPr>
      </w:pPr>
      <w:r w:rsidRPr="0030358C">
        <w:rPr>
          <w:rFonts w:ascii="Arial" w:hAnsi="Arial" w:cs="Arial"/>
          <w:caps/>
          <w:strike/>
          <w:sz w:val="22"/>
          <w:szCs w:val="22"/>
          <w:lang w:eastAsia="zh-CN"/>
        </w:rPr>
        <w:t xml:space="preserve">  </w:t>
      </w:r>
      <w:r w:rsidRPr="0030358C">
        <w:rPr>
          <w:rFonts w:ascii="Arial" w:hAnsi="Arial" w:cs="Arial"/>
          <w:iCs/>
          <w:strike/>
          <w:sz w:val="22"/>
          <w:szCs w:val="22"/>
          <w:lang w:eastAsia="zh-CN"/>
        </w:rPr>
        <w:t>2) Platí od 1. ledna 2020.</w:t>
      </w:r>
    </w:p>
    <w:p w14:paraId="04B114E2" w14:textId="77777777" w:rsidR="008F52C8" w:rsidRPr="0030358C" w:rsidRDefault="008F52C8" w:rsidP="008F52C8">
      <w:pPr>
        <w:rPr>
          <w:rFonts w:ascii="Arial" w:hAnsi="Arial" w:cs="Arial"/>
          <w:b/>
          <w:strike/>
          <w:sz w:val="22"/>
          <w:szCs w:val="22"/>
          <w:lang w:eastAsia="zh-CN"/>
        </w:rPr>
      </w:pPr>
    </w:p>
    <w:p w14:paraId="187ACE03" w14:textId="77777777" w:rsidR="008F52C8" w:rsidRPr="0030358C" w:rsidRDefault="00000000" w:rsidP="008F52C8">
      <w:pPr>
        <w:keepNext/>
        <w:numPr>
          <w:ilvl w:val="1"/>
          <w:numId w:val="0"/>
        </w:numPr>
        <w:tabs>
          <w:tab w:val="num" w:pos="0"/>
        </w:tabs>
        <w:spacing w:before="60"/>
        <w:ind w:left="576" w:hanging="576"/>
        <w:jc w:val="both"/>
        <w:outlineLvl w:val="1"/>
        <w:rPr>
          <w:rFonts w:ascii="Arial" w:hAnsi="Arial" w:cs="Arial"/>
          <w:b/>
          <w:caps/>
          <w:strike/>
          <w:sz w:val="22"/>
          <w:szCs w:val="22"/>
          <w:lang w:eastAsia="zh-CN"/>
        </w:rPr>
      </w:pPr>
      <w:r w:rsidRPr="0030358C">
        <w:rPr>
          <w:rFonts w:ascii="Arial" w:hAnsi="Arial" w:cs="Arial"/>
          <w:b/>
          <w:caps/>
          <w:strike/>
          <w:sz w:val="22"/>
          <w:szCs w:val="22"/>
          <w:lang w:eastAsia="zh-CN"/>
        </w:rPr>
        <w:t xml:space="preserve">3. Výroba a zpracování kovů a plastů </w:t>
      </w:r>
    </w:p>
    <w:p w14:paraId="3A3E0D80" w14:textId="77777777" w:rsidR="008F52C8" w:rsidRPr="0030358C" w:rsidRDefault="008F52C8" w:rsidP="008F52C8">
      <w:pPr>
        <w:rPr>
          <w:rFonts w:ascii="Arial" w:hAnsi="Arial" w:cs="Arial"/>
          <w:b/>
          <w:strike/>
          <w:sz w:val="22"/>
          <w:szCs w:val="22"/>
          <w:lang w:eastAsia="zh-CN"/>
        </w:rPr>
      </w:pPr>
    </w:p>
    <w:p w14:paraId="7998BB1E"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3.1. Pražení nebo slinování kovové rudy, včetně sirníkové rudy</w:t>
      </w:r>
    </w:p>
    <w:p w14:paraId="734F6302" w14:textId="77777777" w:rsidR="008F52C8" w:rsidRPr="0030358C" w:rsidRDefault="008F52C8" w:rsidP="008F52C8">
      <w:pPr>
        <w:rPr>
          <w:rFonts w:ascii="Arial" w:hAnsi="Arial" w:cs="Arial"/>
          <w:b/>
          <w:strike/>
          <w:sz w:val="22"/>
          <w:szCs w:val="22"/>
          <w:lang w:eastAsia="zh-CN"/>
        </w:rPr>
      </w:pPr>
    </w:p>
    <w:p w14:paraId="47964055"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strike/>
          <w:sz w:val="22"/>
          <w:szCs w:val="22"/>
          <w:lang w:eastAsia="zh-CN"/>
        </w:rPr>
      </w:pPr>
      <w:r w:rsidRPr="0030358C">
        <w:rPr>
          <w:rFonts w:ascii="Arial" w:hAnsi="Arial" w:cs="Arial"/>
          <w:b/>
          <w:strike/>
          <w:sz w:val="22"/>
          <w:szCs w:val="22"/>
          <w:lang w:eastAsia="zh-CN"/>
        </w:rPr>
        <w:t xml:space="preserve">3.1.1. Příprava vsázky </w:t>
      </w:r>
      <w:r w:rsidRPr="0030358C">
        <w:rPr>
          <w:rFonts w:ascii="Arial" w:hAnsi="Arial" w:cs="Arial"/>
          <w:bCs/>
          <w:strike/>
          <w:sz w:val="22"/>
          <w:szCs w:val="22"/>
          <w:lang w:eastAsia="zh-CN"/>
        </w:rPr>
        <w:t>(kód 4.1.1. přílohy č. 2 k zákonu)</w:t>
      </w:r>
    </w:p>
    <w:tbl>
      <w:tblPr>
        <w:tblW w:w="9600" w:type="dxa"/>
        <w:tblInd w:w="-15" w:type="dxa"/>
        <w:tblLayout w:type="fixed"/>
        <w:tblLook w:val="0000" w:firstRow="0" w:lastRow="0" w:firstColumn="0" w:lastColumn="0" w:noHBand="0" w:noVBand="0"/>
      </w:tblPr>
      <w:tblGrid>
        <w:gridCol w:w="4785"/>
        <w:gridCol w:w="4815"/>
      </w:tblGrid>
      <w:tr w:rsidR="00E40657" w14:paraId="164FDF69"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6A2ED96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579DD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7D945FA" w14:textId="77777777" w:rsidTr="00732453">
        <w:trPr>
          <w:cantSplit/>
          <w:trHeight w:hRule="exact" w:val="552"/>
        </w:trPr>
        <w:tc>
          <w:tcPr>
            <w:tcW w:w="4785" w:type="dxa"/>
            <w:tcBorders>
              <w:left w:val="single" w:sz="4" w:space="0" w:color="000000"/>
              <w:bottom w:val="single" w:sz="4" w:space="0" w:color="000000"/>
            </w:tcBorders>
            <w:shd w:val="clear" w:color="auto" w:fill="auto"/>
            <w:vAlign w:val="center"/>
          </w:tcPr>
          <w:p w14:paraId="113A747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93EC34" w14:textId="77777777" w:rsidR="008F52C8" w:rsidRPr="0030358C" w:rsidRDefault="008F52C8" w:rsidP="00732453">
            <w:pPr>
              <w:snapToGrid w:val="0"/>
              <w:rPr>
                <w:rFonts w:ascii="Arial" w:hAnsi="Arial" w:cs="Arial"/>
                <w:b/>
                <w:strike/>
                <w:sz w:val="22"/>
                <w:szCs w:val="22"/>
                <w:lang w:eastAsia="zh-CN"/>
              </w:rPr>
            </w:pPr>
          </w:p>
        </w:tc>
      </w:tr>
      <w:tr w:rsidR="00E40657" w14:paraId="1D4B2DA3" w14:textId="77777777" w:rsidTr="00732453">
        <w:trPr>
          <w:cantSplit/>
          <w:trHeight w:hRule="exact" w:val="614"/>
        </w:trPr>
        <w:tc>
          <w:tcPr>
            <w:tcW w:w="4785" w:type="dxa"/>
            <w:tcBorders>
              <w:left w:val="single" w:sz="4" w:space="0" w:color="000000"/>
              <w:bottom w:val="single" w:sz="4" w:space="0" w:color="000000"/>
            </w:tcBorders>
            <w:shd w:val="clear" w:color="auto" w:fill="auto"/>
            <w:vAlign w:val="center"/>
          </w:tcPr>
          <w:p w14:paraId="155E85C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EE3B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15B35EDE" w14:textId="77777777" w:rsidR="008F52C8" w:rsidRPr="0030358C" w:rsidRDefault="00000000" w:rsidP="00732453">
            <w:pPr>
              <w:snapToGrid w:val="0"/>
              <w:jc w:val="center"/>
              <w:rPr>
                <w:rFonts w:ascii="Arial" w:hAnsi="Arial" w:cs="Arial"/>
                <w:bCs/>
                <w:i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1)</w:t>
            </w:r>
          </w:p>
        </w:tc>
      </w:tr>
    </w:tbl>
    <w:p w14:paraId="68228886" w14:textId="77777777" w:rsidR="008F52C8" w:rsidRPr="0030358C" w:rsidRDefault="00000000" w:rsidP="008F52C8">
      <w:pPr>
        <w:widowControl w:val="0"/>
        <w:tabs>
          <w:tab w:val="left" w:pos="284"/>
        </w:tabs>
        <w:autoSpaceDE w:val="0"/>
        <w:jc w:val="both"/>
        <w:rPr>
          <w:rFonts w:ascii="Arial" w:hAnsi="Arial" w:cs="Arial"/>
          <w:iCs/>
          <w:strike/>
          <w:sz w:val="22"/>
          <w:szCs w:val="22"/>
          <w:lang w:eastAsia="zh-CN"/>
        </w:rPr>
      </w:pPr>
      <w:r w:rsidRPr="0030358C">
        <w:rPr>
          <w:rFonts w:ascii="Arial" w:hAnsi="Arial" w:cs="Arial"/>
          <w:strike/>
          <w:sz w:val="22"/>
          <w:szCs w:val="22"/>
          <w:lang w:eastAsia="zh-CN"/>
        </w:rPr>
        <w:t xml:space="preserve">Vysvětlivka: 1) </w:t>
      </w:r>
      <w:r w:rsidRPr="0030358C">
        <w:rPr>
          <w:rFonts w:ascii="Arial" w:hAnsi="Arial" w:cs="Arial"/>
          <w:iCs/>
          <w:strike/>
          <w:sz w:val="22"/>
          <w:szCs w:val="22"/>
          <w:lang w:eastAsia="zh-CN"/>
        </w:rPr>
        <w:t>Platí od 1. ledna 2020</w:t>
      </w:r>
    </w:p>
    <w:p w14:paraId="0FDC735F"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1742AC33"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strike/>
          <w:sz w:val="22"/>
          <w:szCs w:val="22"/>
          <w:lang w:eastAsia="zh-CN"/>
        </w:rPr>
      </w:pPr>
      <w:r w:rsidRPr="0030358C">
        <w:rPr>
          <w:rFonts w:ascii="Arial" w:hAnsi="Arial" w:cs="Arial"/>
          <w:b/>
          <w:strike/>
          <w:sz w:val="22"/>
          <w:szCs w:val="22"/>
          <w:lang w:eastAsia="zh-CN"/>
        </w:rPr>
        <w:t xml:space="preserve">3.1.2. Spékací pásy aglomerace </w:t>
      </w:r>
      <w:r w:rsidRPr="0030358C">
        <w:rPr>
          <w:rFonts w:ascii="Arial" w:hAnsi="Arial" w:cs="Arial"/>
          <w:bCs/>
          <w:strike/>
          <w:sz w:val="22"/>
          <w:szCs w:val="22"/>
          <w:lang w:eastAsia="zh-CN"/>
        </w:rPr>
        <w:t>(kód 4.1.2. přílohy č. 2 k zákonu)</w:t>
      </w:r>
    </w:p>
    <w:tbl>
      <w:tblPr>
        <w:tblW w:w="96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965"/>
        <w:gridCol w:w="965"/>
        <w:gridCol w:w="1509"/>
        <w:gridCol w:w="2100"/>
        <w:gridCol w:w="3119"/>
      </w:tblGrid>
      <w:tr w:rsidR="00E40657" w14:paraId="3D0A596B" w14:textId="77777777" w:rsidTr="00732453">
        <w:trPr>
          <w:cantSplit/>
          <w:trHeight w:hRule="exact" w:val="871"/>
        </w:trPr>
        <w:tc>
          <w:tcPr>
            <w:tcW w:w="6502" w:type="dxa"/>
            <w:gridSpan w:val="5"/>
            <w:shd w:val="clear" w:color="auto" w:fill="auto"/>
            <w:vAlign w:val="center"/>
          </w:tcPr>
          <w:p w14:paraId="73D4EC3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119" w:type="dxa"/>
            <w:vMerge w:val="restart"/>
            <w:shd w:val="clear" w:color="auto" w:fill="auto"/>
            <w:vAlign w:val="center"/>
          </w:tcPr>
          <w:p w14:paraId="4A76724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A181BA4" w14:textId="77777777" w:rsidTr="00732453">
        <w:trPr>
          <w:cantSplit/>
          <w:trHeight w:hRule="exact" w:val="871"/>
        </w:trPr>
        <w:tc>
          <w:tcPr>
            <w:tcW w:w="963" w:type="dxa"/>
            <w:shd w:val="clear" w:color="auto" w:fill="auto"/>
            <w:vAlign w:val="center"/>
          </w:tcPr>
          <w:p w14:paraId="511538F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965" w:type="dxa"/>
            <w:shd w:val="clear" w:color="auto" w:fill="auto"/>
            <w:vAlign w:val="center"/>
          </w:tcPr>
          <w:p w14:paraId="3637F097"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965" w:type="dxa"/>
            <w:shd w:val="clear" w:color="auto" w:fill="auto"/>
            <w:vAlign w:val="center"/>
          </w:tcPr>
          <w:p w14:paraId="1B15B0EB"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509" w:type="dxa"/>
            <w:shd w:val="clear" w:color="auto" w:fill="auto"/>
            <w:vAlign w:val="center"/>
          </w:tcPr>
          <w:p w14:paraId="2A30D59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plynné sloučeniny rtuti</w:t>
            </w:r>
          </w:p>
        </w:tc>
        <w:tc>
          <w:tcPr>
            <w:tcW w:w="2100" w:type="dxa"/>
            <w:shd w:val="clear" w:color="auto" w:fill="auto"/>
            <w:vAlign w:val="center"/>
          </w:tcPr>
          <w:p w14:paraId="2E7F518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PCDD/F</w:t>
            </w:r>
          </w:p>
        </w:tc>
        <w:tc>
          <w:tcPr>
            <w:tcW w:w="3119" w:type="dxa"/>
            <w:vMerge/>
            <w:shd w:val="clear" w:color="auto" w:fill="auto"/>
            <w:vAlign w:val="center"/>
          </w:tcPr>
          <w:p w14:paraId="6568A1E8" w14:textId="77777777" w:rsidR="008F52C8" w:rsidRPr="0030358C" w:rsidRDefault="008F52C8" w:rsidP="00732453">
            <w:pPr>
              <w:snapToGrid w:val="0"/>
              <w:rPr>
                <w:rFonts w:ascii="Arial" w:hAnsi="Arial" w:cs="Arial"/>
                <w:b/>
                <w:strike/>
                <w:sz w:val="22"/>
                <w:szCs w:val="22"/>
                <w:lang w:eastAsia="zh-CN"/>
              </w:rPr>
            </w:pPr>
          </w:p>
        </w:tc>
      </w:tr>
      <w:tr w:rsidR="00E40657" w14:paraId="18E63F15" w14:textId="77777777" w:rsidTr="00732453">
        <w:trPr>
          <w:cantSplit/>
          <w:trHeight w:val="660"/>
        </w:trPr>
        <w:tc>
          <w:tcPr>
            <w:tcW w:w="963" w:type="dxa"/>
            <w:shd w:val="clear" w:color="auto" w:fill="auto"/>
            <w:vAlign w:val="center"/>
          </w:tcPr>
          <w:p w14:paraId="09E9650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w:t>
            </w:r>
          </w:p>
        </w:tc>
        <w:tc>
          <w:tcPr>
            <w:tcW w:w="965" w:type="dxa"/>
            <w:shd w:val="clear" w:color="auto" w:fill="auto"/>
            <w:vAlign w:val="center"/>
          </w:tcPr>
          <w:p w14:paraId="59D5A08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965" w:type="dxa"/>
            <w:shd w:val="clear" w:color="auto" w:fill="auto"/>
            <w:vAlign w:val="center"/>
          </w:tcPr>
          <w:p w14:paraId="737C0C7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1509" w:type="dxa"/>
            <w:shd w:val="clear" w:color="auto" w:fill="auto"/>
            <w:vAlign w:val="center"/>
          </w:tcPr>
          <w:p w14:paraId="78F8397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0,05</w:t>
            </w:r>
          </w:p>
        </w:tc>
        <w:tc>
          <w:tcPr>
            <w:tcW w:w="2100" w:type="dxa"/>
            <w:shd w:val="clear" w:color="auto" w:fill="auto"/>
            <w:vAlign w:val="center"/>
          </w:tcPr>
          <w:p w14:paraId="65C1F95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0,4 ng-I-TEQ/Nm</w:t>
            </w:r>
            <w:r w:rsidRPr="0030358C">
              <w:rPr>
                <w:rFonts w:ascii="Arial" w:hAnsi="Arial" w:cs="Arial"/>
                <w:bCs/>
                <w:strike/>
                <w:sz w:val="22"/>
                <w:szCs w:val="22"/>
                <w:vertAlign w:val="superscript"/>
                <w:lang w:eastAsia="zh-CN"/>
              </w:rPr>
              <w:t>3</w:t>
            </w:r>
          </w:p>
        </w:tc>
        <w:tc>
          <w:tcPr>
            <w:tcW w:w="3119" w:type="dxa"/>
            <w:shd w:val="clear" w:color="auto" w:fill="auto"/>
            <w:vAlign w:val="center"/>
          </w:tcPr>
          <w:p w14:paraId="5D86D6AB" w14:textId="77777777" w:rsidR="008F52C8" w:rsidRPr="0030358C" w:rsidRDefault="00000000" w:rsidP="00732453">
            <w:pPr>
              <w:snapToGrid w:val="0"/>
              <w:jc w:val="center"/>
              <w:rPr>
                <w:rFonts w:ascii="Arial" w:hAnsi="Arial" w:cs="Arial"/>
                <w:bCs/>
                <w:iCs/>
                <w:strike/>
                <w:sz w:val="22"/>
                <w:szCs w:val="22"/>
                <w:lang w:eastAsia="zh-CN"/>
              </w:rPr>
            </w:pPr>
            <w:r w:rsidRPr="0030358C">
              <w:rPr>
                <w:rFonts w:ascii="Arial" w:hAnsi="Arial" w:cs="Arial"/>
                <w:bCs/>
                <w:strike/>
                <w:sz w:val="22"/>
                <w:szCs w:val="22"/>
                <w:lang w:eastAsia="zh-CN"/>
              </w:rPr>
              <w:t>A</w:t>
            </w:r>
          </w:p>
        </w:tc>
      </w:tr>
    </w:tbl>
    <w:p w14:paraId="540EBDC1"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549266A2"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0F7846AC" w14:textId="77777777" w:rsidR="008F52C8" w:rsidRPr="0030358C" w:rsidRDefault="00000000" w:rsidP="008F52C8">
      <w:pPr>
        <w:keepNext/>
        <w:numPr>
          <w:ilvl w:val="2"/>
          <w:numId w:val="0"/>
        </w:numPr>
        <w:tabs>
          <w:tab w:val="num" w:pos="0"/>
        </w:tabs>
        <w:spacing w:before="120"/>
        <w:ind w:left="720" w:hanging="720"/>
        <w:outlineLvl w:val="2"/>
        <w:rPr>
          <w:rFonts w:ascii="Arial" w:hAnsi="Arial" w:cs="Arial"/>
          <w:bCs/>
          <w:strike/>
          <w:sz w:val="22"/>
          <w:szCs w:val="22"/>
          <w:lang w:eastAsia="zh-CN"/>
        </w:rPr>
      </w:pPr>
      <w:r w:rsidRPr="0030358C">
        <w:rPr>
          <w:rFonts w:ascii="Arial" w:hAnsi="Arial" w:cs="Arial"/>
          <w:b/>
          <w:strike/>
          <w:sz w:val="22"/>
          <w:szCs w:val="22"/>
          <w:lang w:eastAsia="zh-CN"/>
        </w:rPr>
        <w:t xml:space="preserve">3.1.3. Manipulace se spečencem nebo jeho zpracování (chlazení, drcení, mletí, třídění) </w:t>
      </w:r>
      <w:r w:rsidRPr="0030358C">
        <w:rPr>
          <w:rFonts w:ascii="Arial" w:hAnsi="Arial" w:cs="Arial"/>
          <w:bCs/>
          <w:strike/>
          <w:sz w:val="22"/>
          <w:szCs w:val="22"/>
          <w:lang w:eastAsia="zh-CN"/>
        </w:rPr>
        <w:t>(kód 4.1.3. přílohy č. 2 k zákonu)</w:t>
      </w:r>
    </w:p>
    <w:tbl>
      <w:tblPr>
        <w:tblW w:w="9600" w:type="dxa"/>
        <w:tblInd w:w="-15" w:type="dxa"/>
        <w:tblLayout w:type="fixed"/>
        <w:tblLook w:val="0000" w:firstRow="0" w:lastRow="0" w:firstColumn="0" w:lastColumn="0" w:noHBand="0" w:noVBand="0"/>
      </w:tblPr>
      <w:tblGrid>
        <w:gridCol w:w="4785"/>
        <w:gridCol w:w="4815"/>
      </w:tblGrid>
      <w:tr w:rsidR="00E40657" w14:paraId="6F47ADF1"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143BE49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815" w:type="dxa"/>
            <w:vMerge w:val="restart"/>
            <w:tcBorders>
              <w:top w:val="single" w:sz="4" w:space="0" w:color="000000"/>
              <w:left w:val="single" w:sz="4" w:space="0" w:color="000000"/>
              <w:right w:val="single" w:sz="4" w:space="0" w:color="000000"/>
            </w:tcBorders>
            <w:shd w:val="clear" w:color="auto" w:fill="auto"/>
            <w:vAlign w:val="center"/>
          </w:tcPr>
          <w:p w14:paraId="58BD3FD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C6778D3"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2BE8DA4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815" w:type="dxa"/>
            <w:vMerge/>
            <w:tcBorders>
              <w:left w:val="single" w:sz="4" w:space="0" w:color="000000"/>
              <w:bottom w:val="single" w:sz="4" w:space="0" w:color="000000"/>
              <w:right w:val="single" w:sz="4" w:space="0" w:color="000000"/>
            </w:tcBorders>
            <w:shd w:val="clear" w:color="auto" w:fill="auto"/>
            <w:vAlign w:val="center"/>
          </w:tcPr>
          <w:p w14:paraId="1F0ACD02" w14:textId="77777777" w:rsidR="008F52C8" w:rsidRPr="0030358C" w:rsidRDefault="008F52C8" w:rsidP="00732453">
            <w:pPr>
              <w:snapToGrid w:val="0"/>
              <w:jc w:val="center"/>
              <w:rPr>
                <w:rFonts w:ascii="Arial" w:hAnsi="Arial" w:cs="Arial"/>
                <w:b/>
                <w:strike/>
                <w:sz w:val="22"/>
                <w:szCs w:val="22"/>
                <w:lang w:eastAsia="zh-CN"/>
              </w:rPr>
            </w:pPr>
          </w:p>
        </w:tc>
      </w:tr>
      <w:tr w:rsidR="00E40657" w14:paraId="60448879"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2893323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w:t>
            </w: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095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40346332" w14:textId="77777777" w:rsidR="008F52C8" w:rsidRPr="0030358C" w:rsidRDefault="008F52C8" w:rsidP="008F52C8">
      <w:pPr>
        <w:keepNext/>
        <w:numPr>
          <w:ilvl w:val="2"/>
          <w:numId w:val="0"/>
        </w:numPr>
        <w:tabs>
          <w:tab w:val="num" w:pos="0"/>
        </w:tabs>
        <w:spacing w:before="120"/>
        <w:ind w:left="720"/>
        <w:outlineLvl w:val="2"/>
        <w:rPr>
          <w:rFonts w:ascii="Arial" w:hAnsi="Arial" w:cs="Arial"/>
          <w:b/>
          <w:strike/>
          <w:sz w:val="22"/>
          <w:szCs w:val="22"/>
          <w:lang w:eastAsia="zh-CN"/>
        </w:rPr>
      </w:pPr>
    </w:p>
    <w:p w14:paraId="34CE5BD1" w14:textId="77777777" w:rsidR="008F52C8" w:rsidRPr="0030358C" w:rsidRDefault="00000000" w:rsidP="008F52C8">
      <w:pPr>
        <w:keepNext/>
        <w:numPr>
          <w:ilvl w:val="2"/>
          <w:numId w:val="0"/>
        </w:numPr>
        <w:tabs>
          <w:tab w:val="num" w:pos="0"/>
        </w:tabs>
        <w:spacing w:before="120"/>
        <w:outlineLvl w:val="2"/>
        <w:rPr>
          <w:rFonts w:ascii="Arial" w:hAnsi="Arial" w:cs="Arial"/>
          <w:b/>
          <w:strike/>
          <w:sz w:val="22"/>
          <w:szCs w:val="22"/>
          <w:lang w:eastAsia="zh-CN"/>
        </w:rPr>
      </w:pPr>
      <w:r w:rsidRPr="0030358C">
        <w:rPr>
          <w:rFonts w:ascii="Arial" w:hAnsi="Arial" w:cs="Arial"/>
          <w:b/>
          <w:strike/>
          <w:sz w:val="22"/>
          <w:szCs w:val="22"/>
          <w:lang w:eastAsia="zh-CN"/>
        </w:rPr>
        <w:t xml:space="preserve">3.1.4. Peletizační provozy (drcení, sušení, peletizace) </w:t>
      </w:r>
      <w:r w:rsidRPr="0030358C">
        <w:rPr>
          <w:rFonts w:ascii="Arial" w:hAnsi="Arial" w:cs="Arial"/>
          <w:bCs/>
          <w:strike/>
          <w:sz w:val="22"/>
          <w:szCs w:val="22"/>
          <w:lang w:eastAsia="zh-CN"/>
        </w:rPr>
        <w:t>(kód 4.1.4. přílohy č. 2 k zákonu)</w:t>
      </w:r>
    </w:p>
    <w:tbl>
      <w:tblPr>
        <w:tblW w:w="9600" w:type="dxa"/>
        <w:tblInd w:w="-15" w:type="dxa"/>
        <w:tblLayout w:type="fixed"/>
        <w:tblLook w:val="0000" w:firstRow="0" w:lastRow="0" w:firstColumn="0" w:lastColumn="0" w:noHBand="0" w:noVBand="0"/>
      </w:tblPr>
      <w:tblGrid>
        <w:gridCol w:w="1881"/>
        <w:gridCol w:w="1881"/>
        <w:gridCol w:w="1752"/>
        <w:gridCol w:w="1753"/>
        <w:gridCol w:w="2333"/>
      </w:tblGrid>
      <w:tr w:rsidR="00E40657" w14:paraId="69BA214A" w14:textId="77777777" w:rsidTr="00732453">
        <w:trPr>
          <w:cantSplit/>
          <w:trHeight w:hRule="exact" w:val="340"/>
        </w:trPr>
        <w:tc>
          <w:tcPr>
            <w:tcW w:w="7267" w:type="dxa"/>
            <w:gridSpan w:val="4"/>
            <w:tcBorders>
              <w:top w:val="single" w:sz="4" w:space="0" w:color="000000"/>
              <w:left w:val="single" w:sz="4" w:space="0" w:color="000000"/>
              <w:bottom w:val="single" w:sz="4" w:space="0" w:color="000000"/>
            </w:tcBorders>
            <w:shd w:val="clear" w:color="auto" w:fill="auto"/>
            <w:vAlign w:val="center"/>
          </w:tcPr>
          <w:p w14:paraId="6BA534EB"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EC0CF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48602C76" w14:textId="77777777" w:rsidTr="00732453">
        <w:trPr>
          <w:cantSplit/>
          <w:trHeight w:hRule="exact" w:val="588"/>
        </w:trPr>
        <w:tc>
          <w:tcPr>
            <w:tcW w:w="1881" w:type="dxa"/>
            <w:tcBorders>
              <w:left w:val="single" w:sz="4" w:space="0" w:color="000000"/>
              <w:bottom w:val="single" w:sz="4" w:space="0" w:color="000000"/>
            </w:tcBorders>
            <w:shd w:val="clear" w:color="auto" w:fill="auto"/>
            <w:vAlign w:val="center"/>
          </w:tcPr>
          <w:p w14:paraId="249C119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lastRenderedPageBreak/>
              <w:t>TZL</w:t>
            </w:r>
          </w:p>
        </w:tc>
        <w:tc>
          <w:tcPr>
            <w:tcW w:w="1881" w:type="dxa"/>
            <w:tcBorders>
              <w:left w:val="single" w:sz="4" w:space="0" w:color="000000"/>
              <w:bottom w:val="single" w:sz="4" w:space="0" w:color="000000"/>
            </w:tcBorders>
            <w:shd w:val="clear" w:color="auto" w:fill="auto"/>
            <w:vAlign w:val="center"/>
          </w:tcPr>
          <w:p w14:paraId="125C85E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752" w:type="dxa"/>
            <w:tcBorders>
              <w:left w:val="single" w:sz="4" w:space="0" w:color="000000"/>
              <w:bottom w:val="single" w:sz="4" w:space="0" w:color="000000"/>
            </w:tcBorders>
            <w:shd w:val="clear" w:color="auto" w:fill="auto"/>
            <w:vAlign w:val="center"/>
          </w:tcPr>
          <w:p w14:paraId="028AE9C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HF</w:t>
            </w:r>
          </w:p>
        </w:tc>
        <w:tc>
          <w:tcPr>
            <w:tcW w:w="1753" w:type="dxa"/>
            <w:tcBorders>
              <w:left w:val="single" w:sz="4" w:space="0" w:color="000000"/>
              <w:bottom w:val="single" w:sz="4" w:space="0" w:color="000000"/>
            </w:tcBorders>
            <w:shd w:val="clear" w:color="auto" w:fill="auto"/>
            <w:vAlign w:val="center"/>
          </w:tcPr>
          <w:p w14:paraId="26367957" w14:textId="77777777" w:rsidR="008F52C8" w:rsidRPr="0030358C" w:rsidRDefault="00000000" w:rsidP="00732453">
            <w:pPr>
              <w:keepNext/>
              <w:tabs>
                <w:tab w:val="left" w:pos="0"/>
              </w:tabs>
              <w:snapToGrid w:val="0"/>
              <w:jc w:val="center"/>
              <w:rPr>
                <w:rFonts w:ascii="Arial" w:hAnsi="Arial" w:cs="Arial"/>
                <w:b/>
                <w:strike/>
                <w:sz w:val="22"/>
                <w:szCs w:val="22"/>
                <w:lang w:eastAsia="zh-CN"/>
              </w:rPr>
            </w:pPr>
            <w:r w:rsidRPr="0030358C">
              <w:rPr>
                <w:rFonts w:ascii="Arial" w:hAnsi="Arial" w:cs="Arial"/>
                <w:b/>
                <w:strike/>
                <w:sz w:val="22"/>
                <w:szCs w:val="22"/>
                <w:lang w:eastAsia="zh-CN"/>
              </w:rPr>
              <w:t>HCl</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D9CB7D" w14:textId="77777777" w:rsidR="008F52C8" w:rsidRPr="0030358C" w:rsidRDefault="008F52C8" w:rsidP="00732453">
            <w:pPr>
              <w:snapToGrid w:val="0"/>
              <w:rPr>
                <w:rFonts w:ascii="Arial" w:hAnsi="Arial" w:cs="Arial"/>
                <w:b/>
                <w:strike/>
                <w:sz w:val="22"/>
                <w:szCs w:val="22"/>
                <w:lang w:eastAsia="zh-CN"/>
              </w:rPr>
            </w:pPr>
          </w:p>
        </w:tc>
      </w:tr>
      <w:tr w:rsidR="00E40657" w14:paraId="275C4F2F" w14:textId="77777777" w:rsidTr="00732453">
        <w:trPr>
          <w:cantSplit/>
          <w:trHeight w:hRule="exact" w:val="588"/>
        </w:trPr>
        <w:tc>
          <w:tcPr>
            <w:tcW w:w="9600" w:type="dxa"/>
            <w:gridSpan w:val="5"/>
            <w:tcBorders>
              <w:left w:val="single" w:sz="4" w:space="0" w:color="000000"/>
              <w:bottom w:val="single" w:sz="4" w:space="0" w:color="000000"/>
              <w:right w:val="single" w:sz="4" w:space="0" w:color="000000"/>
            </w:tcBorders>
            <w:shd w:val="clear" w:color="auto" w:fill="auto"/>
            <w:vAlign w:val="center"/>
          </w:tcPr>
          <w:p w14:paraId="2C969198"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Drcení, sušení</w:t>
            </w:r>
          </w:p>
        </w:tc>
      </w:tr>
      <w:tr w:rsidR="00E40657" w14:paraId="41940B23" w14:textId="77777777" w:rsidTr="00732453">
        <w:trPr>
          <w:cantSplit/>
          <w:trHeight w:hRule="exact" w:val="340"/>
        </w:trPr>
        <w:tc>
          <w:tcPr>
            <w:tcW w:w="1881" w:type="dxa"/>
            <w:tcBorders>
              <w:left w:val="single" w:sz="4" w:space="0" w:color="000000"/>
              <w:bottom w:val="single" w:sz="4" w:space="0" w:color="000000"/>
            </w:tcBorders>
            <w:shd w:val="clear" w:color="auto" w:fill="auto"/>
            <w:vAlign w:val="center"/>
          </w:tcPr>
          <w:p w14:paraId="1B56852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881" w:type="dxa"/>
            <w:tcBorders>
              <w:left w:val="single" w:sz="4" w:space="0" w:color="000000"/>
              <w:bottom w:val="single" w:sz="4" w:space="0" w:color="000000"/>
            </w:tcBorders>
            <w:shd w:val="clear" w:color="auto" w:fill="auto"/>
            <w:vAlign w:val="center"/>
          </w:tcPr>
          <w:p w14:paraId="61401E0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752" w:type="dxa"/>
            <w:tcBorders>
              <w:left w:val="single" w:sz="4" w:space="0" w:color="000000"/>
              <w:bottom w:val="single" w:sz="4" w:space="0" w:color="000000"/>
            </w:tcBorders>
            <w:shd w:val="clear" w:color="auto" w:fill="auto"/>
            <w:vAlign w:val="center"/>
          </w:tcPr>
          <w:p w14:paraId="73CC2CE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p w14:paraId="7AE4B07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753" w:type="dxa"/>
            <w:tcBorders>
              <w:left w:val="single" w:sz="4" w:space="0" w:color="000000"/>
              <w:bottom w:val="single" w:sz="4" w:space="0" w:color="000000"/>
            </w:tcBorders>
            <w:shd w:val="clear" w:color="auto" w:fill="auto"/>
            <w:vAlign w:val="center"/>
          </w:tcPr>
          <w:p w14:paraId="325328A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333" w:type="dxa"/>
            <w:tcBorders>
              <w:left w:val="single" w:sz="4" w:space="0" w:color="000000"/>
              <w:bottom w:val="single" w:sz="4" w:space="0" w:color="000000"/>
              <w:right w:val="single" w:sz="4" w:space="0" w:color="000000"/>
            </w:tcBorders>
            <w:shd w:val="clear" w:color="auto" w:fill="auto"/>
            <w:vAlign w:val="center"/>
          </w:tcPr>
          <w:p w14:paraId="3B4AD9D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1BDD5413" w14:textId="77777777" w:rsidTr="00732453">
        <w:trPr>
          <w:cantSplit/>
          <w:trHeight w:hRule="exact" w:val="340"/>
        </w:trPr>
        <w:tc>
          <w:tcPr>
            <w:tcW w:w="9600" w:type="dxa"/>
            <w:gridSpan w:val="5"/>
            <w:tcBorders>
              <w:left w:val="single" w:sz="4" w:space="0" w:color="000000"/>
              <w:bottom w:val="single" w:sz="4" w:space="0" w:color="000000"/>
              <w:right w:val="single" w:sz="4" w:space="0" w:color="000000"/>
            </w:tcBorders>
            <w:shd w:val="clear" w:color="auto" w:fill="auto"/>
            <w:vAlign w:val="center"/>
          </w:tcPr>
          <w:p w14:paraId="677C051F"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Vytvrzovací pás</w:t>
            </w:r>
          </w:p>
        </w:tc>
      </w:tr>
      <w:tr w:rsidR="00E40657" w14:paraId="0652C2FA" w14:textId="77777777" w:rsidTr="00732453">
        <w:trPr>
          <w:cantSplit/>
          <w:trHeight w:hRule="exact" w:val="340"/>
        </w:trPr>
        <w:tc>
          <w:tcPr>
            <w:tcW w:w="1881" w:type="dxa"/>
            <w:tcBorders>
              <w:left w:val="single" w:sz="4" w:space="0" w:color="000000"/>
              <w:bottom w:val="single" w:sz="4" w:space="0" w:color="000000"/>
            </w:tcBorders>
            <w:shd w:val="clear" w:color="auto" w:fill="auto"/>
            <w:vAlign w:val="center"/>
          </w:tcPr>
          <w:p w14:paraId="14EF204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15</w:t>
            </w:r>
          </w:p>
        </w:tc>
        <w:tc>
          <w:tcPr>
            <w:tcW w:w="1881" w:type="dxa"/>
            <w:tcBorders>
              <w:left w:val="single" w:sz="4" w:space="0" w:color="000000"/>
              <w:bottom w:val="single" w:sz="4" w:space="0" w:color="000000"/>
            </w:tcBorders>
            <w:shd w:val="clear" w:color="auto" w:fill="auto"/>
            <w:vAlign w:val="center"/>
          </w:tcPr>
          <w:p w14:paraId="34B58F7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752" w:type="dxa"/>
            <w:tcBorders>
              <w:left w:val="single" w:sz="4" w:space="0" w:color="000000"/>
              <w:bottom w:val="single" w:sz="4" w:space="0" w:color="000000"/>
            </w:tcBorders>
            <w:shd w:val="clear" w:color="auto" w:fill="auto"/>
            <w:vAlign w:val="center"/>
          </w:tcPr>
          <w:p w14:paraId="344EB6D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w:t>
            </w:r>
          </w:p>
        </w:tc>
        <w:tc>
          <w:tcPr>
            <w:tcW w:w="1753" w:type="dxa"/>
            <w:tcBorders>
              <w:left w:val="single" w:sz="4" w:space="0" w:color="000000"/>
              <w:bottom w:val="single" w:sz="4" w:space="0" w:color="000000"/>
            </w:tcBorders>
            <w:shd w:val="clear" w:color="auto" w:fill="auto"/>
            <w:vAlign w:val="center"/>
          </w:tcPr>
          <w:p w14:paraId="4AC9C07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w:t>
            </w:r>
          </w:p>
        </w:tc>
        <w:tc>
          <w:tcPr>
            <w:tcW w:w="2333" w:type="dxa"/>
            <w:tcBorders>
              <w:left w:val="single" w:sz="4" w:space="0" w:color="000000"/>
              <w:bottom w:val="single" w:sz="4" w:space="0" w:color="000000"/>
              <w:right w:val="single" w:sz="4" w:space="0" w:color="000000"/>
            </w:tcBorders>
            <w:shd w:val="clear" w:color="auto" w:fill="auto"/>
            <w:vAlign w:val="center"/>
          </w:tcPr>
          <w:p w14:paraId="38EA0F1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300E9277"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3A15A810"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6BDD3691" w14:textId="77777777" w:rsidR="008F52C8" w:rsidRPr="0030358C" w:rsidRDefault="00000000" w:rsidP="008F52C8">
      <w:pPr>
        <w:keepNext/>
        <w:numPr>
          <w:ilvl w:val="2"/>
          <w:numId w:val="0"/>
        </w:numPr>
        <w:tabs>
          <w:tab w:val="num" w:pos="0"/>
        </w:tabs>
        <w:spacing w:before="60" w:after="120"/>
        <w:outlineLvl w:val="2"/>
        <w:rPr>
          <w:rFonts w:ascii="Arial" w:hAnsi="Arial" w:cs="Arial"/>
          <w:b/>
          <w:strike/>
          <w:sz w:val="22"/>
          <w:szCs w:val="22"/>
          <w:lang w:eastAsia="zh-CN"/>
        </w:rPr>
      </w:pPr>
      <w:r w:rsidRPr="0030358C">
        <w:rPr>
          <w:rFonts w:ascii="Arial" w:hAnsi="Arial" w:cs="Arial"/>
          <w:b/>
          <w:strike/>
          <w:sz w:val="22"/>
          <w:szCs w:val="22"/>
          <w:lang w:eastAsia="zh-CN"/>
        </w:rPr>
        <w:t xml:space="preserve">3.2. Výroba železa </w:t>
      </w:r>
    </w:p>
    <w:tbl>
      <w:tblPr>
        <w:tblW w:w="9600" w:type="dxa"/>
        <w:tblInd w:w="-15" w:type="dxa"/>
        <w:tblLayout w:type="fixed"/>
        <w:tblLook w:val="0000" w:firstRow="0" w:lastRow="0" w:firstColumn="0" w:lastColumn="0" w:noHBand="0" w:noVBand="0"/>
      </w:tblPr>
      <w:tblGrid>
        <w:gridCol w:w="1682"/>
        <w:gridCol w:w="8"/>
        <w:gridCol w:w="1694"/>
        <w:gridCol w:w="1694"/>
        <w:gridCol w:w="7"/>
        <w:gridCol w:w="1689"/>
        <w:gridCol w:w="12"/>
        <w:gridCol w:w="1214"/>
        <w:gridCol w:w="10"/>
        <w:gridCol w:w="1590"/>
      </w:tblGrid>
      <w:tr w:rsidR="00E40657" w14:paraId="5FDCF858" w14:textId="77777777" w:rsidTr="00732453">
        <w:trPr>
          <w:cantSplit/>
          <w:trHeight w:hRule="exact" w:val="340"/>
        </w:trPr>
        <w:tc>
          <w:tcPr>
            <w:tcW w:w="6774" w:type="dxa"/>
            <w:gridSpan w:val="6"/>
            <w:tcBorders>
              <w:top w:val="single" w:sz="4" w:space="0" w:color="000000"/>
              <w:left w:val="single" w:sz="4" w:space="0" w:color="000000"/>
              <w:bottom w:val="single" w:sz="4" w:space="0" w:color="000000"/>
            </w:tcBorders>
            <w:shd w:val="clear" w:color="auto" w:fill="auto"/>
            <w:vAlign w:val="center"/>
          </w:tcPr>
          <w:p w14:paraId="208340D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236" w:type="dxa"/>
            <w:gridSpan w:val="3"/>
            <w:vMerge w:val="restart"/>
            <w:tcBorders>
              <w:top w:val="single" w:sz="4" w:space="0" w:color="000000"/>
              <w:left w:val="single" w:sz="4" w:space="0" w:color="000000"/>
              <w:bottom w:val="single" w:sz="4" w:space="0" w:color="000000"/>
            </w:tcBorders>
            <w:shd w:val="clear" w:color="auto" w:fill="auto"/>
            <w:vAlign w:val="center"/>
          </w:tcPr>
          <w:p w14:paraId="665ACB12"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O</w:t>
            </w:r>
            <w:r w:rsidRPr="0030358C">
              <w:rPr>
                <w:rFonts w:ascii="Arial" w:hAnsi="Arial" w:cs="Arial"/>
                <w:b/>
                <w:strike/>
                <w:sz w:val="22"/>
                <w:szCs w:val="22"/>
                <w:vertAlign w:val="subscript"/>
                <w:lang w:eastAsia="zh-CN"/>
              </w:rPr>
              <w:t>2R</w:t>
            </w:r>
          </w:p>
          <w:p w14:paraId="442D6B5F" w14:textId="77777777" w:rsidR="008F52C8" w:rsidRPr="0030358C" w:rsidRDefault="00000000" w:rsidP="00732453">
            <w:pPr>
              <w:jc w:val="center"/>
              <w:rPr>
                <w:rFonts w:ascii="Arial" w:hAnsi="Arial" w:cs="Arial"/>
                <w:b/>
                <w:strike/>
                <w:sz w:val="22"/>
                <w:szCs w:val="22"/>
                <w:lang w:eastAsia="zh-CN"/>
              </w:rPr>
            </w:pPr>
            <w:r w:rsidRPr="0030358C">
              <w:rPr>
                <w:rFonts w:ascii="Arial" w:hAnsi="Arial" w:cs="Arial"/>
                <w:b/>
                <w:strike/>
                <w:sz w:val="22"/>
                <w:szCs w:val="22"/>
                <w:lang w:eastAsia="zh-CN"/>
              </w:rPr>
              <w:t>[%]</w:t>
            </w:r>
          </w:p>
        </w:tc>
        <w:tc>
          <w:tcPr>
            <w:tcW w:w="1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7D02B1"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B86CA0B" w14:textId="77777777" w:rsidTr="00732453">
        <w:trPr>
          <w:cantSplit/>
          <w:trHeight w:hRule="exact" w:val="588"/>
        </w:trPr>
        <w:tc>
          <w:tcPr>
            <w:tcW w:w="1690" w:type="dxa"/>
            <w:gridSpan w:val="2"/>
            <w:tcBorders>
              <w:top w:val="single" w:sz="4" w:space="0" w:color="000000"/>
              <w:left w:val="single" w:sz="4" w:space="0" w:color="000000"/>
              <w:bottom w:val="single" w:sz="4" w:space="0" w:color="000000"/>
            </w:tcBorders>
            <w:shd w:val="clear" w:color="auto" w:fill="auto"/>
            <w:vAlign w:val="center"/>
          </w:tcPr>
          <w:p w14:paraId="3B30431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694" w:type="dxa"/>
            <w:tcBorders>
              <w:top w:val="single" w:sz="4" w:space="0" w:color="000000"/>
              <w:left w:val="single" w:sz="4" w:space="0" w:color="000000"/>
              <w:bottom w:val="single" w:sz="4" w:space="0" w:color="000000"/>
            </w:tcBorders>
            <w:shd w:val="clear" w:color="auto" w:fill="auto"/>
            <w:vAlign w:val="center"/>
          </w:tcPr>
          <w:p w14:paraId="458A1A73"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694" w:type="dxa"/>
            <w:tcBorders>
              <w:top w:val="single" w:sz="4" w:space="0" w:color="000000"/>
              <w:left w:val="single" w:sz="4" w:space="0" w:color="000000"/>
              <w:bottom w:val="single" w:sz="4" w:space="0" w:color="000000"/>
            </w:tcBorders>
            <w:shd w:val="clear" w:color="auto" w:fill="auto"/>
            <w:vAlign w:val="center"/>
          </w:tcPr>
          <w:p w14:paraId="5E2592DB"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696" w:type="dxa"/>
            <w:gridSpan w:val="2"/>
            <w:tcBorders>
              <w:top w:val="single" w:sz="4" w:space="0" w:color="000000"/>
              <w:left w:val="single" w:sz="4" w:space="0" w:color="000000"/>
              <w:bottom w:val="single" w:sz="4" w:space="0" w:color="000000"/>
            </w:tcBorders>
            <w:shd w:val="clear" w:color="auto" w:fill="auto"/>
            <w:vAlign w:val="center"/>
          </w:tcPr>
          <w:p w14:paraId="627FB6AB"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1236" w:type="dxa"/>
            <w:gridSpan w:val="3"/>
            <w:vMerge/>
            <w:tcBorders>
              <w:top w:val="single" w:sz="4" w:space="0" w:color="000000"/>
              <w:left w:val="single" w:sz="4" w:space="0" w:color="000000"/>
              <w:bottom w:val="single" w:sz="4" w:space="0" w:color="000000"/>
            </w:tcBorders>
            <w:shd w:val="clear" w:color="auto" w:fill="auto"/>
            <w:vAlign w:val="center"/>
          </w:tcPr>
          <w:p w14:paraId="588FB987" w14:textId="77777777" w:rsidR="008F52C8" w:rsidRPr="0030358C" w:rsidRDefault="008F52C8" w:rsidP="00732453">
            <w:pPr>
              <w:snapToGrid w:val="0"/>
              <w:rPr>
                <w:rFonts w:ascii="Arial" w:hAnsi="Arial" w:cs="Arial"/>
                <w:b/>
                <w:strike/>
                <w:sz w:val="22"/>
                <w:szCs w:val="22"/>
                <w:lang w:eastAsia="zh-CN"/>
              </w:rPr>
            </w:pPr>
          </w:p>
        </w:tc>
        <w:tc>
          <w:tcPr>
            <w:tcW w:w="1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D501A" w14:textId="77777777" w:rsidR="008F52C8" w:rsidRPr="0030358C" w:rsidRDefault="008F52C8" w:rsidP="00732453">
            <w:pPr>
              <w:snapToGrid w:val="0"/>
              <w:rPr>
                <w:rFonts w:ascii="Arial" w:hAnsi="Arial" w:cs="Arial"/>
                <w:b/>
                <w:strike/>
                <w:sz w:val="22"/>
                <w:szCs w:val="22"/>
                <w:lang w:eastAsia="zh-CN"/>
              </w:rPr>
            </w:pPr>
          </w:p>
        </w:tc>
      </w:tr>
      <w:tr w:rsidR="00E40657" w14:paraId="56EC3DD8" w14:textId="77777777" w:rsidTr="00732453">
        <w:trPr>
          <w:cantSplit/>
          <w:trHeight w:hRule="exact" w:val="340"/>
        </w:trPr>
        <w:tc>
          <w:tcPr>
            <w:tcW w:w="9600" w:type="dxa"/>
            <w:gridSpan w:val="10"/>
            <w:tcBorders>
              <w:left w:val="single" w:sz="4" w:space="0" w:color="000000"/>
              <w:bottom w:val="single" w:sz="4" w:space="0" w:color="000000"/>
              <w:right w:val="single" w:sz="4" w:space="0" w:color="000000"/>
            </w:tcBorders>
            <w:shd w:val="clear" w:color="auto" w:fill="auto"/>
            <w:vAlign w:val="center"/>
          </w:tcPr>
          <w:p w14:paraId="4D01BE3E" w14:textId="77777777" w:rsidR="008F52C8" w:rsidRPr="0030358C" w:rsidRDefault="00000000" w:rsidP="00732453">
            <w:pPr>
              <w:snapToGrid w:val="0"/>
              <w:rPr>
                <w:rFonts w:ascii="Arial" w:hAnsi="Arial" w:cs="Arial"/>
                <w:b/>
                <w:bCs/>
                <w:strike/>
                <w:sz w:val="22"/>
                <w:szCs w:val="22"/>
                <w:lang w:eastAsia="zh-CN"/>
              </w:rPr>
            </w:pPr>
            <w:r w:rsidRPr="0030358C">
              <w:rPr>
                <w:rFonts w:ascii="Arial" w:hAnsi="Arial" w:cs="Arial"/>
                <w:b/>
                <w:bCs/>
                <w:strike/>
                <w:sz w:val="22"/>
                <w:szCs w:val="22"/>
                <w:lang w:eastAsia="zh-CN"/>
              </w:rPr>
              <w:t xml:space="preserve">3.2.1. Doprava a manipulace s vysokopecní vsázkou </w:t>
            </w:r>
            <w:r w:rsidRPr="0030358C">
              <w:rPr>
                <w:rFonts w:ascii="Arial" w:hAnsi="Arial" w:cs="Arial"/>
                <w:strike/>
                <w:sz w:val="22"/>
                <w:szCs w:val="22"/>
                <w:lang w:eastAsia="zh-CN"/>
              </w:rPr>
              <w:t xml:space="preserve">(kód 4.2.1. přílohy č. 2  k zákonu) </w:t>
            </w:r>
          </w:p>
        </w:tc>
      </w:tr>
      <w:tr w:rsidR="00E40657" w14:paraId="17FE445A" w14:textId="77777777" w:rsidTr="00732453">
        <w:trPr>
          <w:cantSplit/>
          <w:trHeight w:hRule="exact" w:val="696"/>
        </w:trPr>
        <w:tc>
          <w:tcPr>
            <w:tcW w:w="1690" w:type="dxa"/>
            <w:gridSpan w:val="2"/>
            <w:tcBorders>
              <w:left w:val="single" w:sz="4" w:space="0" w:color="000000"/>
              <w:bottom w:val="single" w:sz="4" w:space="0" w:color="000000"/>
            </w:tcBorders>
            <w:shd w:val="clear" w:color="auto" w:fill="auto"/>
            <w:vAlign w:val="center"/>
          </w:tcPr>
          <w:p w14:paraId="400D61D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694" w:type="dxa"/>
            <w:tcBorders>
              <w:left w:val="single" w:sz="4" w:space="0" w:color="000000"/>
              <w:bottom w:val="single" w:sz="4" w:space="0" w:color="000000"/>
            </w:tcBorders>
            <w:shd w:val="clear" w:color="auto" w:fill="auto"/>
            <w:vAlign w:val="center"/>
          </w:tcPr>
          <w:p w14:paraId="5C6F047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694" w:type="dxa"/>
            <w:tcBorders>
              <w:left w:val="single" w:sz="4" w:space="0" w:color="000000"/>
              <w:bottom w:val="single" w:sz="4" w:space="0" w:color="000000"/>
            </w:tcBorders>
            <w:shd w:val="clear" w:color="auto" w:fill="auto"/>
            <w:vAlign w:val="center"/>
          </w:tcPr>
          <w:p w14:paraId="2A0B2C2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696" w:type="dxa"/>
            <w:gridSpan w:val="2"/>
            <w:tcBorders>
              <w:left w:val="single" w:sz="4" w:space="0" w:color="000000"/>
              <w:bottom w:val="single" w:sz="4" w:space="0" w:color="000000"/>
            </w:tcBorders>
            <w:shd w:val="clear" w:color="auto" w:fill="auto"/>
            <w:vAlign w:val="center"/>
          </w:tcPr>
          <w:p w14:paraId="09A90B9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236" w:type="dxa"/>
            <w:gridSpan w:val="3"/>
            <w:tcBorders>
              <w:left w:val="single" w:sz="4" w:space="0" w:color="000000"/>
              <w:bottom w:val="single" w:sz="4" w:space="0" w:color="000000"/>
            </w:tcBorders>
            <w:shd w:val="clear" w:color="auto" w:fill="auto"/>
            <w:vAlign w:val="center"/>
          </w:tcPr>
          <w:p w14:paraId="352D6CC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90" w:type="dxa"/>
            <w:tcBorders>
              <w:left w:val="single" w:sz="4" w:space="0" w:color="000000"/>
              <w:bottom w:val="single" w:sz="4" w:space="0" w:color="000000"/>
              <w:right w:val="single" w:sz="4" w:space="0" w:color="000000"/>
            </w:tcBorders>
            <w:shd w:val="clear" w:color="auto" w:fill="auto"/>
            <w:vAlign w:val="center"/>
          </w:tcPr>
          <w:p w14:paraId="2AB2E37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2BCDFA0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1)</w:t>
            </w:r>
          </w:p>
        </w:tc>
      </w:tr>
      <w:tr w:rsidR="00E40657" w14:paraId="22155794" w14:textId="77777777" w:rsidTr="00732453">
        <w:trPr>
          <w:cantSplit/>
          <w:trHeight w:hRule="exact" w:val="340"/>
        </w:trPr>
        <w:tc>
          <w:tcPr>
            <w:tcW w:w="9600" w:type="dxa"/>
            <w:gridSpan w:val="10"/>
            <w:tcBorders>
              <w:left w:val="single" w:sz="4" w:space="0" w:color="000000"/>
              <w:bottom w:val="single" w:sz="4" w:space="0" w:color="000000"/>
              <w:right w:val="single" w:sz="4" w:space="0" w:color="000000"/>
            </w:tcBorders>
            <w:shd w:val="clear" w:color="auto" w:fill="auto"/>
            <w:vAlign w:val="center"/>
          </w:tcPr>
          <w:p w14:paraId="1090E7B2"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bCs/>
                <w:strike/>
                <w:sz w:val="22"/>
                <w:szCs w:val="22"/>
                <w:lang w:eastAsia="zh-CN"/>
              </w:rPr>
              <w:t>3.2.2. Odlévání</w:t>
            </w:r>
            <w:r w:rsidRPr="0030358C">
              <w:rPr>
                <w:rFonts w:ascii="Arial" w:hAnsi="Arial" w:cs="Arial"/>
                <w:b/>
                <w:bCs/>
                <w:strike/>
                <w:sz w:val="22"/>
                <w:szCs w:val="22"/>
                <w:vertAlign w:val="superscript"/>
                <w:lang w:eastAsia="zh-CN"/>
              </w:rPr>
              <w:t xml:space="preserve"> </w:t>
            </w:r>
            <w:r w:rsidRPr="0030358C">
              <w:rPr>
                <w:rFonts w:ascii="Arial" w:hAnsi="Arial" w:cs="Arial"/>
                <w:b/>
                <w:strike/>
                <w:sz w:val="22"/>
                <w:szCs w:val="22"/>
                <w:lang w:eastAsia="zh-CN"/>
              </w:rPr>
              <w:t xml:space="preserve">(vysoká pec) </w:t>
            </w:r>
            <w:r w:rsidRPr="0030358C">
              <w:rPr>
                <w:rFonts w:ascii="Arial" w:hAnsi="Arial" w:cs="Arial"/>
                <w:bCs/>
                <w:strike/>
                <w:sz w:val="22"/>
                <w:szCs w:val="22"/>
                <w:lang w:eastAsia="zh-CN"/>
              </w:rPr>
              <w:t>(kód 4.2.2. přílohy č. 2 k zákonu)</w:t>
            </w:r>
          </w:p>
        </w:tc>
      </w:tr>
      <w:tr w:rsidR="00E40657" w14:paraId="3A099498" w14:textId="77777777" w:rsidTr="00732453">
        <w:trPr>
          <w:cantSplit/>
          <w:trHeight w:hRule="exact" w:val="340"/>
        </w:trPr>
        <w:tc>
          <w:tcPr>
            <w:tcW w:w="1690" w:type="dxa"/>
            <w:gridSpan w:val="2"/>
            <w:tcBorders>
              <w:left w:val="single" w:sz="4" w:space="0" w:color="000000"/>
              <w:bottom w:val="single" w:sz="4" w:space="0" w:color="000000"/>
            </w:tcBorders>
            <w:shd w:val="clear" w:color="auto" w:fill="auto"/>
            <w:vAlign w:val="center"/>
          </w:tcPr>
          <w:p w14:paraId="27CDA04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15</w:t>
            </w:r>
          </w:p>
        </w:tc>
        <w:tc>
          <w:tcPr>
            <w:tcW w:w="1694" w:type="dxa"/>
            <w:tcBorders>
              <w:left w:val="single" w:sz="4" w:space="0" w:color="000000"/>
              <w:bottom w:val="single" w:sz="4" w:space="0" w:color="000000"/>
            </w:tcBorders>
            <w:shd w:val="clear" w:color="auto" w:fill="auto"/>
            <w:vAlign w:val="center"/>
          </w:tcPr>
          <w:p w14:paraId="168AC9F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694" w:type="dxa"/>
            <w:tcBorders>
              <w:left w:val="single" w:sz="4" w:space="0" w:color="000000"/>
              <w:bottom w:val="single" w:sz="4" w:space="0" w:color="000000"/>
            </w:tcBorders>
            <w:shd w:val="clear" w:color="auto" w:fill="auto"/>
            <w:vAlign w:val="center"/>
          </w:tcPr>
          <w:p w14:paraId="6573D4F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696" w:type="dxa"/>
            <w:gridSpan w:val="2"/>
            <w:tcBorders>
              <w:left w:val="single" w:sz="4" w:space="0" w:color="000000"/>
              <w:bottom w:val="single" w:sz="4" w:space="0" w:color="000000"/>
            </w:tcBorders>
            <w:shd w:val="clear" w:color="auto" w:fill="auto"/>
            <w:vAlign w:val="center"/>
          </w:tcPr>
          <w:p w14:paraId="27BDCA5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236" w:type="dxa"/>
            <w:gridSpan w:val="3"/>
            <w:tcBorders>
              <w:left w:val="single" w:sz="4" w:space="0" w:color="000000"/>
              <w:bottom w:val="single" w:sz="4" w:space="0" w:color="000000"/>
            </w:tcBorders>
            <w:shd w:val="clear" w:color="auto" w:fill="auto"/>
            <w:vAlign w:val="center"/>
          </w:tcPr>
          <w:p w14:paraId="370857C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90" w:type="dxa"/>
            <w:tcBorders>
              <w:left w:val="single" w:sz="4" w:space="0" w:color="000000"/>
              <w:bottom w:val="single" w:sz="4" w:space="0" w:color="000000"/>
              <w:right w:val="single" w:sz="4" w:space="0" w:color="000000"/>
            </w:tcBorders>
            <w:shd w:val="clear" w:color="auto" w:fill="auto"/>
            <w:vAlign w:val="center"/>
          </w:tcPr>
          <w:p w14:paraId="561D386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5133FC2C" w14:textId="77777777" w:rsidTr="00732453">
        <w:trPr>
          <w:cantSplit/>
          <w:trHeight w:hRule="exact" w:val="340"/>
        </w:trPr>
        <w:tc>
          <w:tcPr>
            <w:tcW w:w="9600" w:type="dxa"/>
            <w:gridSpan w:val="10"/>
            <w:tcBorders>
              <w:left w:val="single" w:sz="4" w:space="0" w:color="000000"/>
              <w:bottom w:val="single" w:sz="4" w:space="0" w:color="auto"/>
              <w:right w:val="single" w:sz="4" w:space="0" w:color="000000"/>
            </w:tcBorders>
            <w:shd w:val="clear" w:color="auto" w:fill="auto"/>
            <w:vAlign w:val="center"/>
          </w:tcPr>
          <w:p w14:paraId="1C966882"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 xml:space="preserve">3.2.3. Ohřívače větru </w:t>
            </w:r>
            <w:r w:rsidRPr="0030358C">
              <w:rPr>
                <w:rFonts w:ascii="Arial" w:hAnsi="Arial" w:cs="Arial"/>
                <w:bCs/>
                <w:strike/>
                <w:sz w:val="22"/>
                <w:szCs w:val="22"/>
                <w:lang w:eastAsia="zh-CN"/>
              </w:rPr>
              <w:t>(kód 4.2.3. přílohy č. 2 k zákonu)</w:t>
            </w:r>
          </w:p>
        </w:tc>
      </w:tr>
      <w:tr w:rsidR="00E40657" w14:paraId="251995C3" w14:textId="77777777" w:rsidTr="00732453">
        <w:trPr>
          <w:cantSplit/>
          <w:trHeight w:hRule="exact" w:val="34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525DFF9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4563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0C8BE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08DA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3B277DB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w:t>
            </w: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D94F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61932A63" w14:textId="77777777" w:rsidR="008F52C8" w:rsidRPr="0030358C" w:rsidRDefault="00000000" w:rsidP="008F52C8">
      <w:pPr>
        <w:tabs>
          <w:tab w:val="left" w:pos="284"/>
        </w:tabs>
        <w:spacing w:before="60"/>
        <w:rPr>
          <w:rFonts w:ascii="Arial" w:hAnsi="Arial" w:cs="Arial"/>
          <w:iCs/>
          <w:strike/>
          <w:sz w:val="22"/>
          <w:szCs w:val="22"/>
          <w:lang w:eastAsia="zh-CN"/>
        </w:rPr>
      </w:pPr>
      <w:r w:rsidRPr="0030358C">
        <w:rPr>
          <w:rFonts w:ascii="Arial" w:hAnsi="Arial" w:cs="Arial"/>
          <w:strike/>
          <w:sz w:val="22"/>
          <w:szCs w:val="22"/>
          <w:lang w:eastAsia="zh-CN"/>
        </w:rPr>
        <w:t xml:space="preserve">Vysvětlivka: 1) </w:t>
      </w:r>
      <w:r w:rsidRPr="0030358C">
        <w:rPr>
          <w:rFonts w:ascii="Arial" w:hAnsi="Arial" w:cs="Arial"/>
          <w:iCs/>
          <w:strike/>
          <w:sz w:val="22"/>
          <w:szCs w:val="22"/>
          <w:lang w:eastAsia="zh-CN"/>
        </w:rPr>
        <w:t>Platí od 1. ledna 2020.</w:t>
      </w:r>
    </w:p>
    <w:p w14:paraId="65CDFBEB" w14:textId="77777777" w:rsidR="008F52C8" w:rsidRPr="0030358C" w:rsidRDefault="008F52C8" w:rsidP="008F52C8">
      <w:pPr>
        <w:tabs>
          <w:tab w:val="left" w:pos="284"/>
        </w:tabs>
        <w:spacing w:before="60"/>
        <w:rPr>
          <w:rFonts w:ascii="Arial" w:hAnsi="Arial" w:cs="Arial"/>
          <w:b/>
          <w:strike/>
          <w:sz w:val="22"/>
          <w:szCs w:val="22"/>
          <w:lang w:eastAsia="zh-CN"/>
        </w:rPr>
      </w:pPr>
    </w:p>
    <w:p w14:paraId="2A464C0D" w14:textId="77777777" w:rsidR="008F52C8" w:rsidRPr="0030358C" w:rsidRDefault="00000000" w:rsidP="008F52C8">
      <w:pPr>
        <w:keepNext/>
        <w:numPr>
          <w:ilvl w:val="2"/>
          <w:numId w:val="0"/>
        </w:numPr>
        <w:tabs>
          <w:tab w:val="num" w:pos="0"/>
        </w:tabs>
        <w:spacing w:before="120"/>
        <w:outlineLvl w:val="2"/>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65E054DB" w14:textId="77777777" w:rsidR="008F52C8" w:rsidRPr="0030358C" w:rsidRDefault="00000000" w:rsidP="008F52C8">
      <w:pPr>
        <w:spacing w:before="60" w:line="240" w:lineRule="atLeast"/>
        <w:jc w:val="both"/>
        <w:rPr>
          <w:rFonts w:ascii="Arial" w:hAnsi="Arial" w:cs="Arial"/>
          <w:bCs/>
          <w:strike/>
          <w:sz w:val="22"/>
          <w:szCs w:val="22"/>
          <w:lang w:eastAsia="zh-CN"/>
        </w:rPr>
      </w:pPr>
      <w:r w:rsidRPr="0030358C">
        <w:rPr>
          <w:rFonts w:ascii="Arial" w:hAnsi="Arial" w:cs="Arial"/>
          <w:bCs/>
          <w:strike/>
          <w:sz w:val="22"/>
          <w:szCs w:val="22"/>
          <w:lang w:eastAsia="zh-CN"/>
        </w:rPr>
        <w:t>Vysokopecní plyn je třeba jímat, odprašovat a dále jej využívat; koncentrace zbytkového prachu ve vyčištěném vysokopecním plynu nesmí přesahovat 10 mg/m</w:t>
      </w:r>
      <w:r w:rsidRPr="0030358C">
        <w:rPr>
          <w:rFonts w:ascii="Arial" w:hAnsi="Arial" w:cs="Arial"/>
          <w:bCs/>
          <w:strike/>
          <w:sz w:val="22"/>
          <w:szCs w:val="22"/>
          <w:vertAlign w:val="superscript"/>
          <w:lang w:eastAsia="zh-CN"/>
        </w:rPr>
        <w:t>3</w:t>
      </w:r>
      <w:r w:rsidRPr="0030358C">
        <w:rPr>
          <w:rFonts w:ascii="Arial" w:hAnsi="Arial" w:cs="Arial"/>
          <w:bCs/>
          <w:strike/>
          <w:sz w:val="22"/>
          <w:szCs w:val="22"/>
          <w:lang w:eastAsia="zh-CN"/>
        </w:rPr>
        <w:t xml:space="preserve"> v suchém plynu za normálních podmínek.</w:t>
      </w:r>
    </w:p>
    <w:p w14:paraId="6A242FFF"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09522CB2"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3.3. Výroba oceli</w:t>
      </w:r>
    </w:p>
    <w:p w14:paraId="30896116"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3.3.1. Doprava a manipulace se vsázkou nebo produktem </w:t>
      </w:r>
      <w:r w:rsidRPr="0030358C">
        <w:rPr>
          <w:rFonts w:ascii="Arial" w:hAnsi="Arial" w:cs="Arial"/>
          <w:bCs/>
          <w:strike/>
          <w:sz w:val="22"/>
          <w:szCs w:val="22"/>
          <w:lang w:eastAsia="zh-CN"/>
        </w:rPr>
        <w:t>(kód 4.3.1. přílohy č. 2 k zákonu)</w:t>
      </w:r>
    </w:p>
    <w:tbl>
      <w:tblPr>
        <w:tblW w:w="96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7"/>
        <w:gridCol w:w="4013"/>
      </w:tblGrid>
      <w:tr w:rsidR="00E40657" w14:paraId="1430D5B0" w14:textId="77777777" w:rsidTr="00732453">
        <w:trPr>
          <w:cantSplit/>
          <w:trHeight w:hRule="exact" w:val="484"/>
        </w:trPr>
        <w:tc>
          <w:tcPr>
            <w:tcW w:w="5587" w:type="dxa"/>
            <w:shd w:val="clear" w:color="auto" w:fill="auto"/>
            <w:vAlign w:val="center"/>
          </w:tcPr>
          <w:p w14:paraId="215E5A3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013" w:type="dxa"/>
            <w:vMerge w:val="restart"/>
            <w:shd w:val="clear" w:color="auto" w:fill="auto"/>
            <w:vAlign w:val="center"/>
          </w:tcPr>
          <w:p w14:paraId="3BB7C5E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4E27D1F4" w14:textId="77777777" w:rsidTr="00732453">
        <w:trPr>
          <w:cantSplit/>
          <w:trHeight w:hRule="exact" w:val="484"/>
        </w:trPr>
        <w:tc>
          <w:tcPr>
            <w:tcW w:w="5587" w:type="dxa"/>
            <w:shd w:val="clear" w:color="auto" w:fill="auto"/>
            <w:vAlign w:val="center"/>
          </w:tcPr>
          <w:p w14:paraId="30828A7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013" w:type="dxa"/>
            <w:vMerge/>
            <w:shd w:val="clear" w:color="auto" w:fill="auto"/>
            <w:vAlign w:val="center"/>
          </w:tcPr>
          <w:p w14:paraId="1B05F229" w14:textId="77777777" w:rsidR="008F52C8" w:rsidRPr="0030358C" w:rsidRDefault="008F52C8" w:rsidP="00732453">
            <w:pPr>
              <w:snapToGrid w:val="0"/>
              <w:jc w:val="center"/>
              <w:rPr>
                <w:rFonts w:ascii="Arial" w:hAnsi="Arial" w:cs="Arial"/>
                <w:b/>
                <w:strike/>
                <w:sz w:val="22"/>
                <w:szCs w:val="22"/>
                <w:lang w:eastAsia="zh-CN"/>
              </w:rPr>
            </w:pPr>
          </w:p>
        </w:tc>
      </w:tr>
      <w:tr w:rsidR="00E40657" w14:paraId="340D3402" w14:textId="77777777" w:rsidTr="00732453">
        <w:trPr>
          <w:cantSplit/>
          <w:trHeight w:hRule="exact" w:val="579"/>
        </w:trPr>
        <w:tc>
          <w:tcPr>
            <w:tcW w:w="5587" w:type="dxa"/>
            <w:shd w:val="clear" w:color="auto" w:fill="auto"/>
            <w:vAlign w:val="center"/>
          </w:tcPr>
          <w:p w14:paraId="68AE6D48"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1)</w:t>
            </w:r>
          </w:p>
        </w:tc>
        <w:tc>
          <w:tcPr>
            <w:tcW w:w="4013" w:type="dxa"/>
            <w:shd w:val="clear" w:color="auto" w:fill="auto"/>
            <w:vAlign w:val="center"/>
          </w:tcPr>
          <w:p w14:paraId="06A355B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431C69A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2)</w:t>
            </w:r>
          </w:p>
        </w:tc>
      </w:tr>
    </w:tbl>
    <w:p w14:paraId="7991077E" w14:textId="77777777" w:rsidR="008F52C8" w:rsidRPr="0030358C" w:rsidRDefault="00000000" w:rsidP="008F52C8">
      <w:pPr>
        <w:spacing w:before="60"/>
        <w:rPr>
          <w:rFonts w:ascii="Arial" w:hAnsi="Arial" w:cs="Arial"/>
          <w:strike/>
          <w:sz w:val="22"/>
          <w:szCs w:val="22"/>
          <w:lang w:eastAsia="zh-CN"/>
        </w:rPr>
      </w:pPr>
      <w:r w:rsidRPr="0030358C">
        <w:rPr>
          <w:rFonts w:ascii="Arial" w:hAnsi="Arial" w:cs="Arial"/>
          <w:strike/>
          <w:sz w:val="22"/>
          <w:szCs w:val="22"/>
          <w:lang w:eastAsia="zh-CN"/>
        </w:rPr>
        <w:t xml:space="preserve">Vysvětlivka:  </w:t>
      </w:r>
    </w:p>
    <w:p w14:paraId="4BD953A6" w14:textId="77777777" w:rsidR="008F52C8" w:rsidRPr="0030358C" w:rsidRDefault="00000000" w:rsidP="008F52C8">
      <w:pPr>
        <w:pStyle w:val="Odstavecseseznamem"/>
        <w:numPr>
          <w:ilvl w:val="0"/>
          <w:numId w:val="186"/>
        </w:numPr>
        <w:suppressAutoHyphens/>
        <w:spacing w:before="60" w:after="0" w:line="240" w:lineRule="auto"/>
        <w:rPr>
          <w:rFonts w:ascii="Arial" w:hAnsi="Arial" w:cs="Arial"/>
          <w:strike/>
          <w:lang w:eastAsia="zh-CN"/>
        </w:rPr>
      </w:pPr>
      <w:r w:rsidRPr="0030358C">
        <w:rPr>
          <w:rFonts w:ascii="Arial" w:hAnsi="Arial" w:cs="Arial"/>
          <w:strike/>
          <w:lang w:eastAsia="zh-CN"/>
        </w:rPr>
        <w:t>Platí rovněž pro mletí a třídění strusky</w:t>
      </w:r>
    </w:p>
    <w:p w14:paraId="6B6AF047" w14:textId="77777777" w:rsidR="008F52C8" w:rsidRPr="0030358C" w:rsidRDefault="00000000" w:rsidP="008F52C8">
      <w:pPr>
        <w:pStyle w:val="Odstavecseseznamem"/>
        <w:numPr>
          <w:ilvl w:val="0"/>
          <w:numId w:val="186"/>
        </w:numPr>
        <w:spacing w:before="60"/>
        <w:rPr>
          <w:rFonts w:ascii="Arial" w:hAnsi="Arial" w:cs="Arial"/>
          <w:strike/>
          <w:lang w:eastAsia="zh-CN"/>
        </w:rPr>
      </w:pPr>
      <w:r w:rsidRPr="0030358C">
        <w:rPr>
          <w:rFonts w:ascii="Arial" w:hAnsi="Arial" w:cs="Arial"/>
          <w:strike/>
          <w:lang w:eastAsia="zh-CN"/>
        </w:rPr>
        <w:t xml:space="preserve">Platí od 1. ledna 2020. </w:t>
      </w:r>
    </w:p>
    <w:p w14:paraId="0090BFFE" w14:textId="77777777" w:rsidR="008F52C8" w:rsidRPr="0030358C" w:rsidRDefault="00000000" w:rsidP="008F52C8">
      <w:pPr>
        <w:keepNext/>
        <w:numPr>
          <w:ilvl w:val="2"/>
          <w:numId w:val="0"/>
        </w:numPr>
        <w:tabs>
          <w:tab w:val="left" w:pos="0"/>
        </w:tabs>
        <w:spacing w:before="240"/>
        <w:ind w:left="709" w:hanging="720"/>
        <w:outlineLvl w:val="2"/>
        <w:rPr>
          <w:rFonts w:ascii="Arial" w:hAnsi="Arial" w:cs="Arial"/>
          <w:bCs/>
          <w:strike/>
          <w:sz w:val="22"/>
          <w:szCs w:val="22"/>
          <w:lang w:eastAsia="zh-CN"/>
        </w:rPr>
      </w:pPr>
      <w:r w:rsidRPr="0030358C">
        <w:rPr>
          <w:rFonts w:ascii="Arial" w:hAnsi="Arial" w:cs="Arial"/>
          <w:bCs/>
          <w:strike/>
          <w:sz w:val="22"/>
          <w:szCs w:val="22"/>
          <w:lang w:eastAsia="zh-CN"/>
        </w:rPr>
        <w:t xml:space="preserve">Technická podmínka provozu: </w:t>
      </w:r>
    </w:p>
    <w:p w14:paraId="4C2231D7" w14:textId="77777777" w:rsidR="008F52C8" w:rsidRPr="0030358C" w:rsidRDefault="00000000" w:rsidP="008F52C8">
      <w:pPr>
        <w:keepNext/>
        <w:numPr>
          <w:ilvl w:val="2"/>
          <w:numId w:val="0"/>
        </w:numPr>
        <w:tabs>
          <w:tab w:val="left" w:pos="0"/>
        </w:tabs>
        <w:spacing w:before="240"/>
        <w:ind w:hanging="11"/>
        <w:outlineLvl w:val="2"/>
        <w:rPr>
          <w:rFonts w:ascii="Arial" w:hAnsi="Arial" w:cs="Arial"/>
          <w:bCs/>
          <w:strike/>
          <w:sz w:val="22"/>
          <w:szCs w:val="22"/>
          <w:lang w:eastAsia="zh-CN"/>
        </w:rPr>
      </w:pPr>
      <w:r w:rsidRPr="0030358C">
        <w:rPr>
          <w:rFonts w:ascii="Arial" w:hAnsi="Arial" w:cs="Arial"/>
          <w:bCs/>
          <w:strike/>
          <w:sz w:val="22"/>
          <w:szCs w:val="22"/>
          <w:lang w:eastAsia="zh-CN"/>
        </w:rPr>
        <w:t>Definovat způsob odsávání a odlučování znečišťujících látek při dělení těžkého kovového odpadu řezáním kyslíkem.</w:t>
      </w:r>
      <w:r w:rsidRPr="0030358C">
        <w:rPr>
          <w:rFonts w:ascii="Arial" w:hAnsi="Arial" w:cs="Arial"/>
          <w:b/>
          <w:strike/>
          <w:sz w:val="22"/>
          <w:szCs w:val="22"/>
          <w:lang w:eastAsia="zh-CN"/>
        </w:rPr>
        <w:t xml:space="preserve"> </w:t>
      </w:r>
    </w:p>
    <w:p w14:paraId="56DED248" w14:textId="77777777" w:rsidR="008F52C8" w:rsidRPr="0030358C" w:rsidRDefault="008F52C8" w:rsidP="008F52C8">
      <w:pPr>
        <w:spacing w:before="60"/>
        <w:rPr>
          <w:rFonts w:ascii="Arial" w:hAnsi="Arial" w:cs="Arial"/>
          <w:b/>
          <w:strike/>
          <w:sz w:val="22"/>
          <w:szCs w:val="22"/>
          <w:lang w:eastAsia="zh-CN"/>
        </w:rPr>
      </w:pPr>
    </w:p>
    <w:p w14:paraId="3D35FCE8"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3.3.2. Nístějové pece s intenzifikací kyslíkem </w:t>
      </w:r>
      <w:r w:rsidRPr="0030358C">
        <w:rPr>
          <w:rFonts w:ascii="Arial" w:hAnsi="Arial" w:cs="Arial"/>
          <w:bCs/>
          <w:strike/>
          <w:sz w:val="22"/>
          <w:szCs w:val="22"/>
          <w:lang w:eastAsia="zh-CN"/>
        </w:rPr>
        <w:t>(kód 4.3.2. přílohy č. 2 k zákonu)</w:t>
      </w:r>
    </w:p>
    <w:tbl>
      <w:tblPr>
        <w:tblW w:w="9600" w:type="dxa"/>
        <w:tblInd w:w="-15" w:type="dxa"/>
        <w:tblLayout w:type="fixed"/>
        <w:tblLook w:val="0000" w:firstRow="0" w:lastRow="0" w:firstColumn="0" w:lastColumn="0" w:noHBand="0" w:noVBand="0"/>
      </w:tblPr>
      <w:tblGrid>
        <w:gridCol w:w="1864"/>
        <w:gridCol w:w="1899"/>
        <w:gridCol w:w="1899"/>
        <w:gridCol w:w="3938"/>
      </w:tblGrid>
      <w:tr w:rsidR="00E40657" w14:paraId="57A971EE" w14:textId="77777777" w:rsidTr="00732453">
        <w:trPr>
          <w:cantSplit/>
          <w:trHeight w:hRule="exact" w:val="340"/>
        </w:trPr>
        <w:tc>
          <w:tcPr>
            <w:tcW w:w="5662" w:type="dxa"/>
            <w:gridSpan w:val="3"/>
            <w:tcBorders>
              <w:top w:val="single" w:sz="4" w:space="0" w:color="000000"/>
              <w:left w:val="single" w:sz="4" w:space="0" w:color="000000"/>
              <w:bottom w:val="single" w:sz="4" w:space="0" w:color="000000"/>
            </w:tcBorders>
            <w:shd w:val="clear" w:color="auto" w:fill="auto"/>
            <w:vAlign w:val="center"/>
          </w:tcPr>
          <w:p w14:paraId="5B34279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lastRenderedPageBreak/>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DEFD5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345F2E2" w14:textId="77777777" w:rsidTr="00732453">
        <w:trPr>
          <w:cantSplit/>
          <w:trHeight w:hRule="exact" w:val="589"/>
        </w:trPr>
        <w:tc>
          <w:tcPr>
            <w:tcW w:w="1864" w:type="dxa"/>
            <w:tcBorders>
              <w:left w:val="single" w:sz="4" w:space="0" w:color="000000"/>
              <w:bottom w:val="single" w:sz="4" w:space="0" w:color="000000"/>
            </w:tcBorders>
            <w:shd w:val="clear" w:color="auto" w:fill="auto"/>
            <w:vAlign w:val="center"/>
          </w:tcPr>
          <w:p w14:paraId="1A849F6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899" w:type="dxa"/>
            <w:tcBorders>
              <w:left w:val="single" w:sz="4" w:space="0" w:color="000000"/>
              <w:bottom w:val="single" w:sz="4" w:space="0" w:color="000000"/>
            </w:tcBorders>
            <w:shd w:val="clear" w:color="auto" w:fill="auto"/>
            <w:vAlign w:val="center"/>
          </w:tcPr>
          <w:p w14:paraId="6CE37054"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899" w:type="dxa"/>
            <w:tcBorders>
              <w:left w:val="single" w:sz="4" w:space="0" w:color="000000"/>
              <w:bottom w:val="single" w:sz="4" w:space="0" w:color="000000"/>
            </w:tcBorders>
            <w:shd w:val="clear" w:color="auto" w:fill="auto"/>
            <w:vAlign w:val="center"/>
          </w:tcPr>
          <w:p w14:paraId="6C593EC6"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3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CA204D" w14:textId="77777777" w:rsidR="008F52C8" w:rsidRPr="0030358C" w:rsidRDefault="008F52C8" w:rsidP="00732453">
            <w:pPr>
              <w:snapToGrid w:val="0"/>
              <w:rPr>
                <w:rFonts w:ascii="Arial" w:hAnsi="Arial" w:cs="Arial"/>
                <w:b/>
                <w:strike/>
                <w:sz w:val="22"/>
                <w:szCs w:val="22"/>
                <w:lang w:eastAsia="zh-CN"/>
              </w:rPr>
            </w:pPr>
          </w:p>
        </w:tc>
      </w:tr>
      <w:tr w:rsidR="00E40657" w14:paraId="6804F2E6" w14:textId="77777777" w:rsidTr="00732453">
        <w:trPr>
          <w:cantSplit/>
          <w:trHeight w:hRule="exact" w:val="707"/>
        </w:trPr>
        <w:tc>
          <w:tcPr>
            <w:tcW w:w="1864" w:type="dxa"/>
            <w:tcBorders>
              <w:left w:val="single" w:sz="4" w:space="0" w:color="000000"/>
              <w:bottom w:val="single" w:sz="4" w:space="0" w:color="000000"/>
            </w:tcBorders>
            <w:shd w:val="clear" w:color="auto" w:fill="auto"/>
            <w:vAlign w:val="center"/>
          </w:tcPr>
          <w:p w14:paraId="2D83717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899" w:type="dxa"/>
            <w:tcBorders>
              <w:left w:val="single" w:sz="4" w:space="0" w:color="000000"/>
              <w:bottom w:val="single" w:sz="4" w:space="0" w:color="000000"/>
            </w:tcBorders>
            <w:shd w:val="clear" w:color="auto" w:fill="auto"/>
            <w:vAlign w:val="center"/>
          </w:tcPr>
          <w:p w14:paraId="26A49FE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899" w:type="dxa"/>
            <w:tcBorders>
              <w:left w:val="single" w:sz="4" w:space="0" w:color="000000"/>
              <w:bottom w:val="single" w:sz="4" w:space="0" w:color="000000"/>
            </w:tcBorders>
            <w:shd w:val="clear" w:color="auto" w:fill="auto"/>
            <w:vAlign w:val="center"/>
          </w:tcPr>
          <w:p w14:paraId="149717D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3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A726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p w14:paraId="0B84282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1)</w:t>
            </w:r>
          </w:p>
        </w:tc>
      </w:tr>
    </w:tbl>
    <w:p w14:paraId="20E74B22" w14:textId="77777777" w:rsidR="008F52C8" w:rsidRPr="0030358C" w:rsidRDefault="00000000" w:rsidP="008F52C8">
      <w:pPr>
        <w:spacing w:before="60"/>
        <w:rPr>
          <w:rFonts w:ascii="Arial" w:hAnsi="Arial" w:cs="Arial"/>
          <w:iCs/>
          <w:strike/>
          <w:sz w:val="22"/>
          <w:szCs w:val="22"/>
          <w:lang w:eastAsia="zh-CN"/>
        </w:rPr>
      </w:pPr>
      <w:r w:rsidRPr="0030358C">
        <w:rPr>
          <w:rFonts w:ascii="Arial" w:hAnsi="Arial" w:cs="Arial"/>
          <w:strike/>
          <w:sz w:val="22"/>
          <w:szCs w:val="22"/>
          <w:lang w:eastAsia="zh-CN"/>
        </w:rPr>
        <w:t xml:space="preserve">Vysvětlivka: 1) </w:t>
      </w:r>
      <w:r w:rsidRPr="0030358C">
        <w:rPr>
          <w:rFonts w:ascii="Arial" w:hAnsi="Arial" w:cs="Arial"/>
          <w:iCs/>
          <w:strike/>
          <w:sz w:val="22"/>
          <w:szCs w:val="22"/>
          <w:lang w:eastAsia="zh-CN"/>
        </w:rPr>
        <w:t>Platí od 1. ledna 2020</w:t>
      </w:r>
    </w:p>
    <w:p w14:paraId="643A0834" w14:textId="77777777" w:rsidR="008F52C8" w:rsidRPr="0030358C" w:rsidRDefault="008F52C8" w:rsidP="008F52C8">
      <w:pPr>
        <w:spacing w:before="60"/>
        <w:rPr>
          <w:rFonts w:ascii="Arial" w:hAnsi="Arial" w:cs="Arial"/>
          <w:b/>
          <w:strike/>
          <w:sz w:val="22"/>
          <w:szCs w:val="22"/>
          <w:lang w:eastAsia="zh-CN"/>
        </w:rPr>
      </w:pPr>
    </w:p>
    <w:p w14:paraId="21599D37"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3.3.3. Kyslíkové konvertory (kód 4.3.3. přílohy č. 2  k zákonu)</w:t>
      </w:r>
    </w:p>
    <w:tbl>
      <w:tblPr>
        <w:tblW w:w="9600" w:type="dxa"/>
        <w:tblInd w:w="-15" w:type="dxa"/>
        <w:tblLayout w:type="fixed"/>
        <w:tblLook w:val="0000" w:firstRow="0" w:lastRow="0" w:firstColumn="0" w:lastColumn="0" w:noHBand="0" w:noVBand="0"/>
      </w:tblPr>
      <w:tblGrid>
        <w:gridCol w:w="4785"/>
        <w:gridCol w:w="4815"/>
      </w:tblGrid>
      <w:tr w:rsidR="00E40657" w14:paraId="0A94FFDD"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05F1172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815" w:type="dxa"/>
            <w:vMerge w:val="restart"/>
            <w:tcBorders>
              <w:top w:val="single" w:sz="4" w:space="0" w:color="000000"/>
              <w:left w:val="single" w:sz="4" w:space="0" w:color="000000"/>
              <w:right w:val="single" w:sz="4" w:space="0" w:color="000000"/>
            </w:tcBorders>
            <w:shd w:val="clear" w:color="auto" w:fill="auto"/>
            <w:vAlign w:val="center"/>
          </w:tcPr>
          <w:p w14:paraId="0D121AA6"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6E5D87E" w14:textId="77777777" w:rsidTr="00732453">
        <w:trPr>
          <w:cantSplit/>
          <w:trHeight w:hRule="exact" w:val="541"/>
        </w:trPr>
        <w:tc>
          <w:tcPr>
            <w:tcW w:w="4785" w:type="dxa"/>
            <w:tcBorders>
              <w:left w:val="single" w:sz="4" w:space="0" w:color="000000"/>
              <w:bottom w:val="single" w:sz="4" w:space="0" w:color="000000"/>
            </w:tcBorders>
            <w:shd w:val="clear" w:color="auto" w:fill="auto"/>
            <w:vAlign w:val="center"/>
          </w:tcPr>
          <w:p w14:paraId="1128858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815" w:type="dxa"/>
            <w:vMerge/>
            <w:tcBorders>
              <w:left w:val="single" w:sz="4" w:space="0" w:color="000000"/>
              <w:bottom w:val="single" w:sz="4" w:space="0" w:color="000000"/>
              <w:right w:val="single" w:sz="4" w:space="0" w:color="000000"/>
            </w:tcBorders>
            <w:shd w:val="clear" w:color="auto" w:fill="auto"/>
            <w:vAlign w:val="center"/>
          </w:tcPr>
          <w:p w14:paraId="5A98118B" w14:textId="77777777" w:rsidR="008F52C8" w:rsidRPr="0030358C" w:rsidRDefault="008F52C8" w:rsidP="00732453">
            <w:pPr>
              <w:snapToGrid w:val="0"/>
              <w:rPr>
                <w:rFonts w:ascii="Arial" w:hAnsi="Arial" w:cs="Arial"/>
                <w:b/>
                <w:strike/>
                <w:sz w:val="22"/>
                <w:szCs w:val="22"/>
                <w:lang w:eastAsia="zh-CN"/>
              </w:rPr>
            </w:pPr>
          </w:p>
        </w:tc>
      </w:tr>
      <w:tr w:rsidR="00E40657" w14:paraId="0886FCEC" w14:textId="77777777" w:rsidTr="00732453">
        <w:trPr>
          <w:cantSplit/>
          <w:trHeight w:hRule="exact" w:val="651"/>
        </w:trPr>
        <w:tc>
          <w:tcPr>
            <w:tcW w:w="4785" w:type="dxa"/>
            <w:tcBorders>
              <w:left w:val="single" w:sz="4" w:space="0" w:color="000000"/>
              <w:bottom w:val="single" w:sz="4" w:space="0" w:color="000000"/>
            </w:tcBorders>
            <w:shd w:val="clear" w:color="auto" w:fill="auto"/>
            <w:vAlign w:val="center"/>
          </w:tcPr>
          <w:p w14:paraId="0AAF08D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p w14:paraId="77F2898D"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1)</w:t>
            </w:r>
          </w:p>
          <w:p w14:paraId="2E93CC93" w14:textId="77777777" w:rsidR="008F52C8" w:rsidRPr="0030358C" w:rsidRDefault="008F52C8" w:rsidP="00732453">
            <w:pPr>
              <w:snapToGrid w:val="0"/>
              <w:jc w:val="center"/>
              <w:rPr>
                <w:rFonts w:ascii="Arial" w:hAnsi="Arial" w:cs="Arial"/>
                <w:bCs/>
                <w:strike/>
                <w:sz w:val="22"/>
                <w:szCs w:val="22"/>
                <w:lang w:eastAsia="zh-CN"/>
              </w:rPr>
            </w:pP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C020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3DA1A1B5" w14:textId="77777777" w:rsidR="008F52C8" w:rsidRPr="0030358C" w:rsidRDefault="00000000" w:rsidP="008F52C8">
      <w:pPr>
        <w:spacing w:before="60"/>
        <w:rPr>
          <w:rFonts w:ascii="Arial" w:hAnsi="Arial" w:cs="Arial"/>
          <w:strike/>
          <w:sz w:val="22"/>
          <w:szCs w:val="22"/>
          <w:lang w:eastAsia="zh-CN"/>
        </w:rPr>
      </w:pPr>
      <w:r w:rsidRPr="0030358C">
        <w:rPr>
          <w:rFonts w:ascii="Arial" w:hAnsi="Arial" w:cs="Arial"/>
          <w:strike/>
          <w:sz w:val="22"/>
          <w:szCs w:val="22"/>
          <w:lang w:eastAsia="zh-CN"/>
        </w:rPr>
        <w:t>Vysvětlivka: 1) Platí pro sekundární odprášení.</w:t>
      </w:r>
    </w:p>
    <w:p w14:paraId="7CC56A87" w14:textId="77777777" w:rsidR="008F52C8" w:rsidRPr="0030358C" w:rsidRDefault="008F52C8" w:rsidP="008F52C8">
      <w:pPr>
        <w:keepNext/>
        <w:numPr>
          <w:ilvl w:val="2"/>
          <w:numId w:val="0"/>
        </w:numPr>
        <w:tabs>
          <w:tab w:val="num" w:pos="0"/>
        </w:tabs>
        <w:ind w:left="720"/>
        <w:outlineLvl w:val="2"/>
        <w:rPr>
          <w:rFonts w:ascii="Arial" w:hAnsi="Arial" w:cs="Arial"/>
          <w:b/>
          <w:strike/>
          <w:sz w:val="22"/>
          <w:szCs w:val="22"/>
          <w:lang w:eastAsia="zh-CN"/>
        </w:rPr>
      </w:pPr>
    </w:p>
    <w:p w14:paraId="3C94ABB6" w14:textId="77777777" w:rsidR="008F52C8" w:rsidRPr="0030358C" w:rsidRDefault="00000000" w:rsidP="008F52C8">
      <w:pPr>
        <w:keepNext/>
        <w:numPr>
          <w:ilvl w:val="2"/>
          <w:numId w:val="0"/>
        </w:numPr>
        <w:tabs>
          <w:tab w:val="num" w:pos="0"/>
        </w:tabs>
        <w:outlineLvl w:val="2"/>
        <w:rPr>
          <w:rFonts w:ascii="Arial" w:hAnsi="Arial" w:cs="Arial"/>
          <w:bCs/>
          <w:strike/>
          <w:sz w:val="22"/>
          <w:szCs w:val="22"/>
          <w:lang w:eastAsia="zh-CN"/>
        </w:rPr>
      </w:pPr>
      <w:r w:rsidRPr="0030358C">
        <w:rPr>
          <w:rFonts w:ascii="Arial" w:hAnsi="Arial" w:cs="Arial"/>
          <w:bCs/>
          <w:strike/>
          <w:sz w:val="22"/>
          <w:szCs w:val="22"/>
          <w:lang w:eastAsia="zh-CN"/>
        </w:rPr>
        <w:t xml:space="preserve">Technické podmínky provozu: </w:t>
      </w:r>
    </w:p>
    <w:p w14:paraId="2E8C49E6" w14:textId="77777777" w:rsidR="008F52C8" w:rsidRPr="0030358C" w:rsidRDefault="00000000" w:rsidP="008F52C8">
      <w:pPr>
        <w:numPr>
          <w:ilvl w:val="0"/>
          <w:numId w:val="116"/>
        </w:numPr>
        <w:suppressAutoHyphens/>
        <w:spacing w:before="60" w:line="240" w:lineRule="atLeast"/>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Konvertorový plyn je třeba jímat s ohledem na procesní možnosti a dále jej využívat.</w:t>
      </w:r>
    </w:p>
    <w:p w14:paraId="56FBBBCB" w14:textId="77777777" w:rsidR="008F52C8" w:rsidRPr="0030358C" w:rsidRDefault="00000000" w:rsidP="008F52C8">
      <w:pPr>
        <w:numPr>
          <w:ilvl w:val="0"/>
          <w:numId w:val="116"/>
        </w:numPr>
        <w:suppressAutoHyphens/>
        <w:spacing w:before="60" w:line="240" w:lineRule="atLeast"/>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Účinnost odsávání prachu z haly ocelárny musí být vyšší než 90 %. Tato podmínka platí od 1. ledna 2020.</w:t>
      </w:r>
    </w:p>
    <w:p w14:paraId="12604047" w14:textId="77777777" w:rsidR="008F52C8" w:rsidRPr="0030358C" w:rsidRDefault="008F52C8" w:rsidP="008F52C8">
      <w:pPr>
        <w:widowControl w:val="0"/>
        <w:tabs>
          <w:tab w:val="left" w:pos="284"/>
        </w:tabs>
        <w:autoSpaceDE w:val="0"/>
        <w:spacing w:line="300" w:lineRule="exact"/>
        <w:jc w:val="both"/>
        <w:rPr>
          <w:rFonts w:ascii="Arial" w:hAnsi="Arial" w:cs="Arial"/>
          <w:b/>
          <w:strike/>
          <w:sz w:val="22"/>
          <w:szCs w:val="22"/>
          <w:lang w:eastAsia="zh-CN"/>
        </w:rPr>
      </w:pPr>
    </w:p>
    <w:p w14:paraId="118E9BFE"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3.3.4. – 3.3.6. </w:t>
      </w:r>
      <w:r w:rsidRPr="0030358C">
        <w:rPr>
          <w:rFonts w:ascii="Arial" w:hAnsi="Arial" w:cs="Arial"/>
          <w:bCs/>
          <w:strike/>
          <w:sz w:val="22"/>
          <w:szCs w:val="22"/>
          <w:lang w:eastAsia="zh-CN"/>
        </w:rPr>
        <w:t>(kód 4.3.4. – 4.3.6. přílohy č. 2 k zákonu)</w:t>
      </w:r>
    </w:p>
    <w:tbl>
      <w:tblPr>
        <w:tblW w:w="96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33"/>
        <w:gridCol w:w="18"/>
        <w:gridCol w:w="1136"/>
        <w:gridCol w:w="1134"/>
        <w:gridCol w:w="1560"/>
        <w:gridCol w:w="4515"/>
      </w:tblGrid>
      <w:tr w:rsidR="00E40657" w14:paraId="4DCAD4B9" w14:textId="77777777" w:rsidTr="00732453">
        <w:trPr>
          <w:cantSplit/>
          <w:trHeight w:hRule="exact" w:val="340"/>
        </w:trPr>
        <w:tc>
          <w:tcPr>
            <w:tcW w:w="5085" w:type="dxa"/>
            <w:gridSpan w:val="6"/>
            <w:shd w:val="clear" w:color="auto" w:fill="auto"/>
            <w:vAlign w:val="center"/>
          </w:tcPr>
          <w:p w14:paraId="27031B9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515" w:type="dxa"/>
            <w:vMerge w:val="restart"/>
            <w:shd w:val="clear" w:color="auto" w:fill="auto"/>
            <w:vAlign w:val="center"/>
          </w:tcPr>
          <w:p w14:paraId="3D46522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FF03568" w14:textId="77777777" w:rsidTr="00732453">
        <w:trPr>
          <w:cantSplit/>
          <w:trHeight w:hRule="exact" w:val="555"/>
        </w:trPr>
        <w:tc>
          <w:tcPr>
            <w:tcW w:w="1237" w:type="dxa"/>
            <w:gridSpan w:val="2"/>
            <w:shd w:val="clear" w:color="auto" w:fill="auto"/>
            <w:vAlign w:val="center"/>
          </w:tcPr>
          <w:p w14:paraId="794F9146"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154" w:type="dxa"/>
            <w:gridSpan w:val="2"/>
            <w:shd w:val="clear" w:color="auto" w:fill="auto"/>
            <w:vAlign w:val="center"/>
          </w:tcPr>
          <w:p w14:paraId="7C8522FC"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134" w:type="dxa"/>
            <w:shd w:val="clear" w:color="auto" w:fill="auto"/>
            <w:vAlign w:val="center"/>
          </w:tcPr>
          <w:p w14:paraId="1A9C27CB"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560" w:type="dxa"/>
            <w:shd w:val="clear" w:color="auto" w:fill="auto"/>
            <w:vAlign w:val="center"/>
          </w:tcPr>
          <w:p w14:paraId="73AF4F2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4515" w:type="dxa"/>
            <w:vMerge/>
            <w:shd w:val="clear" w:color="auto" w:fill="auto"/>
            <w:vAlign w:val="center"/>
          </w:tcPr>
          <w:p w14:paraId="277CF5D8" w14:textId="77777777" w:rsidR="008F52C8" w:rsidRPr="0030358C" w:rsidRDefault="008F52C8" w:rsidP="00732453">
            <w:pPr>
              <w:snapToGrid w:val="0"/>
              <w:rPr>
                <w:rFonts w:ascii="Arial" w:hAnsi="Arial" w:cs="Arial"/>
                <w:b/>
                <w:strike/>
                <w:sz w:val="22"/>
                <w:szCs w:val="22"/>
                <w:lang w:eastAsia="zh-CN"/>
              </w:rPr>
            </w:pPr>
          </w:p>
        </w:tc>
      </w:tr>
      <w:tr w:rsidR="00E40657" w14:paraId="0A645CBD" w14:textId="77777777" w:rsidTr="00732453">
        <w:trPr>
          <w:cantSplit/>
          <w:trHeight w:hRule="exact" w:val="340"/>
        </w:trPr>
        <w:tc>
          <w:tcPr>
            <w:tcW w:w="9600" w:type="dxa"/>
            <w:gridSpan w:val="7"/>
            <w:shd w:val="clear" w:color="auto" w:fill="auto"/>
            <w:vAlign w:val="center"/>
          </w:tcPr>
          <w:p w14:paraId="3D3DE419"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 xml:space="preserve">3.3.4. Elektrické obloukové pece </w:t>
            </w:r>
            <w:r w:rsidRPr="0030358C">
              <w:rPr>
                <w:rFonts w:ascii="Arial" w:hAnsi="Arial" w:cs="Arial"/>
                <w:bCs/>
                <w:strike/>
                <w:sz w:val="22"/>
                <w:szCs w:val="22"/>
                <w:lang w:eastAsia="zh-CN"/>
              </w:rPr>
              <w:t>(kód 4.3.4. přílohy č. 2  k zákonu)</w:t>
            </w:r>
          </w:p>
        </w:tc>
      </w:tr>
      <w:tr w:rsidR="00E40657" w14:paraId="153B49EF" w14:textId="77777777" w:rsidTr="00732453">
        <w:trPr>
          <w:cantSplit/>
          <w:trHeight w:hRule="exact" w:val="389"/>
        </w:trPr>
        <w:tc>
          <w:tcPr>
            <w:tcW w:w="1255" w:type="dxa"/>
            <w:gridSpan w:val="3"/>
            <w:shd w:val="clear" w:color="auto" w:fill="auto"/>
            <w:vAlign w:val="center"/>
          </w:tcPr>
          <w:p w14:paraId="4746875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136" w:type="dxa"/>
            <w:shd w:val="clear" w:color="auto" w:fill="auto"/>
            <w:vAlign w:val="center"/>
          </w:tcPr>
          <w:p w14:paraId="77C2F5C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134" w:type="dxa"/>
            <w:shd w:val="clear" w:color="auto" w:fill="auto"/>
            <w:vAlign w:val="center"/>
          </w:tcPr>
          <w:p w14:paraId="0D5C106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60" w:type="dxa"/>
            <w:shd w:val="clear" w:color="auto" w:fill="auto"/>
            <w:vAlign w:val="center"/>
          </w:tcPr>
          <w:p w14:paraId="1FEE77A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4515" w:type="dxa"/>
            <w:shd w:val="clear" w:color="auto" w:fill="auto"/>
            <w:vAlign w:val="center"/>
          </w:tcPr>
          <w:p w14:paraId="1A71A7B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16C48085" w14:textId="77777777" w:rsidTr="00732453">
        <w:trPr>
          <w:cantSplit/>
          <w:trHeight w:hRule="exact" w:val="389"/>
        </w:trPr>
        <w:tc>
          <w:tcPr>
            <w:tcW w:w="9600" w:type="dxa"/>
            <w:gridSpan w:val="7"/>
            <w:shd w:val="clear" w:color="auto" w:fill="auto"/>
            <w:vAlign w:val="center"/>
          </w:tcPr>
          <w:p w14:paraId="1E900961" w14:textId="77777777" w:rsidR="008F52C8" w:rsidRPr="0030358C" w:rsidRDefault="00000000" w:rsidP="00732453">
            <w:pPr>
              <w:snapToGrid w:val="0"/>
              <w:jc w:val="both"/>
              <w:rPr>
                <w:rFonts w:ascii="Arial" w:hAnsi="Arial" w:cs="Arial"/>
                <w:b/>
                <w:strike/>
                <w:sz w:val="22"/>
                <w:szCs w:val="22"/>
                <w:lang w:eastAsia="zh-CN"/>
              </w:rPr>
            </w:pPr>
            <w:r w:rsidRPr="0030358C">
              <w:rPr>
                <w:rFonts w:ascii="Arial" w:hAnsi="Arial" w:cs="Arial"/>
                <w:b/>
                <w:strike/>
                <w:sz w:val="22"/>
                <w:szCs w:val="22"/>
                <w:lang w:eastAsia="zh-CN"/>
              </w:rPr>
              <w:t xml:space="preserve">3.3.5. Pánvové pece </w:t>
            </w:r>
            <w:r w:rsidRPr="0030358C">
              <w:rPr>
                <w:rFonts w:ascii="Arial" w:hAnsi="Arial" w:cs="Arial"/>
                <w:bCs/>
                <w:strike/>
                <w:sz w:val="22"/>
                <w:szCs w:val="22"/>
                <w:lang w:eastAsia="zh-CN"/>
              </w:rPr>
              <w:t xml:space="preserve">(kód 4.3.5. přílohy č. 2 k zákonu) </w:t>
            </w:r>
          </w:p>
        </w:tc>
      </w:tr>
      <w:tr w:rsidR="00E40657" w14:paraId="152F60A6" w14:textId="77777777" w:rsidTr="00732453">
        <w:trPr>
          <w:cantSplit/>
          <w:trHeight w:hRule="exact" w:val="580"/>
        </w:trPr>
        <w:tc>
          <w:tcPr>
            <w:tcW w:w="1204" w:type="dxa"/>
            <w:shd w:val="clear" w:color="auto" w:fill="auto"/>
            <w:vAlign w:val="center"/>
          </w:tcPr>
          <w:p w14:paraId="0B831D3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187" w:type="dxa"/>
            <w:gridSpan w:val="3"/>
            <w:shd w:val="clear" w:color="auto" w:fill="auto"/>
            <w:vAlign w:val="center"/>
          </w:tcPr>
          <w:p w14:paraId="4004E24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134" w:type="dxa"/>
            <w:shd w:val="clear" w:color="auto" w:fill="auto"/>
            <w:vAlign w:val="center"/>
          </w:tcPr>
          <w:p w14:paraId="166AB8E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560" w:type="dxa"/>
            <w:shd w:val="clear" w:color="auto" w:fill="auto"/>
            <w:vAlign w:val="center"/>
          </w:tcPr>
          <w:p w14:paraId="1745603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1000</w:t>
            </w:r>
          </w:p>
        </w:tc>
        <w:tc>
          <w:tcPr>
            <w:tcW w:w="4515" w:type="dxa"/>
            <w:shd w:val="clear" w:color="auto" w:fill="auto"/>
            <w:vAlign w:val="center"/>
          </w:tcPr>
          <w:p w14:paraId="5B8840E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48E363C0" w14:textId="77777777" w:rsidTr="00732453">
        <w:trPr>
          <w:cantSplit/>
          <w:trHeight w:hRule="exact" w:val="556"/>
        </w:trPr>
        <w:tc>
          <w:tcPr>
            <w:tcW w:w="9600" w:type="dxa"/>
            <w:gridSpan w:val="7"/>
            <w:shd w:val="clear" w:color="auto" w:fill="auto"/>
            <w:vAlign w:val="center"/>
          </w:tcPr>
          <w:p w14:paraId="559B7BA6"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 xml:space="preserve">3.3.6. Elektrické indukční pece s celkovou projektovanou kapacitou více než 2,5 t/hod </w:t>
            </w:r>
            <w:r w:rsidRPr="0030358C">
              <w:rPr>
                <w:rFonts w:ascii="Arial" w:hAnsi="Arial" w:cs="Arial"/>
                <w:bCs/>
                <w:strike/>
                <w:sz w:val="22"/>
                <w:szCs w:val="22"/>
                <w:lang w:eastAsia="zh-CN"/>
              </w:rPr>
              <w:t>(kód 4.3.6. přílohy č. 2 k zákonu)</w:t>
            </w:r>
          </w:p>
        </w:tc>
      </w:tr>
      <w:tr w:rsidR="00E40657" w14:paraId="0DD951E4" w14:textId="77777777" w:rsidTr="00732453">
        <w:trPr>
          <w:cantSplit/>
          <w:trHeight w:hRule="exact" w:val="556"/>
        </w:trPr>
        <w:tc>
          <w:tcPr>
            <w:tcW w:w="1255" w:type="dxa"/>
            <w:gridSpan w:val="3"/>
            <w:shd w:val="clear" w:color="auto" w:fill="auto"/>
            <w:vAlign w:val="center"/>
          </w:tcPr>
          <w:p w14:paraId="56768B6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136" w:type="dxa"/>
            <w:shd w:val="clear" w:color="auto" w:fill="auto"/>
            <w:vAlign w:val="center"/>
          </w:tcPr>
          <w:p w14:paraId="1CCFA3C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134" w:type="dxa"/>
            <w:shd w:val="clear" w:color="auto" w:fill="auto"/>
            <w:vAlign w:val="center"/>
          </w:tcPr>
          <w:p w14:paraId="64CBA2B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60" w:type="dxa"/>
            <w:shd w:val="clear" w:color="auto" w:fill="auto"/>
            <w:vAlign w:val="center"/>
          </w:tcPr>
          <w:p w14:paraId="732E765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4515" w:type="dxa"/>
            <w:shd w:val="clear" w:color="auto" w:fill="auto"/>
            <w:vAlign w:val="center"/>
          </w:tcPr>
          <w:p w14:paraId="587EA6F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652755B8" w14:textId="77777777" w:rsidR="008F52C8" w:rsidRPr="0030358C" w:rsidRDefault="008F52C8" w:rsidP="008F52C8">
      <w:pPr>
        <w:spacing w:before="60"/>
        <w:rPr>
          <w:rFonts w:ascii="Arial" w:hAnsi="Arial" w:cs="Arial"/>
          <w:b/>
          <w:strike/>
          <w:sz w:val="22"/>
          <w:szCs w:val="22"/>
          <w:lang w:eastAsia="zh-CN"/>
        </w:rPr>
      </w:pPr>
    </w:p>
    <w:p w14:paraId="31104F08" w14:textId="77777777" w:rsidR="008F52C8" w:rsidRPr="0030358C" w:rsidRDefault="00000000" w:rsidP="008F52C8">
      <w:pPr>
        <w:keepNext/>
        <w:numPr>
          <w:ilvl w:val="2"/>
          <w:numId w:val="0"/>
        </w:numPr>
        <w:tabs>
          <w:tab w:val="num" w:pos="0"/>
        </w:tabs>
        <w:spacing w:before="60"/>
        <w:ind w:left="720" w:hanging="720"/>
        <w:outlineLvl w:val="2"/>
        <w:rPr>
          <w:rFonts w:ascii="Arial" w:hAnsi="Arial" w:cs="Arial"/>
          <w:b/>
          <w:strike/>
          <w:sz w:val="22"/>
          <w:szCs w:val="22"/>
          <w:lang w:eastAsia="zh-CN"/>
        </w:rPr>
      </w:pPr>
      <w:r w:rsidRPr="0030358C">
        <w:rPr>
          <w:rFonts w:ascii="Arial" w:hAnsi="Arial" w:cs="Arial"/>
          <w:b/>
          <w:strike/>
          <w:sz w:val="22"/>
          <w:szCs w:val="22"/>
          <w:lang w:eastAsia="zh-CN"/>
        </w:rPr>
        <w:t>3.4. Zpracování železných kovů ve válcovnách a kovárnách</w:t>
      </w:r>
    </w:p>
    <w:p w14:paraId="59B4C1EB" w14:textId="77777777" w:rsidR="008F52C8" w:rsidRPr="0030358C" w:rsidRDefault="00000000" w:rsidP="008F52C8">
      <w:pPr>
        <w:keepNext/>
        <w:keepLines/>
        <w:jc w:val="both"/>
        <w:rPr>
          <w:rFonts w:ascii="Arial" w:hAnsi="Arial" w:cs="Arial"/>
          <w:strike/>
          <w:sz w:val="22"/>
          <w:szCs w:val="22"/>
          <w:lang w:eastAsia="zh-CN"/>
        </w:rPr>
      </w:pPr>
      <w:r w:rsidRPr="0030358C">
        <w:rPr>
          <w:rFonts w:ascii="Arial" w:hAnsi="Arial" w:cs="Arial"/>
          <w:strike/>
          <w:sz w:val="22"/>
          <w:szCs w:val="22"/>
          <w:lang w:eastAsia="zh-CN"/>
        </w:rPr>
        <w:t xml:space="preserve">Uvedené emisní limity platí pro pece s přímým procesním ohřevem nebo při použití speciální ochranné atmosféry. </w:t>
      </w:r>
    </w:p>
    <w:p w14:paraId="06803050" w14:textId="77777777" w:rsidR="008F52C8" w:rsidRPr="0030358C" w:rsidRDefault="00000000" w:rsidP="008F52C8">
      <w:pPr>
        <w:widowControl w:val="0"/>
        <w:tabs>
          <w:tab w:val="left" w:pos="28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Emisní limit na SO</w:t>
      </w:r>
      <w:r w:rsidRPr="0030358C">
        <w:rPr>
          <w:rFonts w:ascii="Arial" w:hAnsi="Arial" w:cs="Arial"/>
          <w:iCs/>
          <w:strike/>
          <w:sz w:val="22"/>
          <w:szCs w:val="22"/>
          <w:vertAlign w:val="subscript"/>
          <w:lang w:eastAsia="zh-CN"/>
        </w:rPr>
        <w:t>2</w:t>
      </w:r>
      <w:r w:rsidRPr="0030358C">
        <w:rPr>
          <w:rFonts w:ascii="Arial" w:hAnsi="Arial" w:cs="Arial"/>
          <w:iCs/>
          <w:strike/>
          <w:sz w:val="22"/>
          <w:szCs w:val="22"/>
          <w:lang w:eastAsia="zh-CN"/>
        </w:rPr>
        <w:t xml:space="preserve"> neplatí pro pece používající jako palivo pouze zemní plyn.</w:t>
      </w:r>
    </w:p>
    <w:p w14:paraId="7ECA1BAA" w14:textId="77777777" w:rsidR="008F52C8" w:rsidRPr="0030358C" w:rsidRDefault="008F52C8" w:rsidP="008F52C8">
      <w:pPr>
        <w:widowControl w:val="0"/>
        <w:autoSpaceDE w:val="0"/>
        <w:jc w:val="both"/>
        <w:rPr>
          <w:rFonts w:ascii="Arial" w:hAnsi="Arial" w:cs="Arial"/>
          <w:b/>
          <w:bCs/>
          <w:strike/>
          <w:sz w:val="22"/>
          <w:szCs w:val="22"/>
          <w:lang w:eastAsia="zh-CN"/>
        </w:rPr>
      </w:pPr>
    </w:p>
    <w:p w14:paraId="2A944836" w14:textId="77777777" w:rsidR="008F52C8" w:rsidRPr="0030358C" w:rsidRDefault="00000000" w:rsidP="008F52C8">
      <w:pPr>
        <w:widowControl w:val="0"/>
        <w:autoSpaceDE w:val="0"/>
        <w:jc w:val="both"/>
        <w:rPr>
          <w:rFonts w:ascii="Arial" w:hAnsi="Arial" w:cs="Arial"/>
          <w:b/>
          <w:bCs/>
          <w:strike/>
          <w:sz w:val="22"/>
          <w:szCs w:val="22"/>
          <w:lang w:eastAsia="zh-CN"/>
        </w:rPr>
      </w:pPr>
      <w:r w:rsidRPr="0030358C">
        <w:rPr>
          <w:rFonts w:ascii="Arial" w:hAnsi="Arial" w:cs="Arial"/>
          <w:b/>
          <w:bCs/>
          <w:strike/>
          <w:sz w:val="22"/>
          <w:szCs w:val="22"/>
          <w:lang w:eastAsia="zh-CN"/>
        </w:rPr>
        <w:t xml:space="preserve">3.4.1. Válcovny za tepla a za studena, včetně ohřívacích pecí a pecí na tepelné zpracování </w:t>
      </w:r>
      <w:r w:rsidRPr="0030358C">
        <w:rPr>
          <w:rFonts w:ascii="Arial" w:hAnsi="Arial" w:cs="Arial"/>
          <w:strike/>
          <w:sz w:val="22"/>
          <w:szCs w:val="22"/>
          <w:lang w:eastAsia="zh-CN"/>
        </w:rPr>
        <w:t>(kód 4.4. přílohy č. 2 k zákonu)</w:t>
      </w:r>
    </w:p>
    <w:tbl>
      <w:tblPr>
        <w:tblW w:w="0" w:type="auto"/>
        <w:tblInd w:w="-6" w:type="dxa"/>
        <w:tblLayout w:type="fixed"/>
        <w:tblCellMar>
          <w:left w:w="10" w:type="dxa"/>
          <w:right w:w="10" w:type="dxa"/>
        </w:tblCellMar>
        <w:tblLook w:val="0000" w:firstRow="0" w:lastRow="0" w:firstColumn="0" w:lastColumn="0" w:noHBand="0" w:noVBand="0"/>
      </w:tblPr>
      <w:tblGrid>
        <w:gridCol w:w="1618"/>
        <w:gridCol w:w="1753"/>
        <w:gridCol w:w="1901"/>
        <w:gridCol w:w="4108"/>
      </w:tblGrid>
      <w:tr w:rsidR="00E40657" w14:paraId="7C202044" w14:textId="77777777" w:rsidTr="00732453">
        <w:trPr>
          <w:cantSplit/>
          <w:trHeight w:hRule="exact" w:val="341"/>
        </w:trPr>
        <w:tc>
          <w:tcPr>
            <w:tcW w:w="5272" w:type="dxa"/>
            <w:gridSpan w:val="3"/>
            <w:tcBorders>
              <w:top w:val="single" w:sz="2" w:space="0" w:color="000000"/>
              <w:left w:val="single" w:sz="2" w:space="0" w:color="000000"/>
              <w:bottom w:val="single" w:sz="2" w:space="0" w:color="000000"/>
            </w:tcBorders>
            <w:shd w:val="clear" w:color="auto" w:fill="auto"/>
            <w:vAlign w:val="center"/>
          </w:tcPr>
          <w:p w14:paraId="15A31869"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108" w:type="dxa"/>
            <w:vMerge w:val="restart"/>
            <w:tcBorders>
              <w:top w:val="single" w:sz="2" w:space="0" w:color="000000"/>
              <w:left w:val="single" w:sz="2" w:space="0" w:color="000000"/>
              <w:right w:val="single" w:sz="2" w:space="0" w:color="000000"/>
            </w:tcBorders>
            <w:shd w:val="clear" w:color="auto" w:fill="auto"/>
            <w:vAlign w:val="center"/>
          </w:tcPr>
          <w:p w14:paraId="2CEC30FD"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46B2D43F" w14:textId="77777777" w:rsidTr="00732453">
        <w:trPr>
          <w:trHeight w:hRule="exact" w:val="597"/>
        </w:trPr>
        <w:tc>
          <w:tcPr>
            <w:tcW w:w="1618" w:type="dxa"/>
            <w:tcBorders>
              <w:top w:val="single" w:sz="2" w:space="0" w:color="000000"/>
              <w:left w:val="single" w:sz="2" w:space="0" w:color="000000"/>
              <w:bottom w:val="single" w:sz="2" w:space="0" w:color="000000"/>
            </w:tcBorders>
            <w:shd w:val="clear" w:color="auto" w:fill="auto"/>
            <w:vAlign w:val="center"/>
          </w:tcPr>
          <w:p w14:paraId="7782C00B"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SO</w:t>
            </w:r>
            <w:r w:rsidRPr="0030358C">
              <w:rPr>
                <w:rFonts w:ascii="Arial" w:hAnsi="Arial" w:cs="Arial"/>
                <w:b/>
                <w:bCs/>
                <w:strike/>
                <w:sz w:val="22"/>
                <w:szCs w:val="22"/>
                <w:vertAlign w:val="subscript"/>
                <w:lang w:eastAsia="zh-CN"/>
              </w:rPr>
              <w:t>2</w:t>
            </w:r>
          </w:p>
        </w:tc>
        <w:tc>
          <w:tcPr>
            <w:tcW w:w="1753" w:type="dxa"/>
            <w:tcBorders>
              <w:top w:val="single" w:sz="2" w:space="0" w:color="000000"/>
              <w:left w:val="single" w:sz="2" w:space="0" w:color="000000"/>
              <w:bottom w:val="single" w:sz="2" w:space="0" w:color="000000"/>
            </w:tcBorders>
            <w:shd w:val="clear" w:color="auto" w:fill="auto"/>
            <w:vAlign w:val="center"/>
          </w:tcPr>
          <w:p w14:paraId="6E0E6333"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901" w:type="dxa"/>
            <w:tcBorders>
              <w:top w:val="single" w:sz="2" w:space="0" w:color="000000"/>
              <w:left w:val="single" w:sz="2" w:space="0" w:color="000000"/>
              <w:bottom w:val="single" w:sz="2" w:space="0" w:color="000000"/>
            </w:tcBorders>
            <w:shd w:val="clear" w:color="auto" w:fill="auto"/>
            <w:vAlign w:val="center"/>
          </w:tcPr>
          <w:p w14:paraId="39008973"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CO</w:t>
            </w:r>
          </w:p>
        </w:tc>
        <w:tc>
          <w:tcPr>
            <w:tcW w:w="4108" w:type="dxa"/>
            <w:vMerge/>
            <w:tcBorders>
              <w:left w:val="single" w:sz="2" w:space="0" w:color="000000"/>
              <w:bottom w:val="single" w:sz="2" w:space="0" w:color="000000"/>
              <w:right w:val="single" w:sz="2" w:space="0" w:color="000000"/>
            </w:tcBorders>
            <w:shd w:val="clear" w:color="auto" w:fill="auto"/>
            <w:vAlign w:val="center"/>
          </w:tcPr>
          <w:p w14:paraId="64A5C63C"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r w:rsidR="00E40657" w14:paraId="77B2779B" w14:textId="77777777" w:rsidTr="00732453">
        <w:trPr>
          <w:trHeight w:hRule="exact" w:val="597"/>
        </w:trPr>
        <w:tc>
          <w:tcPr>
            <w:tcW w:w="1618" w:type="dxa"/>
            <w:tcBorders>
              <w:top w:val="single" w:sz="2" w:space="0" w:color="000000"/>
              <w:left w:val="single" w:sz="2" w:space="0" w:color="000000"/>
              <w:bottom w:val="single" w:sz="2" w:space="0" w:color="000000"/>
            </w:tcBorders>
            <w:shd w:val="clear" w:color="auto" w:fill="auto"/>
            <w:vAlign w:val="center"/>
          </w:tcPr>
          <w:p w14:paraId="558556AB"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753" w:type="dxa"/>
            <w:tcBorders>
              <w:top w:val="single" w:sz="2" w:space="0" w:color="000000"/>
              <w:left w:val="single" w:sz="2" w:space="0" w:color="000000"/>
              <w:bottom w:val="single" w:sz="2" w:space="0" w:color="000000"/>
            </w:tcBorders>
            <w:shd w:val="clear" w:color="auto" w:fill="auto"/>
            <w:vAlign w:val="center"/>
          </w:tcPr>
          <w:p w14:paraId="775AB988"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901" w:type="dxa"/>
            <w:tcBorders>
              <w:top w:val="single" w:sz="2" w:space="0" w:color="000000"/>
              <w:left w:val="single" w:sz="2" w:space="0" w:color="000000"/>
              <w:bottom w:val="single" w:sz="2" w:space="0" w:color="000000"/>
            </w:tcBorders>
            <w:shd w:val="clear" w:color="auto" w:fill="auto"/>
            <w:vAlign w:val="center"/>
          </w:tcPr>
          <w:p w14:paraId="6E8C8752"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410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304ACE"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14A36D0C" w14:textId="77777777" w:rsidR="008F52C8" w:rsidRPr="0030358C" w:rsidRDefault="008F52C8" w:rsidP="008F52C8">
      <w:pPr>
        <w:widowControl w:val="0"/>
        <w:autoSpaceDE w:val="0"/>
        <w:jc w:val="both"/>
        <w:rPr>
          <w:rFonts w:ascii="Arial" w:hAnsi="Arial" w:cs="Arial"/>
          <w:b/>
          <w:bCs/>
          <w:strike/>
          <w:sz w:val="22"/>
          <w:szCs w:val="22"/>
          <w:lang w:eastAsia="zh-CN"/>
        </w:rPr>
      </w:pPr>
    </w:p>
    <w:p w14:paraId="5C9B2306" w14:textId="77777777" w:rsidR="008F52C8" w:rsidRPr="0030358C" w:rsidRDefault="008F52C8" w:rsidP="008F52C8">
      <w:pPr>
        <w:widowControl w:val="0"/>
        <w:autoSpaceDE w:val="0"/>
        <w:jc w:val="both"/>
        <w:rPr>
          <w:rFonts w:ascii="Arial" w:hAnsi="Arial" w:cs="Arial"/>
          <w:b/>
          <w:bCs/>
          <w:strike/>
          <w:sz w:val="22"/>
          <w:szCs w:val="22"/>
          <w:lang w:eastAsia="zh-CN"/>
        </w:rPr>
      </w:pPr>
    </w:p>
    <w:p w14:paraId="469B89D3" w14:textId="77777777" w:rsidR="008F52C8" w:rsidRPr="0030358C" w:rsidRDefault="00000000" w:rsidP="008F52C8">
      <w:pPr>
        <w:widowControl w:val="0"/>
        <w:autoSpaceDE w:val="0"/>
        <w:jc w:val="both"/>
        <w:rPr>
          <w:rFonts w:ascii="Arial" w:hAnsi="Arial" w:cs="Arial"/>
          <w:strike/>
          <w:sz w:val="22"/>
          <w:szCs w:val="22"/>
          <w:lang w:eastAsia="zh-CN"/>
        </w:rPr>
      </w:pPr>
      <w:r w:rsidRPr="0030358C">
        <w:rPr>
          <w:rFonts w:ascii="Arial" w:hAnsi="Arial" w:cs="Arial"/>
          <w:b/>
          <w:bCs/>
          <w:strike/>
          <w:sz w:val="22"/>
          <w:szCs w:val="22"/>
          <w:lang w:eastAsia="zh-CN"/>
        </w:rPr>
        <w:t xml:space="preserve">3.4.2. Kovárny - ohřívací pece a pece na tepelné zpracování s celkovým projektovaným tepelným výkonem od 1 MW včetně </w:t>
      </w:r>
      <w:r w:rsidRPr="0030358C">
        <w:rPr>
          <w:rFonts w:ascii="Arial" w:hAnsi="Arial" w:cs="Arial"/>
          <w:strike/>
          <w:sz w:val="22"/>
          <w:szCs w:val="22"/>
          <w:lang w:eastAsia="zh-CN"/>
        </w:rPr>
        <w:t>(kód 4.5. přílohy č. 2 k zákonu)</w:t>
      </w:r>
    </w:p>
    <w:tbl>
      <w:tblPr>
        <w:tblW w:w="0" w:type="auto"/>
        <w:tblInd w:w="-6" w:type="dxa"/>
        <w:tblLayout w:type="fixed"/>
        <w:tblCellMar>
          <w:left w:w="10" w:type="dxa"/>
          <w:right w:w="10" w:type="dxa"/>
        </w:tblCellMar>
        <w:tblLook w:val="0000" w:firstRow="0" w:lastRow="0" w:firstColumn="0" w:lastColumn="0" w:noHBand="0" w:noVBand="0"/>
      </w:tblPr>
      <w:tblGrid>
        <w:gridCol w:w="1693"/>
        <w:gridCol w:w="1669"/>
        <w:gridCol w:w="1901"/>
        <w:gridCol w:w="4117"/>
      </w:tblGrid>
      <w:tr w:rsidR="00E40657" w14:paraId="3D241998" w14:textId="77777777" w:rsidTr="00732453">
        <w:trPr>
          <w:cantSplit/>
          <w:trHeight w:hRule="exact" w:val="341"/>
        </w:trPr>
        <w:tc>
          <w:tcPr>
            <w:tcW w:w="5263" w:type="dxa"/>
            <w:gridSpan w:val="3"/>
            <w:tcBorders>
              <w:top w:val="single" w:sz="2" w:space="0" w:color="000000"/>
              <w:left w:val="single" w:sz="2" w:space="0" w:color="000000"/>
              <w:bottom w:val="single" w:sz="2" w:space="0" w:color="000000"/>
            </w:tcBorders>
            <w:shd w:val="clear" w:color="auto" w:fill="auto"/>
            <w:vAlign w:val="center"/>
          </w:tcPr>
          <w:p w14:paraId="58034C07"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117" w:type="dxa"/>
            <w:vMerge w:val="restart"/>
            <w:tcBorders>
              <w:top w:val="single" w:sz="2" w:space="0" w:color="000000"/>
              <w:left w:val="single" w:sz="2" w:space="0" w:color="000000"/>
              <w:right w:val="single" w:sz="2" w:space="0" w:color="000000"/>
            </w:tcBorders>
            <w:shd w:val="clear" w:color="auto" w:fill="auto"/>
            <w:vAlign w:val="center"/>
          </w:tcPr>
          <w:p w14:paraId="1188835C"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10F25D2" w14:textId="77777777" w:rsidTr="00732453">
        <w:trPr>
          <w:trHeight w:hRule="exact" w:val="637"/>
        </w:trPr>
        <w:tc>
          <w:tcPr>
            <w:tcW w:w="1693" w:type="dxa"/>
            <w:tcBorders>
              <w:top w:val="single" w:sz="2" w:space="0" w:color="000000"/>
              <w:left w:val="single" w:sz="2" w:space="0" w:color="000000"/>
              <w:bottom w:val="single" w:sz="2" w:space="0" w:color="000000"/>
            </w:tcBorders>
            <w:shd w:val="clear" w:color="auto" w:fill="auto"/>
            <w:vAlign w:val="center"/>
          </w:tcPr>
          <w:p w14:paraId="2CF6A666"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SO</w:t>
            </w:r>
            <w:r w:rsidRPr="0030358C">
              <w:rPr>
                <w:rFonts w:ascii="Arial" w:hAnsi="Arial" w:cs="Arial"/>
                <w:b/>
                <w:bCs/>
                <w:strike/>
                <w:sz w:val="22"/>
                <w:szCs w:val="22"/>
                <w:vertAlign w:val="subscript"/>
                <w:lang w:eastAsia="zh-CN"/>
              </w:rPr>
              <w:t>2</w:t>
            </w:r>
          </w:p>
        </w:tc>
        <w:tc>
          <w:tcPr>
            <w:tcW w:w="1669" w:type="dxa"/>
            <w:tcBorders>
              <w:top w:val="single" w:sz="2" w:space="0" w:color="000000"/>
              <w:left w:val="single" w:sz="2" w:space="0" w:color="000000"/>
              <w:bottom w:val="single" w:sz="2" w:space="0" w:color="000000"/>
            </w:tcBorders>
            <w:shd w:val="clear" w:color="auto" w:fill="auto"/>
            <w:vAlign w:val="center"/>
          </w:tcPr>
          <w:p w14:paraId="0D5A6A27"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901" w:type="dxa"/>
            <w:tcBorders>
              <w:top w:val="single" w:sz="2" w:space="0" w:color="000000"/>
              <w:left w:val="single" w:sz="2" w:space="0" w:color="000000"/>
              <w:bottom w:val="single" w:sz="2" w:space="0" w:color="000000"/>
            </w:tcBorders>
            <w:shd w:val="clear" w:color="auto" w:fill="auto"/>
            <w:vAlign w:val="center"/>
          </w:tcPr>
          <w:p w14:paraId="60A71E80"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CO</w:t>
            </w:r>
          </w:p>
        </w:tc>
        <w:tc>
          <w:tcPr>
            <w:tcW w:w="4117" w:type="dxa"/>
            <w:vMerge/>
            <w:tcBorders>
              <w:left w:val="single" w:sz="2" w:space="0" w:color="000000"/>
              <w:bottom w:val="single" w:sz="2" w:space="0" w:color="000000"/>
              <w:right w:val="single" w:sz="2" w:space="0" w:color="000000"/>
            </w:tcBorders>
            <w:shd w:val="clear" w:color="auto" w:fill="auto"/>
            <w:vAlign w:val="center"/>
          </w:tcPr>
          <w:p w14:paraId="064A0785"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r w:rsidR="00E40657" w14:paraId="0D2132A5" w14:textId="77777777" w:rsidTr="00732453">
        <w:trPr>
          <w:trHeight w:hRule="exact" w:val="637"/>
        </w:trPr>
        <w:tc>
          <w:tcPr>
            <w:tcW w:w="1693" w:type="dxa"/>
            <w:tcBorders>
              <w:top w:val="single" w:sz="2" w:space="0" w:color="000000"/>
              <w:left w:val="single" w:sz="2" w:space="0" w:color="000000"/>
              <w:bottom w:val="single" w:sz="2" w:space="0" w:color="000000"/>
            </w:tcBorders>
            <w:shd w:val="clear" w:color="auto" w:fill="auto"/>
            <w:vAlign w:val="center"/>
          </w:tcPr>
          <w:p w14:paraId="1D2AE573"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669" w:type="dxa"/>
            <w:tcBorders>
              <w:top w:val="single" w:sz="2" w:space="0" w:color="000000"/>
              <w:left w:val="single" w:sz="2" w:space="0" w:color="000000"/>
              <w:bottom w:val="single" w:sz="2" w:space="0" w:color="000000"/>
            </w:tcBorders>
            <w:shd w:val="clear" w:color="auto" w:fill="auto"/>
            <w:vAlign w:val="center"/>
          </w:tcPr>
          <w:p w14:paraId="11B11F6F"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901" w:type="dxa"/>
            <w:tcBorders>
              <w:top w:val="single" w:sz="2" w:space="0" w:color="000000"/>
              <w:left w:val="single" w:sz="2" w:space="0" w:color="000000"/>
              <w:bottom w:val="single" w:sz="2" w:space="0" w:color="000000"/>
            </w:tcBorders>
            <w:shd w:val="clear" w:color="auto" w:fill="auto"/>
            <w:vAlign w:val="center"/>
          </w:tcPr>
          <w:p w14:paraId="530F90B5"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41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2F501D"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4DA089B4" w14:textId="77777777" w:rsidR="008F52C8" w:rsidRPr="0030358C" w:rsidRDefault="008F52C8" w:rsidP="008F52C8">
      <w:pPr>
        <w:keepNext/>
        <w:numPr>
          <w:ilvl w:val="2"/>
          <w:numId w:val="0"/>
        </w:numPr>
        <w:tabs>
          <w:tab w:val="num" w:pos="0"/>
          <w:tab w:val="left" w:pos="420"/>
        </w:tabs>
        <w:spacing w:before="60"/>
        <w:ind w:left="720"/>
        <w:outlineLvl w:val="2"/>
        <w:rPr>
          <w:rFonts w:ascii="Arial" w:hAnsi="Arial" w:cs="Arial"/>
          <w:b/>
          <w:bCs/>
          <w:strike/>
          <w:sz w:val="22"/>
          <w:szCs w:val="22"/>
          <w:lang w:eastAsia="zh-CN"/>
        </w:rPr>
      </w:pPr>
    </w:p>
    <w:p w14:paraId="22CFAD36" w14:textId="77777777" w:rsidR="008F52C8" w:rsidRPr="0030358C" w:rsidRDefault="008F52C8" w:rsidP="008F52C8">
      <w:pPr>
        <w:rPr>
          <w:rFonts w:ascii="Arial" w:hAnsi="Arial" w:cs="Arial"/>
          <w:b/>
          <w:strike/>
          <w:sz w:val="22"/>
          <w:szCs w:val="22"/>
          <w:lang w:eastAsia="zh-CN"/>
        </w:rPr>
      </w:pPr>
    </w:p>
    <w:p w14:paraId="1434BCE6" w14:textId="77777777" w:rsidR="008F52C8" w:rsidRPr="0030358C" w:rsidRDefault="00000000" w:rsidP="008F52C8">
      <w:pPr>
        <w:keepNext/>
        <w:numPr>
          <w:ilvl w:val="1"/>
          <w:numId w:val="0"/>
        </w:numPr>
        <w:tabs>
          <w:tab w:val="num" w:pos="0"/>
          <w:tab w:val="left" w:pos="420"/>
        </w:tabs>
        <w:suppressAutoHyphens/>
        <w:spacing w:before="60"/>
        <w:ind w:left="576" w:hanging="576"/>
        <w:outlineLvl w:val="2"/>
        <w:rPr>
          <w:rFonts w:ascii="Arial" w:hAnsi="Arial" w:cs="Arial"/>
          <w:b/>
          <w:strike/>
          <w:sz w:val="22"/>
          <w:szCs w:val="22"/>
          <w:lang w:eastAsia="zh-CN"/>
        </w:rPr>
      </w:pPr>
      <w:r w:rsidRPr="0030358C">
        <w:rPr>
          <w:rFonts w:ascii="Arial" w:hAnsi="Arial" w:cs="Arial"/>
          <w:b/>
          <w:strike/>
          <w:sz w:val="22"/>
          <w:szCs w:val="22"/>
          <w:lang w:eastAsia="zh-CN"/>
        </w:rPr>
        <w:t>3.5. Slévárny železných kovů (slitin železa)</w:t>
      </w:r>
    </w:p>
    <w:p w14:paraId="463F7395" w14:textId="77777777" w:rsidR="008F52C8" w:rsidRPr="0030358C" w:rsidRDefault="008F52C8" w:rsidP="008F52C8">
      <w:pPr>
        <w:rPr>
          <w:rFonts w:ascii="Arial" w:hAnsi="Arial" w:cs="Arial"/>
          <w:b/>
          <w:strike/>
          <w:sz w:val="22"/>
          <w:szCs w:val="22"/>
          <w:lang w:eastAsia="zh-CN"/>
        </w:rPr>
      </w:pPr>
    </w:p>
    <w:p w14:paraId="0B420588"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3.5.1. Doprava a manipulace se vsázkou nebo produktem </w:t>
      </w:r>
      <w:r w:rsidRPr="0030358C">
        <w:rPr>
          <w:rFonts w:ascii="Arial" w:hAnsi="Arial" w:cs="Arial"/>
          <w:bCs/>
          <w:strike/>
          <w:sz w:val="22"/>
          <w:szCs w:val="22"/>
          <w:lang w:eastAsia="zh-CN"/>
        </w:rPr>
        <w:t>(kód 4.6.1. přílohy č. 2 k zákonu)</w:t>
      </w:r>
    </w:p>
    <w:p w14:paraId="7EDAE32E"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Včetně ostatních technologických uzlů, jako jsou úpravárenská zařízení, výroby forem a jader, odlévání, čištění odlitků, dokončovací operace.</w:t>
      </w:r>
    </w:p>
    <w:tbl>
      <w:tblPr>
        <w:tblW w:w="0" w:type="auto"/>
        <w:tblInd w:w="-15" w:type="dxa"/>
        <w:tblLayout w:type="fixed"/>
        <w:tblLook w:val="0000" w:firstRow="0" w:lastRow="0" w:firstColumn="0" w:lastColumn="0" w:noHBand="0" w:noVBand="0"/>
      </w:tblPr>
      <w:tblGrid>
        <w:gridCol w:w="4785"/>
        <w:gridCol w:w="4815"/>
      </w:tblGrid>
      <w:tr w:rsidR="00E40657" w14:paraId="6E9CC174"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2E4A656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22016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B4B7826" w14:textId="77777777" w:rsidTr="00732453">
        <w:trPr>
          <w:cantSplit/>
          <w:trHeight w:hRule="exact" w:val="406"/>
        </w:trPr>
        <w:tc>
          <w:tcPr>
            <w:tcW w:w="4785" w:type="dxa"/>
            <w:tcBorders>
              <w:left w:val="single" w:sz="4" w:space="0" w:color="000000"/>
              <w:bottom w:val="single" w:sz="4" w:space="0" w:color="auto"/>
            </w:tcBorders>
            <w:shd w:val="clear" w:color="auto" w:fill="auto"/>
            <w:vAlign w:val="center"/>
          </w:tcPr>
          <w:p w14:paraId="0EB674DB"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815"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8ADB6D3" w14:textId="77777777" w:rsidR="008F52C8" w:rsidRPr="0030358C" w:rsidRDefault="008F52C8" w:rsidP="00732453">
            <w:pPr>
              <w:snapToGrid w:val="0"/>
              <w:rPr>
                <w:rFonts w:ascii="Arial" w:hAnsi="Arial" w:cs="Arial"/>
                <w:b/>
                <w:strike/>
                <w:sz w:val="22"/>
                <w:szCs w:val="22"/>
                <w:lang w:eastAsia="zh-CN"/>
              </w:rPr>
            </w:pPr>
          </w:p>
        </w:tc>
      </w:tr>
      <w:tr w:rsidR="00E40657" w14:paraId="12B6F68C" w14:textId="77777777" w:rsidTr="00732453">
        <w:trPr>
          <w:cantSplit/>
          <w:trHeight w:hRule="exact" w:val="626"/>
        </w:trPr>
        <w:tc>
          <w:tcPr>
            <w:tcW w:w="4785" w:type="dxa"/>
            <w:tcBorders>
              <w:top w:val="single" w:sz="4" w:space="0" w:color="auto"/>
              <w:left w:val="single" w:sz="4" w:space="0" w:color="auto"/>
              <w:bottom w:val="single" w:sz="4" w:space="0" w:color="auto"/>
              <w:right w:val="single" w:sz="4" w:space="0" w:color="auto"/>
            </w:tcBorders>
            <w:shd w:val="clear" w:color="auto" w:fill="auto"/>
            <w:vAlign w:val="center"/>
          </w:tcPr>
          <w:p w14:paraId="694D05D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 xml:space="preserve">100 </w:t>
            </w:r>
          </w:p>
          <w:p w14:paraId="4AE5361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 xml:space="preserve"> 20</w:t>
            </w:r>
            <w:r w:rsidRPr="0030358C">
              <w:rPr>
                <w:rFonts w:ascii="Arial" w:hAnsi="Arial" w:cs="Arial"/>
                <w:bCs/>
                <w:strike/>
                <w:sz w:val="22"/>
                <w:szCs w:val="22"/>
                <w:vertAlign w:val="superscript"/>
                <w:lang w:eastAsia="zh-CN"/>
              </w:rPr>
              <w:t>1)</w:t>
            </w:r>
            <w:r w:rsidRPr="0030358C">
              <w:rPr>
                <w:rFonts w:ascii="Arial" w:hAnsi="Arial" w:cs="Arial"/>
                <w:bCs/>
                <w:strike/>
                <w:sz w:val="22"/>
                <w:szCs w:val="22"/>
                <w:lang w:eastAsia="zh-CN"/>
              </w:rPr>
              <w:t xml:space="preserve"> </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658B9F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24E2252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2)</w:t>
            </w:r>
          </w:p>
        </w:tc>
      </w:tr>
    </w:tbl>
    <w:p w14:paraId="101D1C00" w14:textId="77777777" w:rsidR="008F52C8" w:rsidRPr="0030358C" w:rsidRDefault="00000000" w:rsidP="008F52C8">
      <w:pPr>
        <w:rPr>
          <w:rFonts w:ascii="Arial" w:hAnsi="Arial" w:cs="Arial"/>
          <w:strike/>
          <w:sz w:val="22"/>
          <w:szCs w:val="22"/>
          <w:lang w:eastAsia="zh-CN"/>
        </w:rPr>
      </w:pPr>
      <w:r w:rsidRPr="0030358C">
        <w:rPr>
          <w:rFonts w:ascii="Arial" w:hAnsi="Arial" w:cs="Arial"/>
          <w:strike/>
          <w:sz w:val="22"/>
          <w:szCs w:val="22"/>
          <w:lang w:eastAsia="zh-CN"/>
        </w:rPr>
        <w:t xml:space="preserve">Vysvětlivky: </w:t>
      </w:r>
    </w:p>
    <w:p w14:paraId="47C7D5E3" w14:textId="77777777" w:rsidR="008F52C8" w:rsidRPr="0030358C" w:rsidRDefault="00000000" w:rsidP="008F52C8">
      <w:pPr>
        <w:pStyle w:val="Odstavecseseznamem"/>
        <w:numPr>
          <w:ilvl w:val="0"/>
          <w:numId w:val="180"/>
        </w:numPr>
        <w:ind w:left="993" w:hanging="284"/>
        <w:rPr>
          <w:rFonts w:ascii="Arial" w:hAnsi="Arial" w:cs="Arial"/>
          <w:strike/>
          <w:lang w:eastAsia="zh-CN"/>
        </w:rPr>
      </w:pPr>
      <w:r w:rsidRPr="0030358C">
        <w:rPr>
          <w:rFonts w:ascii="Arial" w:hAnsi="Arial" w:cs="Arial"/>
          <w:strike/>
          <w:lang w:eastAsia="zh-CN"/>
        </w:rPr>
        <w:t xml:space="preserve">Platí od 1. ledna 2020 pro slévárny železných kovů o celkové projektované výrobní kapacitě větší než 20 t za den. </w:t>
      </w:r>
    </w:p>
    <w:p w14:paraId="58652D8B" w14:textId="77777777" w:rsidR="008F52C8" w:rsidRPr="0030358C" w:rsidRDefault="00000000" w:rsidP="008F52C8">
      <w:pPr>
        <w:pStyle w:val="Odstavecseseznamem"/>
        <w:numPr>
          <w:ilvl w:val="0"/>
          <w:numId w:val="180"/>
        </w:numPr>
        <w:ind w:left="993" w:hanging="284"/>
        <w:rPr>
          <w:rFonts w:ascii="Arial" w:hAnsi="Arial" w:cs="Arial"/>
          <w:strike/>
          <w:lang w:eastAsia="zh-CN"/>
        </w:rPr>
      </w:pPr>
      <w:r w:rsidRPr="0030358C">
        <w:rPr>
          <w:rFonts w:ascii="Arial" w:hAnsi="Arial" w:cs="Arial"/>
          <w:iCs/>
          <w:strike/>
          <w:lang w:eastAsia="zh-CN"/>
        </w:rPr>
        <w:t>Platí od 1. ledna 2020.</w:t>
      </w:r>
    </w:p>
    <w:p w14:paraId="3C9123A9"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Technické podmínky provozu:</w:t>
      </w:r>
    </w:p>
    <w:p w14:paraId="2711CF08"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Omezování emisí VOC vznikajících při výrobě forem a jader běžně dostupnými prostředky např. minimalizací spotřeby pojiva, náhradou nátěrů na bázi alkoholu za nátěry na bázi vody, použitím takových rozpouštědel pro výrobu jader cold-box, která nejsou na bázi aromatických uhlovodíků.</w:t>
      </w:r>
    </w:p>
    <w:p w14:paraId="71402811" w14:textId="77777777" w:rsidR="008F52C8" w:rsidRPr="0030358C" w:rsidRDefault="008F52C8" w:rsidP="008F52C8">
      <w:pPr>
        <w:widowControl w:val="0"/>
        <w:numPr>
          <w:ilvl w:val="0"/>
          <w:numId w:val="73"/>
        </w:numPr>
        <w:suppressAutoHyphens/>
        <w:autoSpaceDE w:val="0"/>
        <w:jc w:val="both"/>
        <w:rPr>
          <w:rFonts w:ascii="Arial" w:hAnsi="Arial" w:cs="Arial"/>
          <w:b/>
          <w:strike/>
          <w:sz w:val="22"/>
          <w:szCs w:val="22"/>
          <w:lang w:eastAsia="zh-CN"/>
        </w:rPr>
      </w:pPr>
    </w:p>
    <w:p w14:paraId="454DFCED" w14:textId="77777777" w:rsidR="008F52C8" w:rsidRPr="0030358C" w:rsidRDefault="00000000" w:rsidP="008F52C8">
      <w:pPr>
        <w:widowControl w:val="0"/>
        <w:numPr>
          <w:ilvl w:val="0"/>
          <w:numId w:val="73"/>
        </w:numPr>
        <w:suppressAutoHyphens/>
        <w:autoSpaceDE w:val="0"/>
        <w:jc w:val="both"/>
        <w:rPr>
          <w:rFonts w:ascii="Arial" w:hAnsi="Arial" w:cs="Arial"/>
          <w:bCs/>
          <w:strike/>
          <w:sz w:val="22"/>
          <w:szCs w:val="22"/>
          <w:lang w:eastAsia="zh-CN"/>
        </w:rPr>
      </w:pPr>
      <w:r w:rsidRPr="0030358C">
        <w:rPr>
          <w:rFonts w:ascii="Arial" w:hAnsi="Arial" w:cs="Arial"/>
          <w:bCs/>
          <w:strike/>
          <w:sz w:val="22"/>
          <w:szCs w:val="22"/>
          <w:lang w:eastAsia="zh-CN"/>
        </w:rPr>
        <w:t>Musí být snižovány emise tuhých znečišťujících látek na všech technologických uzlech včetně skladování a přepravy materiálu, kde dochází k emisím tuhých znečišťujících látek do ovzduší. Lze použít například:</w:t>
      </w:r>
    </w:p>
    <w:p w14:paraId="5BECE78A" w14:textId="77777777" w:rsidR="008F52C8" w:rsidRPr="0030358C" w:rsidRDefault="00000000" w:rsidP="008F52C8">
      <w:pPr>
        <w:numPr>
          <w:ilvl w:val="0"/>
          <w:numId w:val="120"/>
        </w:numPr>
        <w:suppressAutoHyphens/>
        <w:ind w:left="426" w:hanging="426"/>
        <w:jc w:val="both"/>
        <w:rPr>
          <w:rFonts w:ascii="Arial" w:hAnsi="Arial" w:cs="Arial"/>
          <w:bCs/>
          <w:strike/>
          <w:sz w:val="22"/>
          <w:szCs w:val="22"/>
          <w:lang w:eastAsia="zh-CN"/>
        </w:rPr>
      </w:pPr>
      <w:r w:rsidRPr="0030358C">
        <w:rPr>
          <w:rFonts w:ascii="Arial" w:hAnsi="Arial" w:cs="Arial"/>
          <w:bCs/>
          <w:strike/>
          <w:sz w:val="22"/>
          <w:szCs w:val="22"/>
          <w:lang w:eastAsia="zh-CN"/>
        </w:rPr>
        <w:t>opatření pro skladování prašných materiálů - uzavřené skladovací prostory, umisťování venkovních skládek na závětrnou stranu, jejich skrápění a budování zástěn,</w:t>
      </w:r>
    </w:p>
    <w:p w14:paraId="2A7B7200" w14:textId="77777777" w:rsidR="008F52C8" w:rsidRPr="0030358C" w:rsidRDefault="00000000" w:rsidP="008F52C8">
      <w:pPr>
        <w:numPr>
          <w:ilvl w:val="0"/>
          <w:numId w:val="120"/>
        </w:numPr>
        <w:suppressAutoHyphens/>
        <w:ind w:left="426" w:hanging="426"/>
        <w:jc w:val="both"/>
        <w:rPr>
          <w:rFonts w:ascii="Arial" w:hAnsi="Arial" w:cs="Arial"/>
          <w:bCs/>
          <w:strike/>
          <w:sz w:val="22"/>
          <w:szCs w:val="22"/>
          <w:lang w:eastAsia="zh-CN"/>
        </w:rPr>
      </w:pPr>
      <w:r w:rsidRPr="0030358C">
        <w:rPr>
          <w:rFonts w:ascii="Arial" w:hAnsi="Arial" w:cs="Arial"/>
          <w:bCs/>
          <w:strike/>
          <w:sz w:val="22"/>
          <w:szCs w:val="22"/>
          <w:lang w:eastAsia="zh-CN"/>
        </w:rPr>
        <w:t>opatření pro přepravu materiálů - pravidelná očista a skrápění komunikací a manipulačních ploch, omezení rychlosti pohybu vozidel v areálu zdroje, zakrývání nákladních prostorů expedujících dopravních prostředků.</w:t>
      </w:r>
    </w:p>
    <w:p w14:paraId="5CD12DCF" w14:textId="77777777" w:rsidR="008F52C8" w:rsidRPr="0030358C" w:rsidRDefault="008F52C8" w:rsidP="008F52C8">
      <w:pPr>
        <w:rPr>
          <w:rFonts w:ascii="Arial" w:hAnsi="Arial" w:cs="Arial"/>
          <w:b/>
          <w:strike/>
          <w:sz w:val="22"/>
          <w:szCs w:val="22"/>
          <w:lang w:eastAsia="zh-CN"/>
        </w:rPr>
      </w:pPr>
    </w:p>
    <w:p w14:paraId="5FD746CC" w14:textId="77777777" w:rsidR="008F52C8" w:rsidRPr="0030358C" w:rsidRDefault="008F52C8" w:rsidP="008F52C8">
      <w:pPr>
        <w:rPr>
          <w:rFonts w:ascii="Arial" w:hAnsi="Arial" w:cs="Arial"/>
          <w:b/>
          <w:strike/>
          <w:sz w:val="22"/>
          <w:szCs w:val="22"/>
          <w:lang w:eastAsia="zh-CN"/>
        </w:rPr>
      </w:pPr>
    </w:p>
    <w:p w14:paraId="60C3EFD3"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 xml:space="preserve">3.5.2. Žíhací a sušící pece </w:t>
      </w:r>
      <w:r w:rsidRPr="0030358C">
        <w:rPr>
          <w:rFonts w:ascii="Arial" w:hAnsi="Arial" w:cs="Arial"/>
          <w:bCs/>
          <w:strike/>
          <w:sz w:val="22"/>
          <w:szCs w:val="22"/>
          <w:lang w:eastAsia="zh-CN"/>
        </w:rPr>
        <w:t>(kód 4.6.2. přílohy č. 2 k zákonu)</w:t>
      </w:r>
    </w:p>
    <w:tbl>
      <w:tblPr>
        <w:tblW w:w="938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78"/>
        <w:gridCol w:w="2075"/>
        <w:gridCol w:w="2049"/>
        <w:gridCol w:w="3187"/>
      </w:tblGrid>
      <w:tr w:rsidR="00E40657" w14:paraId="7C3FAAD4" w14:textId="77777777" w:rsidTr="00732453">
        <w:trPr>
          <w:cantSplit/>
          <w:trHeight w:hRule="exact" w:val="443"/>
        </w:trPr>
        <w:tc>
          <w:tcPr>
            <w:tcW w:w="6202" w:type="dxa"/>
            <w:gridSpan w:val="3"/>
            <w:shd w:val="clear" w:color="auto" w:fill="auto"/>
            <w:vAlign w:val="center"/>
          </w:tcPr>
          <w:p w14:paraId="57D46B2F"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187" w:type="dxa"/>
            <w:shd w:val="clear" w:color="auto" w:fill="auto"/>
            <w:vAlign w:val="center"/>
          </w:tcPr>
          <w:p w14:paraId="0B20DBBE"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p w14:paraId="069AD08F" w14:textId="77777777" w:rsidR="008F52C8" w:rsidRPr="0030358C" w:rsidRDefault="008F52C8" w:rsidP="00732453">
            <w:pPr>
              <w:widowControl w:val="0"/>
              <w:autoSpaceDE w:val="0"/>
              <w:snapToGrid w:val="0"/>
              <w:jc w:val="center"/>
              <w:rPr>
                <w:rFonts w:ascii="Arial" w:hAnsi="Arial" w:cs="Arial"/>
                <w:b/>
                <w:bCs/>
                <w:strike/>
                <w:sz w:val="22"/>
                <w:szCs w:val="22"/>
                <w:lang w:eastAsia="zh-CN"/>
              </w:rPr>
            </w:pPr>
          </w:p>
        </w:tc>
      </w:tr>
      <w:tr w:rsidR="00E40657" w14:paraId="1326FA8F" w14:textId="77777777" w:rsidTr="00732453">
        <w:trPr>
          <w:cantSplit/>
          <w:trHeight w:hRule="exact" w:val="433"/>
        </w:trPr>
        <w:tc>
          <w:tcPr>
            <w:tcW w:w="2078" w:type="dxa"/>
            <w:shd w:val="clear" w:color="auto" w:fill="auto"/>
            <w:vAlign w:val="center"/>
          </w:tcPr>
          <w:p w14:paraId="31897FA7"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SO</w:t>
            </w:r>
            <w:r w:rsidRPr="0030358C">
              <w:rPr>
                <w:rFonts w:ascii="Arial" w:hAnsi="Arial" w:cs="Arial"/>
                <w:b/>
                <w:bCs/>
                <w:strike/>
                <w:sz w:val="22"/>
                <w:szCs w:val="22"/>
                <w:vertAlign w:val="subscript"/>
                <w:lang w:eastAsia="zh-CN"/>
              </w:rPr>
              <w:t>2</w:t>
            </w:r>
          </w:p>
        </w:tc>
        <w:tc>
          <w:tcPr>
            <w:tcW w:w="2075" w:type="dxa"/>
            <w:shd w:val="clear" w:color="auto" w:fill="auto"/>
            <w:vAlign w:val="center"/>
          </w:tcPr>
          <w:p w14:paraId="02F2EE3B"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strike/>
                <w:sz w:val="22"/>
                <w:szCs w:val="22"/>
                <w:vertAlign w:val="subscript"/>
                <w:lang w:eastAsia="zh-CN"/>
              </w:rPr>
              <w:t>x</w:t>
            </w:r>
          </w:p>
        </w:tc>
        <w:tc>
          <w:tcPr>
            <w:tcW w:w="2049" w:type="dxa"/>
            <w:shd w:val="clear" w:color="auto" w:fill="auto"/>
            <w:vAlign w:val="center"/>
          </w:tcPr>
          <w:p w14:paraId="3CAA08A1"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CO</w:t>
            </w:r>
          </w:p>
        </w:tc>
        <w:tc>
          <w:tcPr>
            <w:tcW w:w="3187" w:type="dxa"/>
            <w:vMerge w:val="restart"/>
            <w:shd w:val="clear" w:color="auto" w:fill="auto"/>
            <w:vAlign w:val="center"/>
          </w:tcPr>
          <w:p w14:paraId="6219CEFF"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159AF6E1" w14:textId="77777777" w:rsidTr="00732453">
        <w:trPr>
          <w:trHeight w:hRule="exact" w:val="483"/>
        </w:trPr>
        <w:tc>
          <w:tcPr>
            <w:tcW w:w="2078" w:type="dxa"/>
            <w:shd w:val="clear" w:color="auto" w:fill="auto"/>
            <w:vAlign w:val="center"/>
          </w:tcPr>
          <w:p w14:paraId="59670555"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400</w:t>
            </w:r>
            <w:r w:rsidRPr="0030358C">
              <w:rPr>
                <w:rFonts w:ascii="Arial" w:hAnsi="Arial" w:cs="Arial"/>
                <w:bCs/>
                <w:strike/>
                <w:sz w:val="22"/>
                <w:szCs w:val="22"/>
                <w:vertAlign w:val="superscript"/>
                <w:lang w:eastAsia="zh-CN"/>
              </w:rPr>
              <w:t>2)</w:t>
            </w:r>
          </w:p>
        </w:tc>
        <w:tc>
          <w:tcPr>
            <w:tcW w:w="2075" w:type="dxa"/>
            <w:shd w:val="clear" w:color="auto" w:fill="auto"/>
            <w:vAlign w:val="center"/>
          </w:tcPr>
          <w:p w14:paraId="60446F5C"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2049" w:type="dxa"/>
            <w:shd w:val="clear" w:color="auto" w:fill="auto"/>
            <w:vAlign w:val="center"/>
          </w:tcPr>
          <w:p w14:paraId="3C710253"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3187" w:type="dxa"/>
            <w:vMerge/>
            <w:shd w:val="clear" w:color="auto" w:fill="auto"/>
            <w:vAlign w:val="center"/>
          </w:tcPr>
          <w:p w14:paraId="56730530"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bl>
    <w:p w14:paraId="74FDD38D" w14:textId="77777777" w:rsidR="008F52C8" w:rsidRPr="0030358C" w:rsidRDefault="00000000" w:rsidP="008F52C8">
      <w:pPr>
        <w:widowControl w:val="0"/>
        <w:autoSpaceDE w:val="0"/>
        <w:jc w:val="both"/>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48A9C2CE" w14:textId="77777777" w:rsidR="008F52C8" w:rsidRPr="0030358C" w:rsidRDefault="00000000" w:rsidP="008F52C8">
      <w:pPr>
        <w:widowControl w:val="0"/>
        <w:numPr>
          <w:ilvl w:val="0"/>
          <w:numId w:val="110"/>
        </w:numPr>
        <w:tabs>
          <w:tab w:val="left" w:pos="284"/>
        </w:tabs>
        <w:suppressAutoHyphens/>
        <w:autoSpaceDE w:val="0"/>
        <w:jc w:val="both"/>
        <w:rPr>
          <w:rFonts w:ascii="Arial" w:hAnsi="Arial" w:cs="Arial"/>
          <w:iCs/>
          <w:strike/>
          <w:sz w:val="22"/>
          <w:szCs w:val="22"/>
          <w:lang w:eastAsia="zh-CN"/>
        </w:rPr>
      </w:pPr>
      <w:r w:rsidRPr="0030358C">
        <w:rPr>
          <w:rFonts w:ascii="Arial" w:hAnsi="Arial" w:cs="Arial"/>
          <w:iCs/>
          <w:strike/>
          <w:sz w:val="22"/>
          <w:szCs w:val="22"/>
          <w:lang w:eastAsia="zh-CN"/>
        </w:rPr>
        <w:t>Platí pro jednotky o celkovém jmenovitém tepelném výkonu od 0,3 MW včetně</w:t>
      </w:r>
    </w:p>
    <w:p w14:paraId="33A338F8" w14:textId="77777777" w:rsidR="008F52C8" w:rsidRPr="0030358C" w:rsidRDefault="00000000" w:rsidP="008F52C8">
      <w:pPr>
        <w:widowControl w:val="0"/>
        <w:numPr>
          <w:ilvl w:val="0"/>
          <w:numId w:val="110"/>
        </w:numPr>
        <w:tabs>
          <w:tab w:val="left" w:pos="284"/>
        </w:tabs>
        <w:suppressAutoHyphens/>
        <w:autoSpaceDE w:val="0"/>
        <w:jc w:val="both"/>
        <w:rPr>
          <w:rFonts w:ascii="Arial" w:hAnsi="Arial" w:cs="Arial"/>
          <w:iCs/>
          <w:strike/>
          <w:sz w:val="22"/>
          <w:szCs w:val="22"/>
          <w:lang w:eastAsia="zh-CN"/>
        </w:rPr>
      </w:pPr>
      <w:r w:rsidRPr="0030358C">
        <w:rPr>
          <w:rFonts w:ascii="Arial" w:hAnsi="Arial" w:cs="Arial"/>
          <w:iCs/>
          <w:strike/>
          <w:sz w:val="22"/>
          <w:szCs w:val="22"/>
          <w:lang w:eastAsia="zh-CN"/>
        </w:rPr>
        <w:t>Neplatí pro pece používající jako palivo pouze zemní plyn.</w:t>
      </w:r>
    </w:p>
    <w:p w14:paraId="17CD5DA9" w14:textId="77777777" w:rsidR="008F52C8" w:rsidRPr="0030358C" w:rsidRDefault="008F52C8" w:rsidP="008F52C8">
      <w:pPr>
        <w:rPr>
          <w:rFonts w:ascii="Arial" w:hAnsi="Arial" w:cs="Arial"/>
          <w:b/>
          <w:strike/>
          <w:sz w:val="22"/>
          <w:szCs w:val="22"/>
          <w:lang w:eastAsia="zh-CN"/>
        </w:rPr>
      </w:pPr>
    </w:p>
    <w:p w14:paraId="3C8ECE86" w14:textId="77777777" w:rsidR="008F52C8" w:rsidRPr="0030358C" w:rsidRDefault="008F52C8" w:rsidP="008F52C8">
      <w:pPr>
        <w:rPr>
          <w:rFonts w:ascii="Arial" w:hAnsi="Arial" w:cs="Arial"/>
          <w:b/>
          <w:strike/>
          <w:sz w:val="22"/>
          <w:szCs w:val="22"/>
          <w:lang w:eastAsia="zh-CN"/>
        </w:rPr>
      </w:pPr>
    </w:p>
    <w:p w14:paraId="4D95B203" w14:textId="77777777" w:rsidR="008F52C8" w:rsidRPr="0030358C" w:rsidRDefault="00000000" w:rsidP="008F52C8">
      <w:pPr>
        <w:ind w:left="-142" w:firstLine="142"/>
        <w:rPr>
          <w:rFonts w:ascii="Arial" w:hAnsi="Arial" w:cs="Arial"/>
          <w:b/>
          <w:strike/>
          <w:sz w:val="22"/>
          <w:szCs w:val="22"/>
          <w:lang w:eastAsia="zh-CN"/>
        </w:rPr>
      </w:pPr>
      <w:r w:rsidRPr="0030358C">
        <w:rPr>
          <w:rFonts w:ascii="Arial" w:hAnsi="Arial" w:cs="Arial"/>
          <w:b/>
          <w:strike/>
          <w:sz w:val="22"/>
          <w:szCs w:val="22"/>
          <w:lang w:eastAsia="zh-CN"/>
        </w:rPr>
        <w:t>3.5.3. – 3.5.7. (kód 4.6.3. – 4.6.7. dle přílohy č. 2 zákona)</w:t>
      </w:r>
    </w:p>
    <w:tbl>
      <w:tblPr>
        <w:tblW w:w="9366" w:type="dxa"/>
        <w:tblInd w:w="-15" w:type="dxa"/>
        <w:tblLayout w:type="fixed"/>
        <w:tblLook w:val="0000" w:firstRow="0" w:lastRow="0" w:firstColumn="0" w:lastColumn="0" w:noHBand="0" w:noVBand="0"/>
      </w:tblPr>
      <w:tblGrid>
        <w:gridCol w:w="1420"/>
        <w:gridCol w:w="1378"/>
        <w:gridCol w:w="1537"/>
        <w:gridCol w:w="8"/>
        <w:gridCol w:w="1167"/>
        <w:gridCol w:w="1417"/>
        <w:gridCol w:w="2439"/>
      </w:tblGrid>
      <w:tr w:rsidR="00E40657" w14:paraId="629F981D" w14:textId="77777777" w:rsidTr="00732453">
        <w:trPr>
          <w:cantSplit/>
          <w:trHeight w:hRule="exact" w:val="340"/>
        </w:trPr>
        <w:tc>
          <w:tcPr>
            <w:tcW w:w="6927" w:type="dxa"/>
            <w:gridSpan w:val="6"/>
            <w:tcBorders>
              <w:top w:val="single" w:sz="4" w:space="0" w:color="000000"/>
              <w:left w:val="single" w:sz="4" w:space="0" w:color="000000"/>
              <w:bottom w:val="single" w:sz="4" w:space="0" w:color="000000"/>
            </w:tcBorders>
            <w:shd w:val="clear" w:color="auto" w:fill="auto"/>
            <w:vAlign w:val="center"/>
          </w:tcPr>
          <w:p w14:paraId="02DAF3F0"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CDF4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3A3EF79" w14:textId="77777777" w:rsidTr="00732453">
        <w:trPr>
          <w:cantSplit/>
          <w:trHeight w:hRule="exact" w:val="406"/>
        </w:trPr>
        <w:tc>
          <w:tcPr>
            <w:tcW w:w="1420" w:type="dxa"/>
            <w:tcBorders>
              <w:left w:val="single" w:sz="4" w:space="0" w:color="000000"/>
              <w:bottom w:val="single" w:sz="4" w:space="0" w:color="000000"/>
            </w:tcBorders>
            <w:shd w:val="clear" w:color="auto" w:fill="auto"/>
            <w:vAlign w:val="center"/>
          </w:tcPr>
          <w:p w14:paraId="1F9B8D25"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378" w:type="dxa"/>
            <w:tcBorders>
              <w:left w:val="single" w:sz="4" w:space="0" w:color="000000"/>
              <w:bottom w:val="single" w:sz="4" w:space="0" w:color="000000"/>
            </w:tcBorders>
            <w:shd w:val="clear" w:color="auto" w:fill="auto"/>
            <w:vAlign w:val="center"/>
          </w:tcPr>
          <w:p w14:paraId="2D827A8B"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537" w:type="dxa"/>
            <w:tcBorders>
              <w:left w:val="single" w:sz="4" w:space="0" w:color="000000"/>
              <w:bottom w:val="single" w:sz="4" w:space="0" w:color="000000"/>
            </w:tcBorders>
            <w:shd w:val="clear" w:color="auto" w:fill="auto"/>
            <w:vAlign w:val="center"/>
          </w:tcPr>
          <w:p w14:paraId="01A3DF85"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175" w:type="dxa"/>
            <w:gridSpan w:val="2"/>
            <w:tcBorders>
              <w:left w:val="single" w:sz="4" w:space="0" w:color="000000"/>
              <w:bottom w:val="single" w:sz="4" w:space="0" w:color="000000"/>
            </w:tcBorders>
            <w:shd w:val="clear" w:color="auto" w:fill="auto"/>
            <w:vAlign w:val="center"/>
          </w:tcPr>
          <w:p w14:paraId="06C2AD90"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1417" w:type="dxa"/>
            <w:tcBorders>
              <w:left w:val="single" w:sz="4" w:space="0" w:color="000000"/>
              <w:bottom w:val="single" w:sz="4" w:space="0" w:color="000000"/>
            </w:tcBorders>
            <w:shd w:val="clear" w:color="auto" w:fill="auto"/>
            <w:vAlign w:val="center"/>
          </w:tcPr>
          <w:p w14:paraId="7589224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TOC</w:t>
            </w:r>
          </w:p>
        </w:tc>
        <w:tc>
          <w:tcPr>
            <w:tcW w:w="24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F53FF9" w14:textId="77777777" w:rsidR="008F52C8" w:rsidRPr="0030358C" w:rsidRDefault="008F52C8" w:rsidP="00732453">
            <w:pPr>
              <w:snapToGrid w:val="0"/>
              <w:rPr>
                <w:rFonts w:ascii="Arial" w:hAnsi="Arial" w:cs="Arial"/>
                <w:b/>
                <w:strike/>
                <w:sz w:val="22"/>
                <w:szCs w:val="22"/>
                <w:lang w:eastAsia="zh-CN"/>
              </w:rPr>
            </w:pPr>
          </w:p>
        </w:tc>
      </w:tr>
      <w:tr w:rsidR="00E40657" w14:paraId="57C42D62"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26E1C1" w14:textId="77777777" w:rsidR="008F52C8" w:rsidRPr="0030358C" w:rsidRDefault="00000000" w:rsidP="00732453">
            <w:pPr>
              <w:snapToGrid w:val="0"/>
              <w:rPr>
                <w:rFonts w:ascii="Arial" w:hAnsi="Arial" w:cs="Arial"/>
                <w:bCs/>
                <w:strike/>
                <w:sz w:val="22"/>
                <w:szCs w:val="22"/>
                <w:lang w:eastAsia="zh-CN"/>
              </w:rPr>
            </w:pPr>
            <w:r w:rsidRPr="0030358C">
              <w:rPr>
                <w:rFonts w:ascii="Arial" w:hAnsi="Arial" w:cs="Arial"/>
                <w:b/>
                <w:strike/>
                <w:sz w:val="22"/>
                <w:szCs w:val="22"/>
                <w:lang w:eastAsia="zh-CN"/>
              </w:rPr>
              <w:t xml:space="preserve">3.5.3. Tavení v elektrické obloukové peci </w:t>
            </w:r>
            <w:r w:rsidRPr="0030358C">
              <w:rPr>
                <w:rFonts w:ascii="Arial" w:hAnsi="Arial" w:cs="Arial"/>
                <w:bCs/>
                <w:strike/>
                <w:sz w:val="22"/>
                <w:szCs w:val="22"/>
                <w:lang w:eastAsia="zh-CN"/>
              </w:rPr>
              <w:t>(kód 4.6.3. dle přílohy č. 2 zákona)</w:t>
            </w:r>
          </w:p>
          <w:p w14:paraId="25AF7910" w14:textId="77777777" w:rsidR="008F52C8" w:rsidRPr="0030358C" w:rsidRDefault="008F52C8" w:rsidP="00732453">
            <w:pPr>
              <w:snapToGrid w:val="0"/>
              <w:rPr>
                <w:rFonts w:ascii="Arial" w:hAnsi="Arial" w:cs="Arial"/>
                <w:b/>
                <w:strike/>
                <w:sz w:val="22"/>
                <w:szCs w:val="22"/>
                <w:lang w:eastAsia="zh-CN"/>
              </w:rPr>
            </w:pPr>
          </w:p>
        </w:tc>
      </w:tr>
      <w:tr w:rsidR="00E40657" w14:paraId="3AD78291" w14:textId="77777777" w:rsidTr="00732453">
        <w:trPr>
          <w:cantSplit/>
          <w:trHeight w:hRule="exact" w:val="354"/>
        </w:trPr>
        <w:tc>
          <w:tcPr>
            <w:tcW w:w="1420" w:type="dxa"/>
            <w:tcBorders>
              <w:left w:val="single" w:sz="4" w:space="0" w:color="000000"/>
              <w:bottom w:val="single" w:sz="4" w:space="0" w:color="000000"/>
            </w:tcBorders>
            <w:shd w:val="clear" w:color="auto" w:fill="auto"/>
            <w:vAlign w:val="center"/>
          </w:tcPr>
          <w:p w14:paraId="1C0DE8E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5CAC0F9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45" w:type="dxa"/>
            <w:gridSpan w:val="2"/>
            <w:tcBorders>
              <w:left w:val="single" w:sz="4" w:space="0" w:color="000000"/>
              <w:bottom w:val="single" w:sz="4" w:space="0" w:color="000000"/>
            </w:tcBorders>
            <w:shd w:val="clear" w:color="auto" w:fill="auto"/>
            <w:vAlign w:val="center"/>
          </w:tcPr>
          <w:p w14:paraId="4FDF573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167" w:type="dxa"/>
            <w:tcBorders>
              <w:left w:val="single" w:sz="4" w:space="0" w:color="000000"/>
              <w:bottom w:val="single" w:sz="4" w:space="0" w:color="000000"/>
            </w:tcBorders>
            <w:shd w:val="clear" w:color="auto" w:fill="auto"/>
            <w:vAlign w:val="center"/>
          </w:tcPr>
          <w:p w14:paraId="4620E13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417" w:type="dxa"/>
            <w:tcBorders>
              <w:left w:val="single" w:sz="4" w:space="0" w:color="000000"/>
              <w:bottom w:val="single" w:sz="4" w:space="0" w:color="000000"/>
              <w:right w:val="single" w:sz="4" w:space="0" w:color="000000"/>
            </w:tcBorders>
            <w:shd w:val="clear" w:color="auto" w:fill="auto"/>
            <w:vAlign w:val="center"/>
          </w:tcPr>
          <w:p w14:paraId="766DFDA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74AA0D9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521118C7"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8B8B722"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 xml:space="preserve">3.5.4. Tavení v elektrické indukční peci </w:t>
            </w:r>
            <w:r w:rsidRPr="0030358C">
              <w:rPr>
                <w:rFonts w:ascii="Arial" w:hAnsi="Arial" w:cs="Arial"/>
                <w:bCs/>
                <w:strike/>
                <w:sz w:val="22"/>
                <w:szCs w:val="22"/>
                <w:lang w:eastAsia="zh-CN"/>
              </w:rPr>
              <w:t>(kód 4.6.4. dle přílohy č. 2 zákona)</w:t>
            </w:r>
          </w:p>
          <w:p w14:paraId="615697F9" w14:textId="77777777" w:rsidR="008F52C8" w:rsidRPr="0030358C" w:rsidRDefault="008F52C8" w:rsidP="00732453">
            <w:pPr>
              <w:snapToGrid w:val="0"/>
              <w:rPr>
                <w:rFonts w:ascii="Arial" w:hAnsi="Arial" w:cs="Arial"/>
                <w:b/>
                <w:strike/>
                <w:sz w:val="22"/>
                <w:szCs w:val="22"/>
                <w:lang w:eastAsia="zh-CN"/>
              </w:rPr>
            </w:pPr>
          </w:p>
        </w:tc>
      </w:tr>
      <w:tr w:rsidR="00E40657" w14:paraId="6A848804" w14:textId="77777777" w:rsidTr="00732453">
        <w:trPr>
          <w:cantSplit/>
          <w:trHeight w:hRule="exact" w:val="340"/>
        </w:trPr>
        <w:tc>
          <w:tcPr>
            <w:tcW w:w="1420" w:type="dxa"/>
            <w:tcBorders>
              <w:left w:val="single" w:sz="4" w:space="0" w:color="000000"/>
              <w:bottom w:val="single" w:sz="4" w:space="0" w:color="000000"/>
            </w:tcBorders>
            <w:shd w:val="clear" w:color="auto" w:fill="auto"/>
            <w:vAlign w:val="center"/>
          </w:tcPr>
          <w:p w14:paraId="74F064A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45525D1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37" w:type="dxa"/>
            <w:tcBorders>
              <w:left w:val="single" w:sz="4" w:space="0" w:color="000000"/>
              <w:bottom w:val="single" w:sz="4" w:space="0" w:color="000000"/>
            </w:tcBorders>
            <w:shd w:val="clear" w:color="auto" w:fill="auto"/>
            <w:vAlign w:val="center"/>
          </w:tcPr>
          <w:p w14:paraId="03CB2AE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175" w:type="dxa"/>
            <w:gridSpan w:val="2"/>
            <w:tcBorders>
              <w:left w:val="single" w:sz="4" w:space="0" w:color="000000"/>
              <w:bottom w:val="single" w:sz="4" w:space="0" w:color="000000"/>
            </w:tcBorders>
            <w:shd w:val="clear" w:color="auto" w:fill="auto"/>
            <w:vAlign w:val="center"/>
          </w:tcPr>
          <w:p w14:paraId="2438D18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417" w:type="dxa"/>
            <w:tcBorders>
              <w:left w:val="single" w:sz="4" w:space="0" w:color="000000"/>
              <w:bottom w:val="single" w:sz="4" w:space="0" w:color="000000"/>
            </w:tcBorders>
            <w:shd w:val="clear" w:color="auto" w:fill="auto"/>
            <w:vAlign w:val="center"/>
          </w:tcPr>
          <w:p w14:paraId="32CC09E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58A5C50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41FBAD9A"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962DF8F" w14:textId="77777777" w:rsidR="008F52C8" w:rsidRPr="0030358C" w:rsidRDefault="00000000" w:rsidP="00732453">
            <w:pPr>
              <w:snapToGrid w:val="0"/>
              <w:rPr>
                <w:rFonts w:ascii="Arial" w:hAnsi="Arial" w:cs="Arial"/>
                <w:bCs/>
                <w:strike/>
                <w:sz w:val="22"/>
                <w:szCs w:val="22"/>
                <w:lang w:eastAsia="zh-CN"/>
              </w:rPr>
            </w:pPr>
            <w:r w:rsidRPr="0030358C">
              <w:rPr>
                <w:rFonts w:ascii="Arial" w:hAnsi="Arial" w:cs="Arial"/>
                <w:b/>
                <w:strike/>
                <w:sz w:val="22"/>
                <w:szCs w:val="22"/>
                <w:lang w:eastAsia="zh-CN"/>
              </w:rPr>
              <w:t xml:space="preserve">3.5.5. Kuplovny </w:t>
            </w:r>
            <w:r w:rsidRPr="0030358C">
              <w:rPr>
                <w:rFonts w:ascii="Arial" w:hAnsi="Arial" w:cs="Arial"/>
                <w:bCs/>
                <w:strike/>
                <w:sz w:val="22"/>
                <w:szCs w:val="22"/>
                <w:lang w:eastAsia="zh-CN"/>
              </w:rPr>
              <w:t>(kód 4.6.5. dle přílohy č. 2 zákona)</w:t>
            </w:r>
          </w:p>
          <w:p w14:paraId="6127768B" w14:textId="77777777" w:rsidR="008F52C8" w:rsidRPr="0030358C" w:rsidRDefault="008F52C8" w:rsidP="00732453">
            <w:pPr>
              <w:snapToGrid w:val="0"/>
              <w:rPr>
                <w:rFonts w:ascii="Arial" w:hAnsi="Arial" w:cs="Arial"/>
                <w:b/>
                <w:strike/>
                <w:sz w:val="22"/>
                <w:szCs w:val="22"/>
                <w:lang w:eastAsia="zh-CN"/>
              </w:rPr>
            </w:pPr>
          </w:p>
        </w:tc>
      </w:tr>
      <w:tr w:rsidR="00E40657" w14:paraId="0DFE4BE5" w14:textId="77777777" w:rsidTr="00732453">
        <w:trPr>
          <w:cantSplit/>
          <w:trHeight w:hRule="exact" w:val="373"/>
        </w:trPr>
        <w:tc>
          <w:tcPr>
            <w:tcW w:w="1420" w:type="dxa"/>
            <w:tcBorders>
              <w:top w:val="single" w:sz="4" w:space="0" w:color="000000"/>
              <w:left w:val="single" w:sz="4" w:space="0" w:color="000000"/>
              <w:bottom w:val="single" w:sz="4" w:space="0" w:color="000000"/>
            </w:tcBorders>
            <w:shd w:val="clear" w:color="auto" w:fill="auto"/>
            <w:vAlign w:val="center"/>
          </w:tcPr>
          <w:p w14:paraId="6F3FD77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378" w:type="dxa"/>
            <w:tcBorders>
              <w:top w:val="single" w:sz="4" w:space="0" w:color="000000"/>
              <w:left w:val="single" w:sz="4" w:space="0" w:color="000000"/>
              <w:bottom w:val="single" w:sz="4" w:space="0" w:color="000000"/>
            </w:tcBorders>
            <w:shd w:val="clear" w:color="auto" w:fill="auto"/>
            <w:vAlign w:val="center"/>
          </w:tcPr>
          <w:p w14:paraId="7F3AE1D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537" w:type="dxa"/>
            <w:tcBorders>
              <w:top w:val="single" w:sz="4" w:space="0" w:color="000000"/>
              <w:left w:val="single" w:sz="4" w:space="0" w:color="000000"/>
              <w:bottom w:val="single" w:sz="4" w:space="0" w:color="000000"/>
            </w:tcBorders>
            <w:shd w:val="clear" w:color="auto" w:fill="auto"/>
            <w:vAlign w:val="center"/>
          </w:tcPr>
          <w:p w14:paraId="10F7436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175" w:type="dxa"/>
            <w:gridSpan w:val="2"/>
            <w:tcBorders>
              <w:top w:val="single" w:sz="4" w:space="0" w:color="000000"/>
              <w:left w:val="single" w:sz="4" w:space="0" w:color="000000"/>
              <w:bottom w:val="single" w:sz="4" w:space="0" w:color="000000"/>
            </w:tcBorders>
            <w:shd w:val="clear" w:color="auto" w:fill="auto"/>
            <w:vAlign w:val="center"/>
          </w:tcPr>
          <w:p w14:paraId="78E0E2AF"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1000</w:t>
            </w:r>
            <w:r w:rsidRPr="0030358C">
              <w:rPr>
                <w:rFonts w:ascii="Arial" w:hAnsi="Arial" w:cs="Arial"/>
                <w:bCs/>
                <w:strike/>
                <w:sz w:val="22"/>
                <w:szCs w:val="22"/>
                <w:vertAlign w:val="superscript"/>
                <w:lang w:eastAsia="zh-CN"/>
              </w:rPr>
              <w:t>1)</w:t>
            </w:r>
          </w:p>
        </w:tc>
        <w:tc>
          <w:tcPr>
            <w:tcW w:w="1417" w:type="dxa"/>
            <w:tcBorders>
              <w:top w:val="single" w:sz="4" w:space="0" w:color="000000"/>
              <w:left w:val="single" w:sz="4" w:space="0" w:color="000000"/>
              <w:bottom w:val="single" w:sz="4" w:space="0" w:color="000000"/>
            </w:tcBorders>
            <w:shd w:val="clear" w:color="auto" w:fill="auto"/>
            <w:vAlign w:val="center"/>
          </w:tcPr>
          <w:p w14:paraId="66655CD7"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2)</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79B5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434847EA"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FB23F05" w14:textId="77777777" w:rsidR="008F52C8" w:rsidRPr="0030358C" w:rsidRDefault="00000000" w:rsidP="00732453">
            <w:pPr>
              <w:snapToGrid w:val="0"/>
              <w:rPr>
                <w:rFonts w:ascii="Arial" w:hAnsi="Arial" w:cs="Arial"/>
                <w:bCs/>
                <w:strike/>
                <w:sz w:val="22"/>
                <w:szCs w:val="22"/>
                <w:lang w:eastAsia="zh-CN"/>
              </w:rPr>
            </w:pPr>
            <w:r w:rsidRPr="0030358C">
              <w:rPr>
                <w:rFonts w:ascii="Arial" w:hAnsi="Arial" w:cs="Arial"/>
                <w:b/>
                <w:strike/>
                <w:sz w:val="22"/>
                <w:szCs w:val="22"/>
                <w:lang w:eastAsia="zh-CN"/>
              </w:rPr>
              <w:t xml:space="preserve">3.5.6. Tavení v ostatních pecích – kapalná paliva </w:t>
            </w:r>
            <w:r w:rsidRPr="0030358C">
              <w:rPr>
                <w:rFonts w:ascii="Arial" w:hAnsi="Arial" w:cs="Arial"/>
                <w:bCs/>
                <w:strike/>
                <w:sz w:val="22"/>
                <w:szCs w:val="22"/>
                <w:lang w:eastAsia="zh-CN"/>
              </w:rPr>
              <w:t>(kód 4.6.6. dle přílohy č. 2 zákona)</w:t>
            </w:r>
          </w:p>
          <w:p w14:paraId="242890D0" w14:textId="77777777" w:rsidR="008F52C8" w:rsidRPr="0030358C" w:rsidRDefault="008F52C8" w:rsidP="00732453">
            <w:pPr>
              <w:snapToGrid w:val="0"/>
              <w:rPr>
                <w:rFonts w:ascii="Arial" w:hAnsi="Arial" w:cs="Arial"/>
                <w:b/>
                <w:strike/>
                <w:sz w:val="22"/>
                <w:szCs w:val="22"/>
                <w:lang w:eastAsia="zh-CN"/>
              </w:rPr>
            </w:pPr>
          </w:p>
        </w:tc>
      </w:tr>
      <w:tr w:rsidR="00E40657" w14:paraId="1CB461B3" w14:textId="77777777" w:rsidTr="00732453">
        <w:trPr>
          <w:cantSplit/>
          <w:trHeight w:hRule="exact" w:val="648"/>
        </w:trPr>
        <w:tc>
          <w:tcPr>
            <w:tcW w:w="1420" w:type="dxa"/>
            <w:tcBorders>
              <w:left w:val="single" w:sz="4" w:space="0" w:color="000000"/>
              <w:bottom w:val="single" w:sz="4" w:space="0" w:color="000000"/>
            </w:tcBorders>
            <w:shd w:val="clear" w:color="auto" w:fill="auto"/>
            <w:vAlign w:val="center"/>
          </w:tcPr>
          <w:p w14:paraId="46FBB95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4203316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1700</w:t>
            </w:r>
          </w:p>
        </w:tc>
        <w:tc>
          <w:tcPr>
            <w:tcW w:w="1537" w:type="dxa"/>
            <w:tcBorders>
              <w:left w:val="single" w:sz="4" w:space="0" w:color="000000"/>
              <w:bottom w:val="single" w:sz="4" w:space="0" w:color="000000"/>
            </w:tcBorders>
            <w:shd w:val="clear" w:color="auto" w:fill="auto"/>
            <w:vAlign w:val="center"/>
          </w:tcPr>
          <w:p w14:paraId="0F8BFA1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175" w:type="dxa"/>
            <w:gridSpan w:val="2"/>
            <w:tcBorders>
              <w:left w:val="single" w:sz="4" w:space="0" w:color="000000"/>
              <w:bottom w:val="single" w:sz="4" w:space="0" w:color="000000"/>
            </w:tcBorders>
            <w:shd w:val="clear" w:color="auto" w:fill="auto"/>
            <w:vAlign w:val="center"/>
          </w:tcPr>
          <w:p w14:paraId="08070A5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300</w:t>
            </w:r>
          </w:p>
        </w:tc>
        <w:tc>
          <w:tcPr>
            <w:tcW w:w="1417" w:type="dxa"/>
            <w:tcBorders>
              <w:left w:val="single" w:sz="4" w:space="0" w:color="000000"/>
              <w:bottom w:val="single" w:sz="4" w:space="0" w:color="000000"/>
            </w:tcBorders>
            <w:shd w:val="clear" w:color="auto" w:fill="auto"/>
            <w:vAlign w:val="center"/>
          </w:tcPr>
          <w:p w14:paraId="11259E3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6B32F38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646C81FA"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F14CE98" w14:textId="77777777" w:rsidR="008F52C8" w:rsidRPr="0030358C" w:rsidRDefault="00000000" w:rsidP="00732453">
            <w:pPr>
              <w:snapToGrid w:val="0"/>
              <w:rPr>
                <w:rFonts w:ascii="Arial" w:hAnsi="Arial" w:cs="Arial"/>
                <w:bCs/>
                <w:strike/>
                <w:sz w:val="22"/>
                <w:szCs w:val="22"/>
                <w:lang w:eastAsia="zh-CN"/>
              </w:rPr>
            </w:pPr>
            <w:r w:rsidRPr="0030358C">
              <w:rPr>
                <w:rFonts w:ascii="Arial" w:hAnsi="Arial" w:cs="Arial"/>
                <w:b/>
                <w:strike/>
                <w:sz w:val="22"/>
                <w:szCs w:val="22"/>
                <w:lang w:eastAsia="zh-CN"/>
              </w:rPr>
              <w:t xml:space="preserve">3.5.7. Tavení v ostatních pecích – plynná paliva </w:t>
            </w:r>
            <w:r w:rsidRPr="0030358C">
              <w:rPr>
                <w:rFonts w:ascii="Arial" w:hAnsi="Arial" w:cs="Arial"/>
                <w:bCs/>
                <w:strike/>
                <w:sz w:val="22"/>
                <w:szCs w:val="22"/>
                <w:lang w:eastAsia="zh-CN"/>
              </w:rPr>
              <w:t>(kód 4.6.7. dle přílohy č. 2 zákona)</w:t>
            </w:r>
          </w:p>
          <w:p w14:paraId="6C466A64" w14:textId="77777777" w:rsidR="008F52C8" w:rsidRPr="0030358C" w:rsidRDefault="008F52C8" w:rsidP="00732453">
            <w:pPr>
              <w:snapToGrid w:val="0"/>
              <w:rPr>
                <w:rFonts w:ascii="Arial" w:hAnsi="Arial" w:cs="Arial"/>
                <w:b/>
                <w:strike/>
                <w:sz w:val="22"/>
                <w:szCs w:val="22"/>
                <w:lang w:eastAsia="zh-CN"/>
              </w:rPr>
            </w:pPr>
          </w:p>
        </w:tc>
      </w:tr>
      <w:tr w:rsidR="00E40657" w14:paraId="15C8592F" w14:textId="77777777" w:rsidTr="00732453">
        <w:trPr>
          <w:cantSplit/>
          <w:trHeight w:hRule="exact" w:val="380"/>
        </w:trPr>
        <w:tc>
          <w:tcPr>
            <w:tcW w:w="1420" w:type="dxa"/>
            <w:tcBorders>
              <w:left w:val="single" w:sz="4" w:space="0" w:color="000000"/>
              <w:bottom w:val="single" w:sz="4" w:space="0" w:color="000000"/>
            </w:tcBorders>
            <w:shd w:val="clear" w:color="auto" w:fill="auto"/>
            <w:vAlign w:val="center"/>
          </w:tcPr>
          <w:p w14:paraId="31C3333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2890347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37" w:type="dxa"/>
            <w:tcBorders>
              <w:left w:val="single" w:sz="4" w:space="0" w:color="000000"/>
              <w:bottom w:val="single" w:sz="4" w:space="0" w:color="000000"/>
            </w:tcBorders>
            <w:shd w:val="clear" w:color="auto" w:fill="auto"/>
            <w:vAlign w:val="center"/>
          </w:tcPr>
          <w:p w14:paraId="3F3AC77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175" w:type="dxa"/>
            <w:gridSpan w:val="2"/>
            <w:tcBorders>
              <w:left w:val="single" w:sz="4" w:space="0" w:color="000000"/>
              <w:bottom w:val="single" w:sz="4" w:space="0" w:color="000000"/>
            </w:tcBorders>
            <w:shd w:val="clear" w:color="auto" w:fill="auto"/>
            <w:vAlign w:val="center"/>
          </w:tcPr>
          <w:p w14:paraId="4D0356E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200</w:t>
            </w:r>
          </w:p>
        </w:tc>
        <w:tc>
          <w:tcPr>
            <w:tcW w:w="1417" w:type="dxa"/>
            <w:tcBorders>
              <w:left w:val="single" w:sz="4" w:space="0" w:color="000000"/>
              <w:bottom w:val="single" w:sz="4" w:space="0" w:color="000000"/>
            </w:tcBorders>
            <w:shd w:val="clear" w:color="auto" w:fill="auto"/>
            <w:vAlign w:val="center"/>
          </w:tcPr>
          <w:p w14:paraId="1429D5F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2402AD8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42120F94" w14:textId="77777777" w:rsidR="008F52C8" w:rsidRPr="0030358C" w:rsidRDefault="00000000" w:rsidP="008F52C8">
      <w:pPr>
        <w:spacing w:before="60" w:line="300" w:lineRule="exact"/>
        <w:rPr>
          <w:rFonts w:ascii="Arial" w:hAnsi="Arial" w:cs="Arial"/>
          <w:strike/>
          <w:sz w:val="22"/>
          <w:szCs w:val="22"/>
          <w:lang w:eastAsia="zh-CN"/>
        </w:rPr>
      </w:pPr>
      <w:r w:rsidRPr="0030358C">
        <w:rPr>
          <w:rFonts w:ascii="Arial" w:hAnsi="Arial" w:cs="Arial"/>
          <w:strike/>
          <w:sz w:val="22"/>
          <w:szCs w:val="22"/>
          <w:lang w:eastAsia="zh-CN"/>
        </w:rPr>
        <w:t>Vysvětlivky:</w:t>
      </w:r>
    </w:p>
    <w:p w14:paraId="49EC80C0" w14:textId="77777777" w:rsidR="008F52C8" w:rsidRPr="0030358C" w:rsidRDefault="00000000" w:rsidP="008F52C8">
      <w:pPr>
        <w:keepNext/>
        <w:keepLines/>
        <w:numPr>
          <w:ilvl w:val="0"/>
          <w:numId w:val="113"/>
        </w:numPr>
        <w:suppressAutoHyphens/>
        <w:jc w:val="both"/>
        <w:rPr>
          <w:rFonts w:ascii="Arial" w:hAnsi="Arial" w:cs="Arial"/>
          <w:iCs/>
          <w:strike/>
          <w:sz w:val="22"/>
          <w:szCs w:val="22"/>
          <w:lang w:eastAsia="zh-CN"/>
        </w:rPr>
      </w:pPr>
      <w:r w:rsidRPr="0030358C">
        <w:rPr>
          <w:rFonts w:ascii="Arial" w:hAnsi="Arial" w:cs="Arial"/>
          <w:iCs/>
          <w:strike/>
          <w:sz w:val="22"/>
          <w:szCs w:val="22"/>
          <w:lang w:eastAsia="zh-CN"/>
        </w:rPr>
        <w:t>Platí v komíně za rekuperátorem u horkovětrných kuploven.</w:t>
      </w:r>
    </w:p>
    <w:p w14:paraId="11141361" w14:textId="77777777" w:rsidR="008F52C8" w:rsidRPr="0030358C" w:rsidRDefault="00000000" w:rsidP="008F52C8">
      <w:pPr>
        <w:keepNext/>
        <w:keepLines/>
        <w:numPr>
          <w:ilvl w:val="0"/>
          <w:numId w:val="113"/>
        </w:numPr>
        <w:suppressAutoHyphens/>
        <w:jc w:val="both"/>
        <w:rPr>
          <w:rFonts w:ascii="Arial" w:hAnsi="Arial" w:cs="Arial"/>
          <w:iCs/>
          <w:strike/>
          <w:sz w:val="22"/>
          <w:szCs w:val="22"/>
          <w:lang w:eastAsia="zh-CN"/>
        </w:rPr>
      </w:pPr>
      <w:r w:rsidRPr="0030358C">
        <w:rPr>
          <w:rFonts w:ascii="Arial" w:hAnsi="Arial" w:cs="Arial"/>
          <w:iCs/>
          <w:strike/>
          <w:sz w:val="22"/>
          <w:szCs w:val="22"/>
          <w:lang w:eastAsia="zh-CN"/>
        </w:rPr>
        <w:t>Platí pro studenovětrné kuplovny.</w:t>
      </w:r>
    </w:p>
    <w:p w14:paraId="4A382A9B" w14:textId="77777777" w:rsidR="008F52C8" w:rsidRPr="0030358C" w:rsidRDefault="008F52C8" w:rsidP="008F52C8">
      <w:pPr>
        <w:widowControl w:val="0"/>
        <w:autoSpaceDE w:val="0"/>
        <w:spacing w:before="60" w:line="300" w:lineRule="exact"/>
        <w:jc w:val="both"/>
        <w:rPr>
          <w:rFonts w:ascii="Arial" w:hAnsi="Arial" w:cs="Arial"/>
          <w:b/>
          <w:strike/>
          <w:sz w:val="22"/>
          <w:szCs w:val="22"/>
          <w:lang w:eastAsia="zh-CN"/>
        </w:rPr>
      </w:pPr>
    </w:p>
    <w:p w14:paraId="67C76941"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681DC07F" w14:textId="77777777" w:rsidR="008F52C8" w:rsidRPr="0030358C" w:rsidRDefault="00000000" w:rsidP="008F52C8">
      <w:pPr>
        <w:keepNext/>
        <w:keepLines/>
        <w:tabs>
          <w:tab w:val="left" w:pos="180"/>
        </w:tabs>
        <w:jc w:val="both"/>
        <w:rPr>
          <w:rFonts w:ascii="Arial" w:hAnsi="Arial" w:cs="Arial"/>
          <w:bCs/>
          <w:strike/>
          <w:sz w:val="22"/>
          <w:szCs w:val="22"/>
          <w:lang w:eastAsia="zh-CN"/>
        </w:rPr>
      </w:pPr>
      <w:r w:rsidRPr="0030358C">
        <w:rPr>
          <w:rFonts w:ascii="Arial" w:hAnsi="Arial" w:cs="Arial"/>
          <w:bCs/>
          <w:strike/>
          <w:sz w:val="22"/>
          <w:szCs w:val="22"/>
          <w:lang w:eastAsia="zh-CN"/>
        </w:rPr>
        <w:t>U studenovětrných kuploven omezování emisí CO běžně dostupnými prostředky např. zlepšením tepelné účinnosti kuplovny, řízením jakosti koksu na vstupu, dodatečným spalováním, použitím biofiltru.</w:t>
      </w:r>
    </w:p>
    <w:p w14:paraId="586EB8D4" w14:textId="77777777" w:rsidR="008F52C8" w:rsidRPr="0030358C" w:rsidRDefault="008F52C8" w:rsidP="008F52C8">
      <w:pPr>
        <w:widowControl w:val="0"/>
        <w:autoSpaceDE w:val="0"/>
        <w:spacing w:before="60" w:line="300" w:lineRule="exact"/>
        <w:jc w:val="both"/>
        <w:rPr>
          <w:rFonts w:ascii="Arial" w:hAnsi="Arial" w:cs="Arial"/>
          <w:b/>
          <w:strike/>
          <w:sz w:val="22"/>
          <w:szCs w:val="22"/>
          <w:lang w:eastAsia="zh-CN"/>
        </w:rPr>
      </w:pPr>
    </w:p>
    <w:p w14:paraId="2AB57E0D" w14:textId="77777777" w:rsidR="008F52C8" w:rsidRPr="0030358C" w:rsidRDefault="00000000" w:rsidP="008F52C8">
      <w:pPr>
        <w:keepNext/>
        <w:numPr>
          <w:ilvl w:val="2"/>
          <w:numId w:val="0"/>
        </w:numPr>
        <w:tabs>
          <w:tab w:val="num" w:pos="0"/>
        </w:tabs>
        <w:spacing w:before="60"/>
        <w:ind w:left="720" w:hanging="720"/>
        <w:outlineLvl w:val="2"/>
        <w:rPr>
          <w:rFonts w:ascii="Arial" w:hAnsi="Arial" w:cs="Arial"/>
          <w:b/>
          <w:strike/>
          <w:sz w:val="22"/>
          <w:szCs w:val="22"/>
          <w:lang w:eastAsia="zh-CN"/>
        </w:rPr>
      </w:pPr>
      <w:r w:rsidRPr="0030358C">
        <w:rPr>
          <w:rFonts w:ascii="Arial" w:hAnsi="Arial" w:cs="Arial"/>
          <w:b/>
          <w:strike/>
          <w:sz w:val="22"/>
          <w:szCs w:val="22"/>
          <w:lang w:eastAsia="zh-CN"/>
        </w:rPr>
        <w:t xml:space="preserve">3.6. Metalurgie neželezných kovů </w:t>
      </w:r>
    </w:p>
    <w:p w14:paraId="0FB174D2" w14:textId="77777777" w:rsidR="008F52C8" w:rsidRPr="0030358C" w:rsidRDefault="008F52C8" w:rsidP="008F52C8">
      <w:pPr>
        <w:rPr>
          <w:rFonts w:ascii="Arial" w:hAnsi="Arial" w:cs="Arial"/>
          <w:b/>
          <w:strike/>
          <w:sz w:val="22"/>
          <w:szCs w:val="22"/>
          <w:lang w:eastAsia="zh-CN"/>
        </w:rPr>
      </w:pPr>
    </w:p>
    <w:p w14:paraId="25DB4354" w14:textId="77777777" w:rsidR="008F52C8" w:rsidRPr="0030358C" w:rsidRDefault="00000000" w:rsidP="008F52C8">
      <w:pPr>
        <w:widowControl w:val="0"/>
        <w:autoSpaceDE w:val="0"/>
        <w:jc w:val="both"/>
        <w:rPr>
          <w:rFonts w:ascii="Arial" w:hAnsi="Arial" w:cs="Arial"/>
          <w:b/>
          <w:i/>
          <w:strike/>
          <w:sz w:val="22"/>
          <w:szCs w:val="22"/>
          <w:lang w:eastAsia="zh-CN"/>
        </w:rPr>
      </w:pPr>
      <w:r w:rsidRPr="0030358C">
        <w:rPr>
          <w:rFonts w:ascii="Arial" w:hAnsi="Arial" w:cs="Arial"/>
          <w:b/>
          <w:strike/>
          <w:sz w:val="22"/>
          <w:szCs w:val="22"/>
          <w:lang w:eastAsia="zh-CN"/>
        </w:rPr>
        <w:t>3.6.1. Úprava rud neželezných kovů (kód 4.7. dle přílohy č. 2 zákona)</w:t>
      </w:r>
      <w:r w:rsidRPr="0030358C">
        <w:rPr>
          <w:rFonts w:ascii="Arial" w:hAnsi="Arial" w:cs="Arial"/>
          <w:b/>
          <w:i/>
          <w:strike/>
          <w:sz w:val="22"/>
          <w:szCs w:val="22"/>
          <w:lang w:eastAsia="zh-CN"/>
        </w:rPr>
        <w:t xml:space="preserve"> </w:t>
      </w:r>
    </w:p>
    <w:tbl>
      <w:tblPr>
        <w:tblW w:w="0" w:type="auto"/>
        <w:tblInd w:w="-15" w:type="dxa"/>
        <w:tblLayout w:type="fixed"/>
        <w:tblLook w:val="0000" w:firstRow="0" w:lastRow="0" w:firstColumn="0" w:lastColumn="0" w:noHBand="0" w:noVBand="0"/>
      </w:tblPr>
      <w:tblGrid>
        <w:gridCol w:w="5285"/>
        <w:gridCol w:w="4315"/>
      </w:tblGrid>
      <w:tr w:rsidR="00E40657" w14:paraId="34D6E8C5" w14:textId="77777777" w:rsidTr="00732453">
        <w:trPr>
          <w:cantSplit/>
          <w:trHeight w:hRule="exact" w:val="492"/>
        </w:trPr>
        <w:tc>
          <w:tcPr>
            <w:tcW w:w="5285" w:type="dxa"/>
            <w:tcBorders>
              <w:top w:val="single" w:sz="4" w:space="0" w:color="000000"/>
              <w:left w:val="single" w:sz="4" w:space="0" w:color="000000"/>
              <w:bottom w:val="single" w:sz="4" w:space="0" w:color="000000"/>
            </w:tcBorders>
            <w:shd w:val="clear" w:color="auto" w:fill="auto"/>
            <w:vAlign w:val="center"/>
          </w:tcPr>
          <w:p w14:paraId="67B2B95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7D37E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06C78BF" w14:textId="77777777" w:rsidTr="00732453">
        <w:trPr>
          <w:cantSplit/>
          <w:trHeight w:hRule="exact" w:val="492"/>
        </w:trPr>
        <w:tc>
          <w:tcPr>
            <w:tcW w:w="5285" w:type="dxa"/>
            <w:tcBorders>
              <w:top w:val="single" w:sz="4" w:space="0" w:color="000000"/>
              <w:left w:val="single" w:sz="4" w:space="0" w:color="000000"/>
              <w:bottom w:val="single" w:sz="4" w:space="0" w:color="000000"/>
            </w:tcBorders>
            <w:shd w:val="clear" w:color="auto" w:fill="auto"/>
            <w:vAlign w:val="center"/>
          </w:tcPr>
          <w:p w14:paraId="33ACA276"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15AFE" w14:textId="77777777" w:rsidR="008F52C8" w:rsidRPr="0030358C" w:rsidRDefault="008F52C8" w:rsidP="00732453">
            <w:pPr>
              <w:snapToGrid w:val="0"/>
              <w:jc w:val="center"/>
              <w:rPr>
                <w:rFonts w:ascii="Arial" w:hAnsi="Arial" w:cs="Arial"/>
                <w:b/>
                <w:strike/>
                <w:sz w:val="22"/>
                <w:szCs w:val="22"/>
                <w:lang w:eastAsia="zh-CN"/>
              </w:rPr>
            </w:pPr>
          </w:p>
        </w:tc>
      </w:tr>
      <w:tr w:rsidR="00E40657" w14:paraId="0577A08F" w14:textId="77777777" w:rsidTr="00732453">
        <w:trPr>
          <w:trHeight w:hRule="exact" w:val="581"/>
        </w:trPr>
        <w:tc>
          <w:tcPr>
            <w:tcW w:w="5285" w:type="dxa"/>
            <w:tcBorders>
              <w:top w:val="single" w:sz="4" w:space="0" w:color="000000"/>
              <w:left w:val="single" w:sz="4" w:space="0" w:color="000000"/>
              <w:bottom w:val="single" w:sz="4" w:space="0" w:color="000000"/>
            </w:tcBorders>
            <w:shd w:val="clear" w:color="auto" w:fill="auto"/>
            <w:vAlign w:val="center"/>
          </w:tcPr>
          <w:p w14:paraId="3C61134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p w14:paraId="732C57B6"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1)</w:t>
            </w:r>
          </w:p>
        </w:tc>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DDCA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59573AE8" w14:textId="77777777" w:rsidR="008F52C8" w:rsidRPr="0030358C" w:rsidRDefault="00000000" w:rsidP="008F52C8">
      <w:pPr>
        <w:spacing w:before="60" w:line="300" w:lineRule="exact"/>
        <w:rPr>
          <w:rFonts w:ascii="Arial" w:hAnsi="Arial" w:cs="Arial"/>
          <w:strike/>
          <w:sz w:val="22"/>
          <w:szCs w:val="22"/>
          <w:lang w:eastAsia="zh-CN"/>
        </w:rPr>
      </w:pPr>
      <w:r w:rsidRPr="0030358C">
        <w:rPr>
          <w:rFonts w:ascii="Arial" w:hAnsi="Arial" w:cs="Arial"/>
          <w:strike/>
          <w:sz w:val="22"/>
          <w:szCs w:val="22"/>
          <w:lang w:eastAsia="zh-CN"/>
        </w:rPr>
        <w:t>Vysvětlivka: 1) Při zpracování rud na získání olova.</w:t>
      </w:r>
    </w:p>
    <w:p w14:paraId="027BAF86" w14:textId="77777777" w:rsidR="008F52C8" w:rsidRPr="0030358C" w:rsidRDefault="008F52C8" w:rsidP="008F52C8">
      <w:pPr>
        <w:rPr>
          <w:rFonts w:ascii="Arial" w:hAnsi="Arial" w:cs="Arial"/>
          <w:b/>
          <w:strike/>
          <w:sz w:val="22"/>
          <w:szCs w:val="22"/>
          <w:lang w:eastAsia="zh-CN"/>
        </w:rPr>
      </w:pPr>
    </w:p>
    <w:p w14:paraId="5E0967F7" w14:textId="77777777" w:rsidR="008F52C8" w:rsidRPr="0030358C" w:rsidRDefault="008F52C8" w:rsidP="008F52C8">
      <w:pPr>
        <w:rPr>
          <w:rFonts w:ascii="Arial" w:hAnsi="Arial" w:cs="Arial"/>
          <w:b/>
          <w:strike/>
          <w:sz w:val="22"/>
          <w:szCs w:val="22"/>
          <w:lang w:eastAsia="zh-CN"/>
        </w:rPr>
      </w:pPr>
    </w:p>
    <w:p w14:paraId="29E66918" w14:textId="77777777" w:rsidR="008F52C8" w:rsidRPr="0030358C" w:rsidRDefault="00000000" w:rsidP="008F52C8">
      <w:pPr>
        <w:widowControl w:val="0"/>
        <w:autoSpaceDE w:val="0"/>
        <w:jc w:val="both"/>
        <w:rPr>
          <w:rFonts w:ascii="Arial" w:hAnsi="Arial" w:cs="Arial"/>
          <w:b/>
          <w:bCs/>
          <w:strike/>
          <w:sz w:val="22"/>
          <w:szCs w:val="22"/>
          <w:lang w:eastAsia="zh-CN"/>
        </w:rPr>
      </w:pPr>
      <w:r w:rsidRPr="0030358C">
        <w:rPr>
          <w:rFonts w:ascii="Arial" w:hAnsi="Arial" w:cs="Arial"/>
          <w:b/>
          <w:bCs/>
          <w:strike/>
          <w:sz w:val="22"/>
          <w:szCs w:val="22"/>
          <w:lang w:eastAsia="zh-CN"/>
        </w:rPr>
        <w:t xml:space="preserve">3.7. Výroba nebo tavení neželezných kovů, včetně slévání slitin a přetavování produktů, rafinace a výroby odlitků </w:t>
      </w:r>
    </w:p>
    <w:p w14:paraId="075A7997" w14:textId="77777777" w:rsidR="008F52C8" w:rsidRPr="0030358C" w:rsidRDefault="008F52C8" w:rsidP="008F52C8">
      <w:pPr>
        <w:widowControl w:val="0"/>
        <w:autoSpaceDE w:val="0"/>
        <w:jc w:val="both"/>
        <w:rPr>
          <w:rFonts w:ascii="Arial" w:hAnsi="Arial" w:cs="Arial"/>
          <w:b/>
          <w:i/>
          <w:strike/>
          <w:sz w:val="22"/>
          <w:szCs w:val="22"/>
          <w:lang w:eastAsia="zh-CN"/>
        </w:rPr>
      </w:pPr>
    </w:p>
    <w:p w14:paraId="34F74E5A" w14:textId="77777777" w:rsidR="008F52C8" w:rsidRPr="0030358C" w:rsidRDefault="00000000" w:rsidP="008F52C8">
      <w:pPr>
        <w:rPr>
          <w:rFonts w:ascii="Arial" w:hAnsi="Arial" w:cs="Arial"/>
          <w:bCs/>
          <w:strike/>
          <w:sz w:val="22"/>
          <w:szCs w:val="22"/>
          <w:lang w:eastAsia="zh-CN"/>
        </w:rPr>
      </w:pPr>
      <w:r w:rsidRPr="0030358C">
        <w:rPr>
          <w:rFonts w:ascii="Arial" w:hAnsi="Arial" w:cs="Arial"/>
          <w:b/>
          <w:bCs/>
          <w:strike/>
          <w:sz w:val="22"/>
          <w:szCs w:val="22"/>
          <w:lang w:eastAsia="zh-CN"/>
        </w:rPr>
        <w:t xml:space="preserve">3.7.1. Doprava a manipulace se vsázkou nebo produktem </w:t>
      </w:r>
      <w:r w:rsidRPr="0030358C">
        <w:rPr>
          <w:rFonts w:ascii="Arial" w:hAnsi="Arial" w:cs="Arial"/>
          <w:bCs/>
          <w:strike/>
          <w:sz w:val="22"/>
          <w:szCs w:val="22"/>
          <w:lang w:eastAsia="zh-CN"/>
        </w:rPr>
        <w:t>(kód 4.8.1. dle přílohy č. 2 zákona)</w:t>
      </w:r>
    </w:p>
    <w:p w14:paraId="0E85AAE4" w14:textId="77777777" w:rsidR="008F52C8" w:rsidRPr="0030358C" w:rsidRDefault="008F52C8" w:rsidP="008F52C8">
      <w:pPr>
        <w:widowControl w:val="0"/>
        <w:autoSpaceDE w:val="0"/>
        <w:jc w:val="both"/>
        <w:rPr>
          <w:rFonts w:ascii="Arial" w:hAnsi="Arial" w:cs="Arial"/>
          <w:b/>
          <w:bCs/>
          <w:strike/>
          <w:sz w:val="22"/>
          <w:szCs w:val="22"/>
          <w:lang w:eastAsia="zh-CN"/>
        </w:rPr>
      </w:pPr>
    </w:p>
    <w:p w14:paraId="38F9984A" w14:textId="77777777" w:rsidR="008F52C8" w:rsidRPr="0030358C" w:rsidRDefault="00000000" w:rsidP="008F52C8">
      <w:pPr>
        <w:jc w:val="both"/>
        <w:rPr>
          <w:rFonts w:ascii="Arial" w:hAnsi="Arial" w:cs="Arial"/>
          <w:bCs/>
          <w:i/>
          <w:strike/>
          <w:sz w:val="22"/>
          <w:szCs w:val="22"/>
          <w:lang w:eastAsia="zh-CN"/>
        </w:rPr>
      </w:pPr>
      <w:r w:rsidRPr="0030358C">
        <w:rPr>
          <w:rFonts w:ascii="Arial" w:hAnsi="Arial" w:cs="Arial"/>
          <w:bCs/>
          <w:strike/>
          <w:sz w:val="22"/>
          <w:szCs w:val="22"/>
          <w:lang w:eastAsia="zh-CN"/>
        </w:rPr>
        <w:t>Včetně ostatních technologických uzlů, jako úpravárenských zařízení, výroby forem a jader, spalovací procesy (žíhací a sušící pece), odlévání, čištění odlitků, dokončovacích operací apod.</w:t>
      </w:r>
      <w:r w:rsidRPr="0030358C">
        <w:rPr>
          <w:rFonts w:ascii="Arial" w:hAnsi="Arial" w:cs="Arial"/>
          <w:bCs/>
          <w:i/>
          <w:strike/>
          <w:sz w:val="22"/>
          <w:szCs w:val="22"/>
          <w:lang w:eastAsia="zh-CN"/>
        </w:rPr>
        <w:t xml:space="preserve"> </w:t>
      </w:r>
    </w:p>
    <w:tbl>
      <w:tblPr>
        <w:tblW w:w="0" w:type="auto"/>
        <w:tblInd w:w="-15" w:type="dxa"/>
        <w:tblLayout w:type="fixed"/>
        <w:tblLook w:val="0000" w:firstRow="0" w:lastRow="0" w:firstColumn="0" w:lastColumn="0" w:noHBand="0" w:noVBand="0"/>
      </w:tblPr>
      <w:tblGrid>
        <w:gridCol w:w="1321"/>
        <w:gridCol w:w="1321"/>
        <w:gridCol w:w="1321"/>
        <w:gridCol w:w="1322"/>
        <w:gridCol w:w="4315"/>
      </w:tblGrid>
      <w:tr w:rsidR="00E40657" w14:paraId="5FAEC76D" w14:textId="77777777" w:rsidTr="00732453">
        <w:trPr>
          <w:cantSplit/>
          <w:trHeight w:hRule="exact" w:val="529"/>
        </w:trPr>
        <w:tc>
          <w:tcPr>
            <w:tcW w:w="5285" w:type="dxa"/>
            <w:gridSpan w:val="4"/>
            <w:tcBorders>
              <w:top w:val="single" w:sz="4" w:space="0" w:color="000000"/>
              <w:left w:val="single" w:sz="4" w:space="0" w:color="000000"/>
              <w:bottom w:val="single" w:sz="4" w:space="0" w:color="000000"/>
            </w:tcBorders>
            <w:shd w:val="clear" w:color="auto" w:fill="auto"/>
            <w:vAlign w:val="center"/>
          </w:tcPr>
          <w:p w14:paraId="5A540FD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F0BDD0"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2B847AD" w14:textId="77777777" w:rsidTr="00732453">
        <w:trPr>
          <w:cantSplit/>
          <w:trHeight w:hRule="exact" w:val="410"/>
        </w:trPr>
        <w:tc>
          <w:tcPr>
            <w:tcW w:w="1321" w:type="dxa"/>
            <w:tcBorders>
              <w:top w:val="single" w:sz="4" w:space="0" w:color="000000"/>
              <w:left w:val="single" w:sz="4" w:space="0" w:color="000000"/>
              <w:bottom w:val="single" w:sz="4" w:space="0" w:color="000000"/>
            </w:tcBorders>
            <w:shd w:val="clear" w:color="auto" w:fill="auto"/>
            <w:vAlign w:val="center"/>
          </w:tcPr>
          <w:p w14:paraId="4F258BE5"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lastRenderedPageBreak/>
              <w:t>TZL</w:t>
            </w:r>
          </w:p>
        </w:tc>
        <w:tc>
          <w:tcPr>
            <w:tcW w:w="1321" w:type="dxa"/>
            <w:tcBorders>
              <w:top w:val="single" w:sz="4" w:space="0" w:color="000000"/>
              <w:left w:val="single" w:sz="4" w:space="0" w:color="000000"/>
              <w:bottom w:val="single" w:sz="4" w:space="0" w:color="000000"/>
            </w:tcBorders>
            <w:shd w:val="clear" w:color="auto" w:fill="auto"/>
            <w:vAlign w:val="center"/>
          </w:tcPr>
          <w:p w14:paraId="6E74AE39"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SO</w:t>
            </w:r>
            <w:r w:rsidRPr="0030358C">
              <w:rPr>
                <w:rFonts w:ascii="Arial" w:hAnsi="Arial" w:cs="Arial"/>
                <w:b/>
                <w:bCs/>
                <w:strike/>
                <w:sz w:val="22"/>
                <w:szCs w:val="22"/>
                <w:vertAlign w:val="subscript"/>
                <w:lang w:eastAsia="zh-CN"/>
              </w:rPr>
              <w:t>2</w:t>
            </w:r>
            <w:r w:rsidRPr="0030358C">
              <w:rPr>
                <w:rFonts w:ascii="Arial" w:hAnsi="Arial" w:cs="Arial"/>
                <w:b/>
                <w:strike/>
                <w:sz w:val="22"/>
                <w:szCs w:val="22"/>
                <w:vertAlign w:val="superscript"/>
                <w:lang w:eastAsia="zh-CN"/>
              </w:rPr>
              <w:t>1)</w:t>
            </w:r>
          </w:p>
        </w:tc>
        <w:tc>
          <w:tcPr>
            <w:tcW w:w="1321" w:type="dxa"/>
            <w:tcBorders>
              <w:top w:val="single" w:sz="4" w:space="0" w:color="000000"/>
              <w:left w:val="single" w:sz="4" w:space="0" w:color="000000"/>
              <w:bottom w:val="single" w:sz="4" w:space="0" w:color="000000"/>
            </w:tcBorders>
            <w:shd w:val="clear" w:color="auto" w:fill="auto"/>
            <w:vAlign w:val="center"/>
          </w:tcPr>
          <w:p w14:paraId="0D4CBF57"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NO</w:t>
            </w:r>
            <w:r w:rsidRPr="0030358C">
              <w:rPr>
                <w:rFonts w:ascii="Arial" w:hAnsi="Arial" w:cs="Arial"/>
                <w:b/>
                <w:strike/>
                <w:sz w:val="22"/>
                <w:szCs w:val="22"/>
                <w:vertAlign w:val="subscript"/>
                <w:lang w:eastAsia="zh-CN"/>
              </w:rPr>
              <w:t>x</w:t>
            </w:r>
            <w:r w:rsidRPr="0030358C">
              <w:rPr>
                <w:rFonts w:ascii="Arial" w:hAnsi="Arial" w:cs="Arial"/>
                <w:b/>
                <w:strike/>
                <w:sz w:val="22"/>
                <w:szCs w:val="22"/>
                <w:vertAlign w:val="superscript"/>
                <w:lang w:eastAsia="zh-CN"/>
              </w:rPr>
              <w:t>1)</w:t>
            </w:r>
          </w:p>
        </w:tc>
        <w:tc>
          <w:tcPr>
            <w:tcW w:w="1322" w:type="dxa"/>
            <w:tcBorders>
              <w:top w:val="single" w:sz="4" w:space="0" w:color="000000"/>
              <w:left w:val="single" w:sz="4" w:space="0" w:color="000000"/>
              <w:bottom w:val="single" w:sz="4" w:space="0" w:color="000000"/>
            </w:tcBorders>
            <w:shd w:val="clear" w:color="auto" w:fill="auto"/>
            <w:vAlign w:val="center"/>
          </w:tcPr>
          <w:p w14:paraId="54551F2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bCs/>
                <w:strike/>
                <w:sz w:val="22"/>
                <w:szCs w:val="22"/>
                <w:lang w:eastAsia="zh-CN"/>
              </w:rPr>
              <w:t>CO</w:t>
            </w:r>
            <w:r w:rsidRPr="0030358C">
              <w:rPr>
                <w:rFonts w:ascii="Arial" w:hAnsi="Arial" w:cs="Arial"/>
                <w:b/>
                <w:strike/>
                <w:sz w:val="22"/>
                <w:szCs w:val="22"/>
                <w:vertAlign w:val="superscript"/>
                <w:lang w:eastAsia="zh-CN"/>
              </w:rPr>
              <w:t>1)</w:t>
            </w:r>
          </w:p>
        </w:tc>
        <w:tc>
          <w:tcPr>
            <w:tcW w:w="4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A18DA" w14:textId="77777777" w:rsidR="008F52C8" w:rsidRPr="0030358C" w:rsidRDefault="008F52C8" w:rsidP="00732453">
            <w:pPr>
              <w:snapToGrid w:val="0"/>
              <w:jc w:val="center"/>
              <w:rPr>
                <w:rFonts w:ascii="Arial" w:hAnsi="Arial" w:cs="Arial"/>
                <w:b/>
                <w:strike/>
                <w:sz w:val="22"/>
                <w:szCs w:val="22"/>
                <w:lang w:eastAsia="zh-CN"/>
              </w:rPr>
            </w:pPr>
          </w:p>
        </w:tc>
      </w:tr>
      <w:tr w:rsidR="00E40657" w14:paraId="0755C4FD" w14:textId="77777777" w:rsidTr="00732453">
        <w:trPr>
          <w:trHeight w:hRule="exact" w:val="745"/>
        </w:trPr>
        <w:tc>
          <w:tcPr>
            <w:tcW w:w="1321" w:type="dxa"/>
            <w:tcBorders>
              <w:top w:val="single" w:sz="4" w:space="0" w:color="000000"/>
              <w:left w:val="single" w:sz="4" w:space="0" w:color="000000"/>
              <w:bottom w:val="single" w:sz="4" w:space="0" w:color="000000"/>
            </w:tcBorders>
            <w:shd w:val="clear" w:color="auto" w:fill="auto"/>
            <w:vAlign w:val="center"/>
          </w:tcPr>
          <w:p w14:paraId="42A2819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p w14:paraId="6F51DA6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2)</w:t>
            </w:r>
          </w:p>
        </w:tc>
        <w:tc>
          <w:tcPr>
            <w:tcW w:w="1321" w:type="dxa"/>
            <w:tcBorders>
              <w:top w:val="single" w:sz="4" w:space="0" w:color="000000"/>
              <w:left w:val="single" w:sz="4" w:space="0" w:color="000000"/>
              <w:bottom w:val="single" w:sz="4" w:space="0" w:color="000000"/>
            </w:tcBorders>
            <w:shd w:val="clear" w:color="auto" w:fill="auto"/>
            <w:vAlign w:val="center"/>
          </w:tcPr>
          <w:p w14:paraId="3234F19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r w:rsidRPr="0030358C">
              <w:rPr>
                <w:rFonts w:ascii="Arial" w:hAnsi="Arial" w:cs="Arial"/>
                <w:bCs/>
                <w:strike/>
                <w:sz w:val="22"/>
                <w:szCs w:val="22"/>
                <w:vertAlign w:val="superscript"/>
                <w:lang w:eastAsia="zh-CN"/>
              </w:rPr>
              <w:t>3)</w:t>
            </w:r>
          </w:p>
        </w:tc>
        <w:tc>
          <w:tcPr>
            <w:tcW w:w="1321" w:type="dxa"/>
            <w:tcBorders>
              <w:top w:val="single" w:sz="4" w:space="0" w:color="000000"/>
              <w:left w:val="single" w:sz="4" w:space="0" w:color="000000"/>
              <w:bottom w:val="single" w:sz="4" w:space="0" w:color="000000"/>
            </w:tcBorders>
            <w:shd w:val="clear" w:color="auto" w:fill="auto"/>
            <w:vAlign w:val="center"/>
          </w:tcPr>
          <w:p w14:paraId="3424389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1322" w:type="dxa"/>
            <w:tcBorders>
              <w:top w:val="single" w:sz="4" w:space="0" w:color="000000"/>
              <w:left w:val="single" w:sz="4" w:space="0" w:color="000000"/>
              <w:bottom w:val="single" w:sz="4" w:space="0" w:color="000000"/>
            </w:tcBorders>
            <w:shd w:val="clear" w:color="auto" w:fill="auto"/>
            <w:vAlign w:val="center"/>
          </w:tcPr>
          <w:p w14:paraId="6C9BEEC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4B7D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r w:rsidRPr="0030358C">
              <w:rPr>
                <w:rFonts w:ascii="Arial" w:hAnsi="Arial" w:cs="Arial"/>
                <w:bCs/>
                <w:strike/>
                <w:sz w:val="22"/>
                <w:szCs w:val="22"/>
                <w:vertAlign w:val="superscript"/>
                <w:lang w:eastAsia="zh-CN"/>
              </w:rPr>
              <w:t>4)</w:t>
            </w:r>
          </w:p>
          <w:p w14:paraId="5CAD81B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4)</w:t>
            </w:r>
          </w:p>
        </w:tc>
      </w:tr>
    </w:tbl>
    <w:p w14:paraId="0072D549" w14:textId="77777777" w:rsidR="008F52C8" w:rsidRPr="0030358C" w:rsidRDefault="00000000" w:rsidP="008F52C8">
      <w:pPr>
        <w:spacing w:before="60" w:line="300" w:lineRule="exact"/>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 xml:space="preserve">: </w:t>
      </w:r>
    </w:p>
    <w:p w14:paraId="506D0DE9" w14:textId="77777777" w:rsidR="008F52C8" w:rsidRPr="0030358C" w:rsidRDefault="00000000" w:rsidP="008F52C8">
      <w:pPr>
        <w:pStyle w:val="Odstavecseseznamem"/>
        <w:numPr>
          <w:ilvl w:val="0"/>
          <w:numId w:val="174"/>
        </w:numPr>
        <w:tabs>
          <w:tab w:val="left" w:pos="284"/>
        </w:tabs>
        <w:spacing w:line="240" w:lineRule="auto"/>
        <w:rPr>
          <w:rFonts w:ascii="Arial" w:hAnsi="Arial" w:cs="Arial"/>
          <w:iCs/>
          <w:strike/>
          <w:lang w:eastAsia="zh-CN"/>
        </w:rPr>
      </w:pPr>
      <w:r w:rsidRPr="0030358C">
        <w:rPr>
          <w:rFonts w:ascii="Arial" w:hAnsi="Arial" w:cs="Arial"/>
          <w:iCs/>
          <w:strike/>
          <w:lang w:eastAsia="zh-CN"/>
        </w:rPr>
        <w:t>Platí pro spalovací procesy.</w:t>
      </w:r>
    </w:p>
    <w:p w14:paraId="02BB8CED" w14:textId="77777777" w:rsidR="008F52C8" w:rsidRPr="0030358C" w:rsidRDefault="00000000" w:rsidP="008F52C8">
      <w:pPr>
        <w:pStyle w:val="Odstavecseseznamem"/>
        <w:numPr>
          <w:ilvl w:val="0"/>
          <w:numId w:val="174"/>
        </w:numPr>
        <w:tabs>
          <w:tab w:val="left" w:pos="284"/>
        </w:tabs>
        <w:spacing w:line="240" w:lineRule="auto"/>
        <w:jc w:val="both"/>
        <w:rPr>
          <w:rFonts w:ascii="Arial" w:hAnsi="Arial" w:cs="Arial"/>
          <w:iCs/>
          <w:strike/>
          <w:lang w:eastAsia="zh-CN"/>
        </w:rPr>
      </w:pPr>
      <w:r w:rsidRPr="0030358C">
        <w:rPr>
          <w:rFonts w:ascii="Arial" w:hAnsi="Arial" w:cs="Arial"/>
          <w:iCs/>
          <w:strike/>
          <w:lang w:eastAsia="zh-CN"/>
        </w:rPr>
        <w:t>Platí pro provoz sléváren neželezných kovů o celkové projektované kapacitě tavení větší než 4 t za den.</w:t>
      </w:r>
    </w:p>
    <w:p w14:paraId="701A008A" w14:textId="77777777" w:rsidR="008F52C8" w:rsidRPr="0030358C" w:rsidRDefault="00000000" w:rsidP="008F52C8">
      <w:pPr>
        <w:pStyle w:val="Odstavecseseznamem"/>
        <w:numPr>
          <w:ilvl w:val="0"/>
          <w:numId w:val="174"/>
        </w:numPr>
        <w:tabs>
          <w:tab w:val="left" w:pos="284"/>
        </w:tabs>
        <w:spacing w:line="240" w:lineRule="auto"/>
        <w:rPr>
          <w:rFonts w:ascii="Arial" w:hAnsi="Arial" w:cs="Arial"/>
          <w:strike/>
          <w:lang w:eastAsia="zh-CN"/>
        </w:rPr>
      </w:pPr>
      <w:r w:rsidRPr="0030358C">
        <w:rPr>
          <w:rFonts w:ascii="Arial" w:hAnsi="Arial" w:cs="Arial"/>
          <w:iCs/>
          <w:strike/>
          <w:lang w:eastAsia="zh-CN"/>
        </w:rPr>
        <w:t>Neplatí pro pece používající jako palivo pouze zemní plyn.</w:t>
      </w:r>
    </w:p>
    <w:p w14:paraId="3093A0ED" w14:textId="77777777" w:rsidR="008F52C8" w:rsidRPr="0030358C" w:rsidRDefault="00000000" w:rsidP="008F52C8">
      <w:pPr>
        <w:pStyle w:val="Odstavecseseznamem"/>
        <w:numPr>
          <w:ilvl w:val="0"/>
          <w:numId w:val="174"/>
        </w:numPr>
        <w:tabs>
          <w:tab w:val="left" w:pos="284"/>
        </w:tabs>
        <w:spacing w:line="240" w:lineRule="auto"/>
        <w:jc w:val="both"/>
        <w:rPr>
          <w:rFonts w:ascii="Arial" w:hAnsi="Arial" w:cs="Arial"/>
          <w:iCs/>
          <w:strike/>
          <w:lang w:eastAsia="zh-CN"/>
        </w:rPr>
      </w:pPr>
      <w:r w:rsidRPr="0030358C">
        <w:rPr>
          <w:rFonts w:ascii="Arial" w:hAnsi="Arial" w:cs="Arial"/>
          <w:iCs/>
          <w:strike/>
          <w:lang w:eastAsia="zh-CN"/>
        </w:rPr>
        <w:t>Vztažné podmínky C platí pro nespalovací procesy do 31. prosince 2019. Vztažné podmínky A platí pro spalovací procesy a od 1. ledna 2020 také pro nespalovací procesy.</w:t>
      </w:r>
    </w:p>
    <w:p w14:paraId="2A917925" w14:textId="77777777" w:rsidR="008F52C8" w:rsidRPr="0030358C" w:rsidRDefault="00000000" w:rsidP="008F52C8">
      <w:pPr>
        <w:spacing w:before="60" w:line="300" w:lineRule="exact"/>
        <w:ind w:left="720"/>
        <w:rPr>
          <w:rFonts w:ascii="Arial" w:hAnsi="Arial" w:cs="Arial"/>
          <w:b/>
          <w:strike/>
          <w:sz w:val="22"/>
          <w:szCs w:val="22"/>
          <w:lang w:eastAsia="zh-CN"/>
        </w:rPr>
      </w:pPr>
      <w:r w:rsidRPr="0030358C">
        <w:rPr>
          <w:rFonts w:ascii="Arial" w:hAnsi="Arial" w:cs="Arial"/>
          <w:b/>
          <w:iCs/>
          <w:strike/>
          <w:sz w:val="22"/>
          <w:szCs w:val="22"/>
          <w:lang w:eastAsia="zh-CN"/>
        </w:rPr>
        <w:t xml:space="preserve"> </w:t>
      </w:r>
    </w:p>
    <w:p w14:paraId="29E13A23"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4080254F"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Omezování emisí VOC vznikajících při výrobě forem a jader např. minimalizací spotřeby pojiva, náhradou nátěrů na bázi alkoholu za nátěry na bázi vody, použitím takových rozpouštědel pro výrobu jader cold-box, která nejsou na bázi aromatických uhlovodíků.</w:t>
      </w:r>
    </w:p>
    <w:p w14:paraId="0F242450" w14:textId="77777777" w:rsidR="008F52C8" w:rsidRPr="0030358C" w:rsidRDefault="008F52C8" w:rsidP="008F52C8">
      <w:pPr>
        <w:rPr>
          <w:rFonts w:ascii="Arial" w:hAnsi="Arial" w:cs="Arial"/>
          <w:b/>
          <w:strike/>
          <w:sz w:val="22"/>
          <w:szCs w:val="22"/>
          <w:lang w:eastAsia="zh-CN"/>
        </w:rPr>
      </w:pPr>
    </w:p>
    <w:p w14:paraId="7891D804" w14:textId="77777777" w:rsidR="008F52C8" w:rsidRPr="0030358C" w:rsidRDefault="00000000" w:rsidP="008F52C8">
      <w:pPr>
        <w:widowControl w:val="0"/>
        <w:numPr>
          <w:ilvl w:val="0"/>
          <w:numId w:val="73"/>
        </w:numPr>
        <w:suppressAutoHyphens/>
        <w:autoSpaceDE w:val="0"/>
        <w:spacing w:after="60"/>
        <w:jc w:val="both"/>
        <w:rPr>
          <w:rFonts w:ascii="Arial" w:hAnsi="Arial" w:cs="Arial"/>
          <w:bCs/>
          <w:strike/>
          <w:sz w:val="22"/>
          <w:szCs w:val="22"/>
          <w:lang w:eastAsia="zh-CN"/>
        </w:rPr>
      </w:pPr>
      <w:r w:rsidRPr="0030358C">
        <w:rPr>
          <w:rFonts w:ascii="Arial" w:hAnsi="Arial" w:cs="Arial"/>
          <w:bCs/>
          <w:strike/>
          <w:sz w:val="22"/>
          <w:szCs w:val="22"/>
          <w:lang w:eastAsia="zh-CN"/>
        </w:rPr>
        <w:t>Musí být snižovány emise tuhých znečišťujících látek na všech technologických uzlech včetně skladování a přepravy materiálu, kde dochází k emisím tuhých znečišťujících látek do ovzduší. Lze použít například:</w:t>
      </w:r>
    </w:p>
    <w:p w14:paraId="0E19122F" w14:textId="77777777" w:rsidR="008F52C8" w:rsidRPr="0030358C" w:rsidRDefault="00000000" w:rsidP="008F52C8">
      <w:pPr>
        <w:numPr>
          <w:ilvl w:val="0"/>
          <w:numId w:val="121"/>
        </w:numPr>
        <w:suppressAutoHyphens/>
        <w:spacing w:after="60"/>
        <w:ind w:left="426" w:hanging="426"/>
        <w:jc w:val="both"/>
        <w:rPr>
          <w:rFonts w:ascii="Arial" w:hAnsi="Arial" w:cs="Arial"/>
          <w:bCs/>
          <w:strike/>
          <w:sz w:val="22"/>
          <w:szCs w:val="22"/>
          <w:lang w:eastAsia="zh-CN"/>
        </w:rPr>
      </w:pPr>
      <w:r w:rsidRPr="0030358C">
        <w:rPr>
          <w:rFonts w:ascii="Arial" w:hAnsi="Arial" w:cs="Arial"/>
          <w:bCs/>
          <w:strike/>
          <w:sz w:val="22"/>
          <w:szCs w:val="22"/>
          <w:lang w:eastAsia="zh-CN"/>
        </w:rPr>
        <w:t>opatření pro skladování prašných materiálů - uzavřené skladovací prostory, umisťování venkovních skládek na závětrnou stranu, jejich skrápění a budování zástěn,</w:t>
      </w:r>
    </w:p>
    <w:p w14:paraId="72DB4AF2" w14:textId="77777777" w:rsidR="008F52C8" w:rsidRPr="0030358C" w:rsidRDefault="00000000" w:rsidP="008F52C8">
      <w:pPr>
        <w:numPr>
          <w:ilvl w:val="0"/>
          <w:numId w:val="121"/>
        </w:numPr>
        <w:suppressAutoHyphens/>
        <w:spacing w:after="60"/>
        <w:ind w:left="426" w:hanging="426"/>
        <w:jc w:val="both"/>
        <w:rPr>
          <w:rFonts w:ascii="Arial" w:hAnsi="Arial" w:cs="Arial"/>
          <w:bCs/>
          <w:strike/>
          <w:sz w:val="22"/>
          <w:szCs w:val="22"/>
          <w:lang w:eastAsia="zh-CN"/>
        </w:rPr>
      </w:pPr>
      <w:r w:rsidRPr="0030358C">
        <w:rPr>
          <w:rFonts w:ascii="Arial" w:hAnsi="Arial" w:cs="Arial"/>
          <w:bCs/>
          <w:strike/>
          <w:sz w:val="22"/>
          <w:szCs w:val="22"/>
          <w:lang w:eastAsia="zh-CN"/>
        </w:rPr>
        <w:t>opatření pro přepravu materiálů - pravidelná očista a skrápění komunikací a manipulačních ploch, omezení rychlosti pohybu vozidel v areálu zdroje, zakrývání nákladních prostorů expedujících dopravních prostředků.</w:t>
      </w:r>
    </w:p>
    <w:p w14:paraId="61D716C1" w14:textId="77777777" w:rsidR="008F52C8" w:rsidRPr="0030358C" w:rsidRDefault="008F52C8" w:rsidP="008F52C8">
      <w:pPr>
        <w:keepNext/>
        <w:keepLines/>
        <w:tabs>
          <w:tab w:val="left" w:pos="284"/>
        </w:tabs>
        <w:autoSpaceDE w:val="0"/>
        <w:jc w:val="both"/>
        <w:rPr>
          <w:rFonts w:ascii="Arial" w:hAnsi="Arial" w:cs="Arial"/>
          <w:b/>
          <w:bCs/>
          <w:strike/>
          <w:sz w:val="22"/>
          <w:szCs w:val="22"/>
          <w:lang w:eastAsia="zh-CN"/>
        </w:rPr>
      </w:pPr>
    </w:p>
    <w:p w14:paraId="1390D93C" w14:textId="77777777" w:rsidR="008F52C8" w:rsidRPr="0030358C" w:rsidRDefault="00000000" w:rsidP="008F52C8">
      <w:pPr>
        <w:rPr>
          <w:rFonts w:ascii="Arial" w:hAnsi="Arial" w:cs="Arial"/>
          <w:bCs/>
          <w:strike/>
          <w:sz w:val="22"/>
          <w:szCs w:val="22"/>
          <w:lang w:eastAsia="zh-CN"/>
        </w:rPr>
      </w:pPr>
      <w:r w:rsidRPr="0030358C">
        <w:rPr>
          <w:rFonts w:ascii="Arial" w:hAnsi="Arial" w:cs="Arial"/>
          <w:b/>
          <w:bCs/>
          <w:strike/>
          <w:sz w:val="22"/>
          <w:szCs w:val="22"/>
          <w:lang w:eastAsia="zh-CN"/>
        </w:rPr>
        <w:t xml:space="preserve">3.7.2. Pecní agregáty pro výrobu neželezných kovů </w:t>
      </w:r>
      <w:r w:rsidRPr="0030358C">
        <w:rPr>
          <w:rFonts w:ascii="Arial" w:hAnsi="Arial" w:cs="Arial"/>
          <w:bCs/>
          <w:strike/>
          <w:sz w:val="22"/>
          <w:szCs w:val="22"/>
          <w:lang w:eastAsia="zh-CN"/>
        </w:rPr>
        <w:t>(kód 4.8.2.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2486"/>
        <w:gridCol w:w="2486"/>
        <w:gridCol w:w="2490"/>
        <w:gridCol w:w="1927"/>
      </w:tblGrid>
      <w:tr w:rsidR="00E40657" w14:paraId="6BDCA8F3" w14:textId="77777777" w:rsidTr="00732453">
        <w:trPr>
          <w:cantSplit/>
          <w:trHeight w:hRule="exact" w:val="341"/>
        </w:trPr>
        <w:tc>
          <w:tcPr>
            <w:tcW w:w="7462" w:type="dxa"/>
            <w:gridSpan w:val="3"/>
            <w:tcBorders>
              <w:top w:val="single" w:sz="2" w:space="0" w:color="000000"/>
              <w:left w:val="single" w:sz="2" w:space="0" w:color="000000"/>
              <w:bottom w:val="single" w:sz="2" w:space="0" w:color="000000"/>
            </w:tcBorders>
            <w:shd w:val="clear" w:color="auto" w:fill="auto"/>
            <w:vAlign w:val="center"/>
          </w:tcPr>
          <w:p w14:paraId="36EA9496"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927" w:type="dxa"/>
            <w:vMerge w:val="restart"/>
            <w:tcBorders>
              <w:top w:val="single" w:sz="2" w:space="0" w:color="000000"/>
              <w:left w:val="single" w:sz="2" w:space="0" w:color="000000"/>
              <w:right w:val="single" w:sz="2" w:space="0" w:color="000000"/>
            </w:tcBorders>
            <w:shd w:val="clear" w:color="auto" w:fill="auto"/>
            <w:vAlign w:val="center"/>
          </w:tcPr>
          <w:p w14:paraId="60530466"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179B1FBE" w14:textId="77777777" w:rsidTr="00732453">
        <w:trPr>
          <w:cantSplit/>
          <w:trHeight w:hRule="exact" w:val="587"/>
        </w:trPr>
        <w:tc>
          <w:tcPr>
            <w:tcW w:w="2486" w:type="dxa"/>
            <w:tcBorders>
              <w:top w:val="single" w:sz="2" w:space="0" w:color="000000"/>
              <w:left w:val="single" w:sz="2" w:space="0" w:color="000000"/>
              <w:bottom w:val="single" w:sz="2" w:space="0" w:color="000000"/>
            </w:tcBorders>
            <w:shd w:val="clear" w:color="auto" w:fill="auto"/>
            <w:vAlign w:val="center"/>
          </w:tcPr>
          <w:p w14:paraId="0B4A61B3"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2486" w:type="dxa"/>
            <w:tcBorders>
              <w:top w:val="single" w:sz="2" w:space="0" w:color="000000"/>
              <w:left w:val="single" w:sz="2" w:space="0" w:color="000000"/>
              <w:bottom w:val="single" w:sz="2" w:space="0" w:color="000000"/>
            </w:tcBorders>
            <w:shd w:val="clear" w:color="auto" w:fill="auto"/>
            <w:vAlign w:val="center"/>
          </w:tcPr>
          <w:p w14:paraId="3F92C766"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strike/>
                <w:sz w:val="22"/>
                <w:szCs w:val="22"/>
                <w:vertAlign w:val="subscript"/>
                <w:lang w:eastAsia="zh-CN"/>
              </w:rPr>
              <w:t>x</w:t>
            </w:r>
          </w:p>
        </w:tc>
        <w:tc>
          <w:tcPr>
            <w:tcW w:w="2490" w:type="dxa"/>
            <w:tcBorders>
              <w:top w:val="single" w:sz="2" w:space="0" w:color="000000"/>
              <w:left w:val="single" w:sz="2" w:space="0" w:color="000000"/>
              <w:bottom w:val="single" w:sz="2" w:space="0" w:color="000000"/>
            </w:tcBorders>
            <w:shd w:val="clear" w:color="auto" w:fill="auto"/>
            <w:vAlign w:val="center"/>
          </w:tcPr>
          <w:p w14:paraId="7CF876CF"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TOC</w:t>
            </w:r>
          </w:p>
        </w:tc>
        <w:tc>
          <w:tcPr>
            <w:tcW w:w="1927" w:type="dxa"/>
            <w:vMerge/>
            <w:tcBorders>
              <w:left w:val="single" w:sz="2" w:space="0" w:color="000000"/>
              <w:bottom w:val="single" w:sz="2" w:space="0" w:color="000000"/>
              <w:right w:val="single" w:sz="2" w:space="0" w:color="000000"/>
            </w:tcBorders>
            <w:shd w:val="clear" w:color="auto" w:fill="auto"/>
            <w:vAlign w:val="center"/>
          </w:tcPr>
          <w:p w14:paraId="62F2CC79" w14:textId="77777777" w:rsidR="008F52C8" w:rsidRPr="0030358C" w:rsidRDefault="008F52C8" w:rsidP="00732453">
            <w:pPr>
              <w:widowControl w:val="0"/>
              <w:autoSpaceDE w:val="0"/>
              <w:snapToGrid w:val="0"/>
              <w:jc w:val="center"/>
              <w:rPr>
                <w:rFonts w:ascii="Arial" w:hAnsi="Arial" w:cs="Arial"/>
                <w:b/>
                <w:bCs/>
                <w:strike/>
                <w:sz w:val="22"/>
                <w:szCs w:val="22"/>
                <w:lang w:eastAsia="zh-CN"/>
              </w:rPr>
            </w:pPr>
          </w:p>
        </w:tc>
      </w:tr>
      <w:tr w:rsidR="00E40657" w14:paraId="4E37EB23" w14:textId="77777777" w:rsidTr="00732453">
        <w:trPr>
          <w:cantSplit/>
          <w:trHeight w:hRule="exact" w:val="1099"/>
        </w:trPr>
        <w:tc>
          <w:tcPr>
            <w:tcW w:w="2486" w:type="dxa"/>
            <w:tcBorders>
              <w:top w:val="single" w:sz="2" w:space="0" w:color="000000"/>
              <w:left w:val="single" w:sz="2" w:space="0" w:color="000000"/>
              <w:bottom w:val="single" w:sz="2" w:space="0" w:color="000000"/>
            </w:tcBorders>
            <w:shd w:val="clear" w:color="auto" w:fill="auto"/>
            <w:vAlign w:val="center"/>
          </w:tcPr>
          <w:p w14:paraId="351D7113"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1)</w:t>
            </w:r>
          </w:p>
          <w:p w14:paraId="4587B075" w14:textId="77777777" w:rsidR="008F52C8" w:rsidRPr="0030358C" w:rsidRDefault="00000000" w:rsidP="00732453">
            <w:pPr>
              <w:widowControl w:val="0"/>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2)</w:t>
            </w:r>
          </w:p>
          <w:p w14:paraId="01894815" w14:textId="77777777" w:rsidR="008F52C8" w:rsidRPr="0030358C" w:rsidRDefault="00000000" w:rsidP="00732453">
            <w:pPr>
              <w:widowControl w:val="0"/>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30</w:t>
            </w:r>
            <w:r w:rsidRPr="0030358C">
              <w:rPr>
                <w:rFonts w:ascii="Arial" w:hAnsi="Arial" w:cs="Arial"/>
                <w:bCs/>
                <w:strike/>
                <w:sz w:val="22"/>
                <w:szCs w:val="22"/>
                <w:vertAlign w:val="superscript"/>
                <w:lang w:eastAsia="zh-CN"/>
              </w:rPr>
              <w:t>3)</w:t>
            </w:r>
          </w:p>
        </w:tc>
        <w:tc>
          <w:tcPr>
            <w:tcW w:w="2486" w:type="dxa"/>
            <w:tcBorders>
              <w:top w:val="single" w:sz="2" w:space="0" w:color="000000"/>
              <w:left w:val="single" w:sz="2" w:space="0" w:color="000000"/>
              <w:bottom w:val="single" w:sz="2" w:space="0" w:color="000000"/>
            </w:tcBorders>
            <w:shd w:val="clear" w:color="auto" w:fill="auto"/>
            <w:vAlign w:val="center"/>
          </w:tcPr>
          <w:p w14:paraId="0A9EFD5D"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2490" w:type="dxa"/>
            <w:tcBorders>
              <w:top w:val="single" w:sz="2" w:space="0" w:color="000000"/>
              <w:left w:val="single" w:sz="2" w:space="0" w:color="000000"/>
              <w:bottom w:val="single" w:sz="2" w:space="0" w:color="000000"/>
            </w:tcBorders>
            <w:shd w:val="clear" w:color="auto" w:fill="auto"/>
            <w:vAlign w:val="center"/>
          </w:tcPr>
          <w:p w14:paraId="106A80F3"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9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E1B70A"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52448078" w14:textId="77777777" w:rsidR="008F52C8" w:rsidRPr="0030358C" w:rsidRDefault="00000000" w:rsidP="008F52C8">
      <w:pPr>
        <w:widowControl w:val="0"/>
        <w:autoSpaceDE w:val="0"/>
        <w:spacing w:line="200" w:lineRule="exact"/>
        <w:jc w:val="both"/>
        <w:rPr>
          <w:rFonts w:ascii="Arial" w:hAnsi="Arial" w:cs="Arial"/>
          <w:strike/>
          <w:sz w:val="22"/>
          <w:szCs w:val="22"/>
          <w:lang w:eastAsia="zh-CN"/>
        </w:rPr>
      </w:pPr>
      <w:r w:rsidRPr="0030358C">
        <w:rPr>
          <w:rFonts w:ascii="Arial" w:hAnsi="Arial" w:cs="Arial"/>
          <w:strike/>
          <w:sz w:val="22"/>
          <w:szCs w:val="22"/>
          <w:lang w:eastAsia="zh-CN"/>
        </w:rPr>
        <w:t>Vysvětlivky:</w:t>
      </w:r>
    </w:p>
    <w:p w14:paraId="290164DF" w14:textId="77777777" w:rsidR="008F52C8" w:rsidRPr="0030358C" w:rsidRDefault="00000000" w:rsidP="008F52C8">
      <w:pPr>
        <w:widowControl w:val="0"/>
        <w:numPr>
          <w:ilvl w:val="0"/>
          <w:numId w:val="111"/>
        </w:numPr>
        <w:suppressAutoHyphens/>
        <w:autoSpaceDE w:val="0"/>
        <w:spacing w:line="200" w:lineRule="exact"/>
        <w:jc w:val="both"/>
        <w:rPr>
          <w:rFonts w:ascii="Arial" w:hAnsi="Arial" w:cs="Arial"/>
          <w:strike/>
          <w:sz w:val="22"/>
          <w:szCs w:val="22"/>
          <w:lang w:eastAsia="zh-CN"/>
        </w:rPr>
      </w:pPr>
      <w:r w:rsidRPr="0030358C">
        <w:rPr>
          <w:rFonts w:ascii="Arial" w:hAnsi="Arial" w:cs="Arial"/>
          <w:strike/>
          <w:sz w:val="22"/>
          <w:szCs w:val="22"/>
          <w:lang w:eastAsia="zh-CN"/>
        </w:rPr>
        <w:t>Platí při výrobě olova</w:t>
      </w:r>
    </w:p>
    <w:p w14:paraId="35877A5B" w14:textId="77777777" w:rsidR="008F52C8" w:rsidRPr="0030358C" w:rsidRDefault="00000000" w:rsidP="008F52C8">
      <w:pPr>
        <w:widowControl w:val="0"/>
        <w:numPr>
          <w:ilvl w:val="0"/>
          <w:numId w:val="111"/>
        </w:numPr>
        <w:suppressAutoHyphens/>
        <w:autoSpaceDE w:val="0"/>
        <w:spacing w:line="200" w:lineRule="exact"/>
        <w:jc w:val="both"/>
        <w:rPr>
          <w:rFonts w:ascii="Arial" w:hAnsi="Arial" w:cs="Arial"/>
          <w:strike/>
          <w:sz w:val="22"/>
          <w:szCs w:val="22"/>
          <w:lang w:eastAsia="zh-CN"/>
        </w:rPr>
      </w:pPr>
      <w:r w:rsidRPr="0030358C">
        <w:rPr>
          <w:rFonts w:ascii="Arial" w:hAnsi="Arial" w:cs="Arial"/>
          <w:strike/>
          <w:sz w:val="22"/>
          <w:szCs w:val="22"/>
          <w:lang w:eastAsia="zh-CN"/>
        </w:rPr>
        <w:t>Platí při výrobě mědi a zinku, včetně pecí Imperial Smelting.</w:t>
      </w:r>
    </w:p>
    <w:p w14:paraId="296DC981" w14:textId="77777777" w:rsidR="008F52C8" w:rsidRPr="0030358C" w:rsidRDefault="00000000" w:rsidP="008F52C8">
      <w:pPr>
        <w:widowControl w:val="0"/>
        <w:numPr>
          <w:ilvl w:val="0"/>
          <w:numId w:val="111"/>
        </w:numPr>
        <w:suppressAutoHyphens/>
        <w:autoSpaceDE w:val="0"/>
        <w:spacing w:before="60" w:line="200" w:lineRule="exact"/>
        <w:jc w:val="both"/>
        <w:rPr>
          <w:rFonts w:ascii="Arial" w:hAnsi="Arial" w:cs="Arial"/>
          <w:strike/>
          <w:sz w:val="22"/>
          <w:szCs w:val="22"/>
          <w:lang w:eastAsia="zh-CN"/>
        </w:rPr>
      </w:pPr>
      <w:r w:rsidRPr="0030358C">
        <w:rPr>
          <w:rFonts w:ascii="Arial" w:hAnsi="Arial" w:cs="Arial"/>
          <w:strike/>
          <w:sz w:val="22"/>
          <w:szCs w:val="22"/>
          <w:lang w:eastAsia="zh-CN"/>
        </w:rPr>
        <w:t xml:space="preserve">Platí pro ostatní výroby. </w:t>
      </w:r>
    </w:p>
    <w:p w14:paraId="73D82889" w14:textId="77777777" w:rsidR="008F52C8" w:rsidRPr="0030358C" w:rsidRDefault="008F52C8" w:rsidP="008F52C8">
      <w:pPr>
        <w:widowControl w:val="0"/>
        <w:autoSpaceDE w:val="0"/>
        <w:spacing w:before="60" w:line="200" w:lineRule="exact"/>
        <w:jc w:val="both"/>
        <w:rPr>
          <w:rFonts w:ascii="Arial" w:hAnsi="Arial" w:cs="Arial"/>
          <w:b/>
          <w:strike/>
          <w:sz w:val="22"/>
          <w:szCs w:val="22"/>
          <w:lang w:eastAsia="zh-CN"/>
        </w:rPr>
      </w:pPr>
    </w:p>
    <w:p w14:paraId="46980555" w14:textId="77777777" w:rsidR="008F52C8" w:rsidRPr="0030358C" w:rsidRDefault="008F52C8" w:rsidP="008F52C8">
      <w:pPr>
        <w:widowControl w:val="0"/>
        <w:autoSpaceDE w:val="0"/>
        <w:spacing w:before="60" w:line="200" w:lineRule="exact"/>
        <w:jc w:val="both"/>
        <w:rPr>
          <w:rFonts w:ascii="Arial" w:hAnsi="Arial" w:cs="Arial"/>
          <w:b/>
          <w:strike/>
          <w:sz w:val="22"/>
          <w:szCs w:val="22"/>
          <w:lang w:eastAsia="zh-CN"/>
        </w:rPr>
      </w:pPr>
    </w:p>
    <w:p w14:paraId="51116791" w14:textId="77777777" w:rsidR="008F52C8" w:rsidRPr="0030358C" w:rsidRDefault="00000000" w:rsidP="008F52C8">
      <w:pPr>
        <w:rPr>
          <w:rFonts w:ascii="Arial" w:hAnsi="Arial" w:cs="Arial"/>
          <w:b/>
          <w:i/>
          <w:strike/>
          <w:sz w:val="22"/>
          <w:szCs w:val="22"/>
          <w:lang w:eastAsia="zh-CN"/>
        </w:rPr>
      </w:pPr>
      <w:r w:rsidRPr="0030358C">
        <w:rPr>
          <w:rFonts w:ascii="Arial" w:hAnsi="Arial" w:cs="Arial"/>
          <w:b/>
          <w:bCs/>
          <w:strike/>
          <w:sz w:val="22"/>
          <w:szCs w:val="22"/>
          <w:lang w:eastAsia="zh-CN"/>
        </w:rPr>
        <w:t xml:space="preserve">3.7.3. Elektrolytická výroba hliníku </w:t>
      </w:r>
      <w:r w:rsidRPr="0030358C">
        <w:rPr>
          <w:rFonts w:ascii="Arial" w:hAnsi="Arial" w:cs="Arial"/>
          <w:bCs/>
          <w:strike/>
          <w:sz w:val="22"/>
          <w:szCs w:val="22"/>
          <w:lang w:eastAsia="zh-CN"/>
        </w:rPr>
        <w:t>(kód 4.9. dle přílohy č. 2 zákona)</w:t>
      </w:r>
      <w:r w:rsidRPr="0030358C">
        <w:rPr>
          <w:rFonts w:ascii="Arial" w:hAnsi="Arial" w:cs="Arial"/>
          <w:bCs/>
          <w:i/>
          <w:strike/>
          <w:sz w:val="22"/>
          <w:szCs w:val="22"/>
          <w:lang w:eastAsia="zh-CN"/>
        </w:rPr>
        <w:t xml:space="preserve"> </w:t>
      </w:r>
    </w:p>
    <w:tbl>
      <w:tblPr>
        <w:tblW w:w="938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44"/>
        <w:gridCol w:w="3442"/>
        <w:gridCol w:w="2503"/>
      </w:tblGrid>
      <w:tr w:rsidR="00E40657" w14:paraId="1A9B61CA" w14:textId="77777777" w:rsidTr="00732453">
        <w:trPr>
          <w:cantSplit/>
          <w:trHeight w:hRule="exact" w:val="341"/>
        </w:trPr>
        <w:tc>
          <w:tcPr>
            <w:tcW w:w="6886" w:type="dxa"/>
            <w:gridSpan w:val="2"/>
            <w:shd w:val="clear" w:color="auto" w:fill="auto"/>
            <w:vAlign w:val="center"/>
          </w:tcPr>
          <w:p w14:paraId="23BF0FC7"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503" w:type="dxa"/>
            <w:shd w:val="clear" w:color="auto" w:fill="auto"/>
            <w:vAlign w:val="center"/>
          </w:tcPr>
          <w:p w14:paraId="73CD008F"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23D8BE10" w14:textId="77777777" w:rsidTr="00732453">
        <w:trPr>
          <w:cantSplit/>
          <w:trHeight w:hRule="exact" w:val="747"/>
        </w:trPr>
        <w:tc>
          <w:tcPr>
            <w:tcW w:w="3444" w:type="dxa"/>
            <w:shd w:val="clear" w:color="auto" w:fill="auto"/>
            <w:vAlign w:val="center"/>
          </w:tcPr>
          <w:p w14:paraId="56035554"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bCs/>
                <w:strike/>
                <w:sz w:val="22"/>
                <w:szCs w:val="22"/>
                <w:lang w:eastAsia="zh-CN"/>
              </w:rPr>
              <w:t>TZL</w:t>
            </w:r>
          </w:p>
        </w:tc>
        <w:tc>
          <w:tcPr>
            <w:tcW w:w="3442" w:type="dxa"/>
            <w:shd w:val="clear" w:color="auto" w:fill="auto"/>
            <w:vAlign w:val="center"/>
          </w:tcPr>
          <w:p w14:paraId="58ED5447"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HF</w:t>
            </w:r>
          </w:p>
        </w:tc>
        <w:tc>
          <w:tcPr>
            <w:tcW w:w="2503" w:type="dxa"/>
            <w:vMerge w:val="restart"/>
            <w:shd w:val="clear" w:color="auto" w:fill="auto"/>
            <w:vAlign w:val="center"/>
          </w:tcPr>
          <w:p w14:paraId="23C6FCB0"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116646E0" w14:textId="77777777" w:rsidTr="00732453">
        <w:trPr>
          <w:cantSplit/>
          <w:trHeight w:hRule="exact" w:val="747"/>
        </w:trPr>
        <w:tc>
          <w:tcPr>
            <w:tcW w:w="3444" w:type="dxa"/>
            <w:shd w:val="clear" w:color="auto" w:fill="auto"/>
            <w:vAlign w:val="center"/>
          </w:tcPr>
          <w:p w14:paraId="4D002249" w14:textId="77777777" w:rsidR="008F52C8" w:rsidRPr="0030358C" w:rsidRDefault="008F52C8" w:rsidP="00732453">
            <w:pPr>
              <w:widowControl w:val="0"/>
              <w:autoSpaceDE w:val="0"/>
              <w:snapToGrid w:val="0"/>
              <w:jc w:val="center"/>
              <w:rPr>
                <w:rFonts w:ascii="Arial" w:hAnsi="Arial" w:cs="Arial"/>
                <w:bCs/>
                <w:strike/>
                <w:sz w:val="22"/>
                <w:szCs w:val="22"/>
                <w:lang w:eastAsia="zh-CN"/>
              </w:rPr>
            </w:pPr>
          </w:p>
          <w:p w14:paraId="19302662" w14:textId="77777777" w:rsidR="008F52C8" w:rsidRPr="0030358C" w:rsidRDefault="00000000" w:rsidP="00732453">
            <w:pPr>
              <w:widowControl w:val="0"/>
              <w:autoSpaceDE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3442" w:type="dxa"/>
            <w:shd w:val="clear" w:color="auto" w:fill="auto"/>
            <w:vAlign w:val="center"/>
          </w:tcPr>
          <w:p w14:paraId="673D4B9A"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2</w:t>
            </w:r>
          </w:p>
        </w:tc>
        <w:tc>
          <w:tcPr>
            <w:tcW w:w="2503" w:type="dxa"/>
            <w:vMerge/>
            <w:shd w:val="clear" w:color="auto" w:fill="auto"/>
            <w:vAlign w:val="center"/>
          </w:tcPr>
          <w:p w14:paraId="358A3028"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r w:rsidR="00E40657" w14:paraId="6E0D9966" w14:textId="77777777" w:rsidTr="00732453">
        <w:trPr>
          <w:cantSplit/>
          <w:trHeight w:hRule="exact" w:val="541"/>
        </w:trPr>
        <w:tc>
          <w:tcPr>
            <w:tcW w:w="6886" w:type="dxa"/>
            <w:gridSpan w:val="2"/>
            <w:shd w:val="clear" w:color="auto" w:fill="auto"/>
            <w:vAlign w:val="center"/>
          </w:tcPr>
          <w:p w14:paraId="1BB9B8C6"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[kg/t hliníku] zjištěné z denních průměrů</w:t>
            </w:r>
          </w:p>
        </w:tc>
        <w:tc>
          <w:tcPr>
            <w:tcW w:w="2503" w:type="dxa"/>
            <w:vMerge/>
            <w:shd w:val="clear" w:color="auto" w:fill="auto"/>
            <w:vAlign w:val="center"/>
          </w:tcPr>
          <w:p w14:paraId="3EF23CA7"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r w:rsidR="00E40657" w14:paraId="4F3655A0" w14:textId="77777777" w:rsidTr="00732453">
        <w:trPr>
          <w:cantSplit/>
          <w:trHeight w:hRule="exact" w:val="336"/>
        </w:trPr>
        <w:tc>
          <w:tcPr>
            <w:tcW w:w="3444" w:type="dxa"/>
            <w:shd w:val="clear" w:color="auto" w:fill="auto"/>
            <w:vAlign w:val="center"/>
          </w:tcPr>
          <w:p w14:paraId="1AC2C9E1"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lastRenderedPageBreak/>
              <w:t>TZL</w:t>
            </w:r>
          </w:p>
        </w:tc>
        <w:tc>
          <w:tcPr>
            <w:tcW w:w="3442" w:type="dxa"/>
            <w:shd w:val="clear" w:color="auto" w:fill="auto"/>
            <w:vAlign w:val="center"/>
          </w:tcPr>
          <w:p w14:paraId="3DC77EE7"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HF</w:t>
            </w:r>
          </w:p>
        </w:tc>
        <w:tc>
          <w:tcPr>
            <w:tcW w:w="2503" w:type="dxa"/>
            <w:vMerge/>
            <w:shd w:val="clear" w:color="auto" w:fill="auto"/>
            <w:vAlign w:val="center"/>
          </w:tcPr>
          <w:p w14:paraId="295C264E"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r w:rsidR="00E40657" w14:paraId="1BF2ABC3" w14:textId="77777777" w:rsidTr="00732453">
        <w:trPr>
          <w:cantSplit/>
          <w:trHeight w:hRule="exact" w:val="336"/>
        </w:trPr>
        <w:tc>
          <w:tcPr>
            <w:tcW w:w="3444" w:type="dxa"/>
            <w:shd w:val="clear" w:color="auto" w:fill="auto"/>
            <w:vAlign w:val="center"/>
          </w:tcPr>
          <w:p w14:paraId="727FCC6A"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3442" w:type="dxa"/>
            <w:shd w:val="clear" w:color="auto" w:fill="auto"/>
            <w:vAlign w:val="center"/>
          </w:tcPr>
          <w:p w14:paraId="2BD1F0ED"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0,5</w:t>
            </w:r>
          </w:p>
        </w:tc>
        <w:tc>
          <w:tcPr>
            <w:tcW w:w="2503" w:type="dxa"/>
            <w:vMerge/>
            <w:shd w:val="clear" w:color="auto" w:fill="auto"/>
            <w:vAlign w:val="center"/>
          </w:tcPr>
          <w:p w14:paraId="301475A9"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bl>
    <w:p w14:paraId="47B429BC" w14:textId="77777777" w:rsidR="008F52C8" w:rsidRPr="0030358C" w:rsidRDefault="008F52C8" w:rsidP="008F52C8">
      <w:pPr>
        <w:rPr>
          <w:rFonts w:ascii="Arial" w:hAnsi="Arial" w:cs="Arial"/>
          <w:b/>
          <w:i/>
          <w:strike/>
          <w:sz w:val="22"/>
          <w:szCs w:val="22"/>
          <w:lang w:eastAsia="zh-CN"/>
        </w:rPr>
      </w:pPr>
    </w:p>
    <w:p w14:paraId="65B1FF97" w14:textId="77777777" w:rsidR="008F52C8" w:rsidRPr="0030358C" w:rsidRDefault="008F52C8" w:rsidP="008F52C8">
      <w:pPr>
        <w:rPr>
          <w:rFonts w:ascii="Arial" w:hAnsi="Arial" w:cs="Arial"/>
          <w:b/>
          <w:strike/>
          <w:sz w:val="22"/>
          <w:szCs w:val="22"/>
          <w:lang w:eastAsia="zh-CN"/>
        </w:rPr>
      </w:pPr>
    </w:p>
    <w:p w14:paraId="78A72C14"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 xml:space="preserve">3.7.4. Tavení a odlévání neželezných kovů a jejich slitin o celkové projektované kapacitě větší než 50 kg za den </w:t>
      </w:r>
      <w:r w:rsidRPr="0030358C">
        <w:rPr>
          <w:rFonts w:ascii="Arial" w:hAnsi="Arial" w:cs="Arial"/>
          <w:bCs/>
          <w:strike/>
          <w:sz w:val="22"/>
          <w:szCs w:val="22"/>
          <w:lang w:eastAsia="zh-CN"/>
        </w:rPr>
        <w:t>(kód 4.10. dle přílohy č. 2 zákona)</w:t>
      </w:r>
    </w:p>
    <w:p w14:paraId="4052EE81" w14:textId="77777777" w:rsidR="008F52C8" w:rsidRPr="0030358C" w:rsidRDefault="008F52C8" w:rsidP="008F52C8">
      <w:pPr>
        <w:rPr>
          <w:rFonts w:ascii="Arial" w:hAnsi="Arial" w:cs="Arial"/>
          <w:b/>
          <w:strike/>
          <w:sz w:val="22"/>
          <w:szCs w:val="22"/>
          <w:lang w:eastAsia="zh-CN"/>
        </w:rPr>
      </w:pPr>
    </w:p>
    <w:p w14:paraId="4894B2CA"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0B9BC6C1"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Při roztavování hliníku se nesmí používat organické sloučeniny obsahující chlor.</w:t>
      </w:r>
    </w:p>
    <w:p w14:paraId="722485A5" w14:textId="77777777" w:rsidR="008F52C8" w:rsidRPr="0030358C" w:rsidRDefault="008F52C8" w:rsidP="008F52C8">
      <w:pPr>
        <w:rPr>
          <w:rFonts w:ascii="Arial" w:hAnsi="Arial" w:cs="Arial"/>
          <w:b/>
          <w:strike/>
          <w:sz w:val="22"/>
          <w:szCs w:val="22"/>
          <w:lang w:eastAsia="zh-CN"/>
        </w:rPr>
      </w:pPr>
    </w:p>
    <w:tbl>
      <w:tblPr>
        <w:tblW w:w="0" w:type="auto"/>
        <w:tblInd w:w="-6" w:type="dxa"/>
        <w:tblLayout w:type="fixed"/>
        <w:tblCellMar>
          <w:left w:w="10" w:type="dxa"/>
          <w:right w:w="10" w:type="dxa"/>
        </w:tblCellMar>
        <w:tblLook w:val="0000" w:firstRow="0" w:lastRow="0" w:firstColumn="0" w:lastColumn="0" w:noHBand="0" w:noVBand="0"/>
      </w:tblPr>
      <w:tblGrid>
        <w:gridCol w:w="2280"/>
        <w:gridCol w:w="2268"/>
        <w:gridCol w:w="2268"/>
        <w:gridCol w:w="2573"/>
      </w:tblGrid>
      <w:tr w:rsidR="00E40657" w14:paraId="095DC222" w14:textId="77777777" w:rsidTr="00732453">
        <w:trPr>
          <w:cantSplit/>
          <w:trHeight w:hRule="exact" w:val="341"/>
        </w:trPr>
        <w:tc>
          <w:tcPr>
            <w:tcW w:w="6816" w:type="dxa"/>
            <w:gridSpan w:val="3"/>
            <w:tcBorders>
              <w:top w:val="single" w:sz="2" w:space="0" w:color="000000"/>
              <w:left w:val="single" w:sz="2" w:space="0" w:color="000000"/>
              <w:bottom w:val="single" w:sz="2" w:space="0" w:color="000000"/>
            </w:tcBorders>
            <w:shd w:val="clear" w:color="auto" w:fill="auto"/>
            <w:vAlign w:val="center"/>
          </w:tcPr>
          <w:p w14:paraId="7E27F93B"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w:t>
            </w:r>
            <w:r w:rsidRPr="0030358C">
              <w:rPr>
                <w:rFonts w:ascii="Arial" w:hAnsi="Arial" w:cs="Arial"/>
                <w:b/>
                <w:strike/>
                <w:sz w:val="22"/>
                <w:szCs w:val="22"/>
                <w:vertAlign w:val="superscript"/>
                <w:lang w:eastAsia="zh-CN"/>
              </w:rPr>
              <w:t xml:space="preserve">1) </w:t>
            </w:r>
            <w:r w:rsidRPr="0030358C">
              <w:rPr>
                <w:rFonts w:ascii="Arial" w:hAnsi="Arial" w:cs="Arial"/>
                <w:b/>
                <w:strike/>
                <w:sz w:val="22"/>
                <w:szCs w:val="22"/>
                <w:lang w:eastAsia="zh-CN"/>
              </w:rPr>
              <w:t>[mg/m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57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E915B05"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3133BE9E" w14:textId="77777777" w:rsidTr="00732453">
        <w:trPr>
          <w:cantSplit/>
          <w:trHeight w:hRule="exact" w:val="543"/>
        </w:trPr>
        <w:tc>
          <w:tcPr>
            <w:tcW w:w="2280" w:type="dxa"/>
            <w:tcBorders>
              <w:top w:val="single" w:sz="2" w:space="0" w:color="000000"/>
              <w:left w:val="single" w:sz="2" w:space="0" w:color="000000"/>
              <w:bottom w:val="single" w:sz="2" w:space="0" w:color="000000"/>
            </w:tcBorders>
            <w:shd w:val="clear" w:color="auto" w:fill="auto"/>
            <w:vAlign w:val="center"/>
          </w:tcPr>
          <w:p w14:paraId="6CED5ABB"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2268" w:type="dxa"/>
            <w:tcBorders>
              <w:top w:val="single" w:sz="2" w:space="0" w:color="000000"/>
              <w:left w:val="single" w:sz="2" w:space="0" w:color="000000"/>
              <w:bottom w:val="single" w:sz="2" w:space="0" w:color="000000"/>
            </w:tcBorders>
            <w:shd w:val="clear" w:color="auto" w:fill="auto"/>
            <w:vAlign w:val="center"/>
          </w:tcPr>
          <w:p w14:paraId="68BEA39A"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strike/>
                <w:sz w:val="22"/>
                <w:szCs w:val="22"/>
                <w:vertAlign w:val="subscript"/>
                <w:lang w:eastAsia="zh-CN"/>
              </w:rPr>
              <w:t>x</w:t>
            </w:r>
          </w:p>
        </w:tc>
        <w:tc>
          <w:tcPr>
            <w:tcW w:w="2268" w:type="dxa"/>
            <w:tcBorders>
              <w:top w:val="single" w:sz="2" w:space="0" w:color="000000"/>
              <w:left w:val="single" w:sz="2" w:space="0" w:color="000000"/>
              <w:bottom w:val="single" w:sz="2" w:space="0" w:color="000000"/>
            </w:tcBorders>
            <w:shd w:val="clear" w:color="auto" w:fill="auto"/>
            <w:vAlign w:val="center"/>
          </w:tcPr>
          <w:p w14:paraId="74974BE5"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Zn</w:t>
            </w:r>
          </w:p>
        </w:tc>
        <w:tc>
          <w:tcPr>
            <w:tcW w:w="2573" w:type="dxa"/>
            <w:vMerge/>
            <w:tcBorders>
              <w:top w:val="single" w:sz="2" w:space="0" w:color="000000"/>
              <w:left w:val="single" w:sz="2" w:space="0" w:color="000000"/>
              <w:bottom w:val="single" w:sz="2" w:space="0" w:color="000000"/>
              <w:right w:val="single" w:sz="2" w:space="0" w:color="000000"/>
            </w:tcBorders>
            <w:shd w:val="clear" w:color="auto" w:fill="auto"/>
          </w:tcPr>
          <w:p w14:paraId="6B47812E" w14:textId="77777777" w:rsidR="008F52C8" w:rsidRPr="0030358C" w:rsidRDefault="008F52C8" w:rsidP="00732453">
            <w:pPr>
              <w:widowControl w:val="0"/>
              <w:autoSpaceDE w:val="0"/>
              <w:snapToGrid w:val="0"/>
              <w:jc w:val="both"/>
              <w:rPr>
                <w:rFonts w:ascii="Arial" w:hAnsi="Arial" w:cs="Arial"/>
                <w:b/>
                <w:bCs/>
                <w:strike/>
                <w:sz w:val="22"/>
                <w:szCs w:val="22"/>
                <w:lang w:eastAsia="zh-CN"/>
              </w:rPr>
            </w:pPr>
          </w:p>
        </w:tc>
      </w:tr>
      <w:tr w:rsidR="00E40657" w14:paraId="38CA89FF" w14:textId="77777777" w:rsidTr="00732453">
        <w:trPr>
          <w:cantSplit/>
          <w:trHeight w:hRule="exact" w:val="630"/>
        </w:trPr>
        <w:tc>
          <w:tcPr>
            <w:tcW w:w="2280" w:type="dxa"/>
            <w:tcBorders>
              <w:top w:val="single" w:sz="2" w:space="0" w:color="000000"/>
              <w:left w:val="single" w:sz="2" w:space="0" w:color="000000"/>
              <w:bottom w:val="single" w:sz="2" w:space="0" w:color="000000"/>
            </w:tcBorders>
            <w:shd w:val="clear" w:color="auto" w:fill="auto"/>
            <w:vAlign w:val="center"/>
          </w:tcPr>
          <w:p w14:paraId="29248572" w14:textId="77777777" w:rsidR="008F52C8" w:rsidRPr="0030358C" w:rsidRDefault="00000000" w:rsidP="00732453">
            <w:pPr>
              <w:widowControl w:val="0"/>
              <w:autoSpaceDE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2268" w:type="dxa"/>
            <w:tcBorders>
              <w:top w:val="single" w:sz="2" w:space="0" w:color="000000"/>
              <w:left w:val="single" w:sz="2" w:space="0" w:color="000000"/>
              <w:bottom w:val="single" w:sz="2" w:space="0" w:color="000000"/>
            </w:tcBorders>
            <w:shd w:val="clear" w:color="auto" w:fill="auto"/>
            <w:vAlign w:val="center"/>
          </w:tcPr>
          <w:p w14:paraId="79203C47"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r w:rsidRPr="0030358C">
              <w:rPr>
                <w:rFonts w:ascii="Arial" w:hAnsi="Arial" w:cs="Arial"/>
                <w:bCs/>
                <w:strike/>
                <w:sz w:val="22"/>
                <w:szCs w:val="22"/>
                <w:vertAlign w:val="superscript"/>
                <w:lang w:eastAsia="zh-CN"/>
              </w:rPr>
              <w:t>2)</w:t>
            </w:r>
          </w:p>
        </w:tc>
        <w:tc>
          <w:tcPr>
            <w:tcW w:w="2268" w:type="dxa"/>
            <w:tcBorders>
              <w:top w:val="single" w:sz="2" w:space="0" w:color="000000"/>
              <w:left w:val="single" w:sz="2" w:space="0" w:color="000000"/>
              <w:bottom w:val="single" w:sz="2" w:space="0" w:color="000000"/>
            </w:tcBorders>
            <w:shd w:val="clear" w:color="auto" w:fill="auto"/>
            <w:vAlign w:val="center"/>
          </w:tcPr>
          <w:p w14:paraId="64B57623"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3)</w:t>
            </w:r>
          </w:p>
        </w:tc>
        <w:tc>
          <w:tcPr>
            <w:tcW w:w="2573" w:type="dxa"/>
            <w:tcBorders>
              <w:top w:val="single" w:sz="2" w:space="0" w:color="000000"/>
              <w:left w:val="single" w:sz="2" w:space="0" w:color="000000"/>
              <w:bottom w:val="single" w:sz="4" w:space="0" w:color="000000"/>
              <w:right w:val="single" w:sz="2" w:space="0" w:color="000000"/>
            </w:tcBorders>
            <w:shd w:val="clear" w:color="auto" w:fill="auto"/>
            <w:vAlign w:val="center"/>
          </w:tcPr>
          <w:p w14:paraId="208210C8"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4D1CBE19"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62B5A357"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iCs/>
          <w:strike/>
          <w:sz w:val="22"/>
          <w:szCs w:val="22"/>
          <w:lang w:eastAsia="zh-CN"/>
        </w:rPr>
        <w:t>1) Emisní limity platí pouze pro tavení a odlévání o celkové projektované kapacitě 200 kg slitiny/den a vyšší.</w:t>
      </w:r>
    </w:p>
    <w:p w14:paraId="6D482DC6"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iCs/>
          <w:strike/>
          <w:sz w:val="22"/>
          <w:szCs w:val="22"/>
          <w:lang w:eastAsia="zh-CN"/>
        </w:rPr>
        <w:t>2) Neplatí pro tavení a odlévání s elektrickým otopem.</w:t>
      </w:r>
    </w:p>
    <w:p w14:paraId="0510F7B9"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iCs/>
          <w:strike/>
          <w:sz w:val="22"/>
          <w:szCs w:val="22"/>
          <w:lang w:eastAsia="zh-CN"/>
        </w:rPr>
        <w:t>3) Platí pro tavení a odlévání zinku a jeho slitin.</w:t>
      </w:r>
    </w:p>
    <w:p w14:paraId="76FC322B" w14:textId="77777777" w:rsidR="008F52C8" w:rsidRPr="0030358C" w:rsidRDefault="008F52C8" w:rsidP="008F52C8">
      <w:pPr>
        <w:rPr>
          <w:rFonts w:ascii="Arial" w:hAnsi="Arial" w:cs="Arial"/>
          <w:b/>
          <w:strike/>
          <w:sz w:val="22"/>
          <w:szCs w:val="22"/>
          <w:lang w:eastAsia="zh-CN"/>
        </w:rPr>
      </w:pPr>
    </w:p>
    <w:p w14:paraId="441DA424" w14:textId="77777777" w:rsidR="008F52C8" w:rsidRPr="0030358C" w:rsidRDefault="00000000" w:rsidP="008F52C8">
      <w:pPr>
        <w:widowControl w:val="0"/>
        <w:autoSpaceDE w:val="0"/>
        <w:spacing w:before="60" w:line="300" w:lineRule="exact"/>
        <w:jc w:val="both"/>
        <w:rPr>
          <w:rFonts w:ascii="Arial" w:hAnsi="Arial" w:cs="Arial"/>
          <w:b/>
          <w:bCs/>
          <w:strike/>
          <w:sz w:val="22"/>
          <w:szCs w:val="22"/>
          <w:lang w:eastAsia="zh-CN"/>
        </w:rPr>
      </w:pPr>
      <w:r w:rsidRPr="0030358C">
        <w:rPr>
          <w:rFonts w:ascii="Arial" w:hAnsi="Arial" w:cs="Arial"/>
          <w:b/>
          <w:bCs/>
          <w:strike/>
          <w:sz w:val="22"/>
          <w:szCs w:val="22"/>
          <w:lang w:eastAsia="zh-CN"/>
        </w:rPr>
        <w:t>3.8. Povrchová úprava kovů a plastů a jiných nekovových předmětů</w:t>
      </w:r>
    </w:p>
    <w:p w14:paraId="402ED11F" w14:textId="77777777" w:rsidR="008F52C8" w:rsidRPr="0030358C" w:rsidRDefault="008F52C8" w:rsidP="008F52C8">
      <w:pPr>
        <w:widowControl w:val="0"/>
        <w:autoSpaceDE w:val="0"/>
        <w:spacing w:before="60" w:line="300" w:lineRule="exact"/>
        <w:jc w:val="both"/>
        <w:rPr>
          <w:rFonts w:ascii="Arial" w:hAnsi="Arial" w:cs="Arial"/>
          <w:b/>
          <w:strike/>
          <w:sz w:val="22"/>
          <w:szCs w:val="22"/>
          <w:lang w:eastAsia="zh-CN"/>
        </w:rPr>
      </w:pPr>
    </w:p>
    <w:p w14:paraId="5F195625"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
          <w:strike/>
          <w:sz w:val="22"/>
          <w:szCs w:val="22"/>
          <w:lang w:eastAsia="zh-CN"/>
        </w:rPr>
        <w:t>3.8.1. Povrchová úpravu kovů a plastů a jiných nekovových předmětů s celkovou projektovanou kapacitou objemu lázně do 30 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 xml:space="preserve"> včetně (vyjma oplachu), procesy bez použití lázní </w:t>
      </w:r>
      <w:r w:rsidRPr="0030358C">
        <w:rPr>
          <w:rFonts w:ascii="Arial" w:hAnsi="Arial" w:cs="Arial"/>
          <w:bCs/>
          <w:strike/>
          <w:sz w:val="22"/>
          <w:szCs w:val="22"/>
          <w:lang w:eastAsia="zh-CN"/>
        </w:rPr>
        <w:t>(kód 4.12. dle přílohy č. 2 zákona)</w:t>
      </w:r>
    </w:p>
    <w:p w14:paraId="6A0AB902" w14:textId="77777777" w:rsidR="008F52C8" w:rsidRPr="0030358C" w:rsidRDefault="00000000" w:rsidP="008F52C8">
      <w:pPr>
        <w:widowControl w:val="0"/>
        <w:autoSpaceDE w:val="0"/>
        <w:spacing w:before="60" w:line="300" w:lineRule="exact"/>
        <w:jc w:val="both"/>
        <w:rPr>
          <w:rFonts w:ascii="Arial" w:hAnsi="Arial" w:cs="Arial"/>
          <w:b/>
          <w:strike/>
          <w:sz w:val="22"/>
          <w:szCs w:val="22"/>
          <w:lang w:eastAsia="zh-CN"/>
        </w:rPr>
      </w:pPr>
      <w:r w:rsidRPr="0030358C">
        <w:rPr>
          <w:rFonts w:ascii="Arial" w:hAnsi="Arial" w:cs="Arial"/>
          <w:b/>
          <w:strike/>
          <w:sz w:val="22"/>
          <w:szCs w:val="22"/>
          <w:lang w:eastAsia="zh-CN"/>
        </w:rPr>
        <w:t>Platí pro pokovování i nekovových předmětů, ale nevztahuje se na nanášení nátěrových hmot. Platí pro procesy moření, galvanické pokovování, fosfatizace, fosfátování a leštění s použitím elektrolytických nebo chemických postupů a dále smaltování, tryskání, metalizaci a související operace.</w:t>
      </w:r>
    </w:p>
    <w:tbl>
      <w:tblPr>
        <w:tblW w:w="0" w:type="auto"/>
        <w:tblInd w:w="-6" w:type="dxa"/>
        <w:tblLayout w:type="fixed"/>
        <w:tblCellMar>
          <w:left w:w="10" w:type="dxa"/>
          <w:right w:w="10" w:type="dxa"/>
        </w:tblCellMar>
        <w:tblLook w:val="0000" w:firstRow="0" w:lastRow="0" w:firstColumn="0" w:lastColumn="0" w:noHBand="0" w:noVBand="0"/>
      </w:tblPr>
      <w:tblGrid>
        <w:gridCol w:w="2296"/>
        <w:gridCol w:w="2105"/>
        <w:gridCol w:w="2105"/>
        <w:gridCol w:w="2883"/>
      </w:tblGrid>
      <w:tr w:rsidR="00E40657" w14:paraId="68BD86CE" w14:textId="77777777" w:rsidTr="00732453">
        <w:trPr>
          <w:cantSplit/>
          <w:trHeight w:hRule="exact" w:val="479"/>
        </w:trPr>
        <w:tc>
          <w:tcPr>
            <w:tcW w:w="6506" w:type="dxa"/>
            <w:gridSpan w:val="3"/>
            <w:tcBorders>
              <w:top w:val="single" w:sz="2" w:space="0" w:color="000000"/>
              <w:left w:val="single" w:sz="2" w:space="0" w:color="000000"/>
              <w:bottom w:val="single" w:sz="2" w:space="0" w:color="000000"/>
            </w:tcBorders>
            <w:shd w:val="clear" w:color="auto" w:fill="auto"/>
            <w:vAlign w:val="center"/>
          </w:tcPr>
          <w:p w14:paraId="38686D53"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883" w:type="dxa"/>
            <w:vMerge w:val="restart"/>
            <w:tcBorders>
              <w:top w:val="single" w:sz="2" w:space="0" w:color="000000"/>
              <w:left w:val="single" w:sz="2" w:space="0" w:color="000000"/>
              <w:right w:val="single" w:sz="2" w:space="0" w:color="000000"/>
            </w:tcBorders>
            <w:shd w:val="clear" w:color="auto" w:fill="auto"/>
            <w:vAlign w:val="center"/>
          </w:tcPr>
          <w:p w14:paraId="1936DCB3"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2DC48614" w14:textId="77777777" w:rsidTr="00732453">
        <w:trPr>
          <w:cantSplit/>
          <w:trHeight w:hRule="exact" w:val="331"/>
        </w:trPr>
        <w:tc>
          <w:tcPr>
            <w:tcW w:w="2296" w:type="dxa"/>
            <w:tcBorders>
              <w:top w:val="single" w:sz="2" w:space="0" w:color="000000"/>
              <w:left w:val="single" w:sz="2" w:space="0" w:color="000000"/>
              <w:bottom w:val="single" w:sz="2" w:space="0" w:color="000000"/>
            </w:tcBorders>
            <w:shd w:val="clear" w:color="auto" w:fill="auto"/>
            <w:vAlign w:val="center"/>
          </w:tcPr>
          <w:p w14:paraId="49E98D7D"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2105" w:type="dxa"/>
            <w:tcBorders>
              <w:top w:val="single" w:sz="2" w:space="0" w:color="000000"/>
              <w:left w:val="single" w:sz="2" w:space="0" w:color="000000"/>
              <w:bottom w:val="single" w:sz="2" w:space="0" w:color="000000"/>
            </w:tcBorders>
            <w:shd w:val="clear" w:color="auto" w:fill="auto"/>
            <w:vAlign w:val="center"/>
          </w:tcPr>
          <w:p w14:paraId="1FE5C988" w14:textId="77777777" w:rsidR="008F52C8" w:rsidRPr="0030358C" w:rsidRDefault="00000000" w:rsidP="00732453">
            <w:pPr>
              <w:widowControl w:val="0"/>
              <w:autoSpaceDE w:val="0"/>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r w:rsidRPr="0030358C">
              <w:rPr>
                <w:rFonts w:ascii="Arial" w:hAnsi="Arial" w:cs="Arial"/>
                <w:b/>
                <w:strike/>
                <w:sz w:val="22"/>
                <w:szCs w:val="22"/>
                <w:vertAlign w:val="superscript"/>
                <w:lang w:eastAsia="zh-CN"/>
              </w:rPr>
              <w:t>1)</w:t>
            </w:r>
          </w:p>
        </w:tc>
        <w:tc>
          <w:tcPr>
            <w:tcW w:w="2105" w:type="dxa"/>
            <w:tcBorders>
              <w:top w:val="single" w:sz="2" w:space="0" w:color="000000"/>
              <w:left w:val="single" w:sz="2" w:space="0" w:color="000000"/>
              <w:bottom w:val="single" w:sz="2" w:space="0" w:color="000000"/>
            </w:tcBorders>
            <w:shd w:val="clear" w:color="auto" w:fill="auto"/>
            <w:vAlign w:val="center"/>
          </w:tcPr>
          <w:p w14:paraId="4D712712" w14:textId="77777777" w:rsidR="008F52C8" w:rsidRPr="0030358C" w:rsidRDefault="00000000" w:rsidP="00732453">
            <w:pPr>
              <w:widowControl w:val="0"/>
              <w:autoSpaceDE w:val="0"/>
              <w:snapToGrid w:val="0"/>
              <w:jc w:val="center"/>
              <w:rPr>
                <w:rFonts w:ascii="Arial" w:hAnsi="Arial" w:cs="Arial"/>
                <w:b/>
                <w:bCs/>
                <w:strike/>
                <w:sz w:val="22"/>
                <w:szCs w:val="22"/>
                <w:vertAlign w:val="superscript"/>
                <w:lang w:eastAsia="zh-CN"/>
              </w:rPr>
            </w:pPr>
            <w:r w:rsidRPr="0030358C">
              <w:rPr>
                <w:rFonts w:ascii="Arial" w:hAnsi="Arial" w:cs="Arial"/>
                <w:b/>
                <w:bCs/>
                <w:strike/>
                <w:sz w:val="22"/>
                <w:szCs w:val="22"/>
                <w:lang w:eastAsia="zh-CN"/>
              </w:rPr>
              <w:t>HCl</w:t>
            </w:r>
            <w:r w:rsidRPr="0030358C">
              <w:rPr>
                <w:rFonts w:ascii="Arial" w:hAnsi="Arial" w:cs="Arial"/>
                <w:b/>
                <w:bCs/>
                <w:strike/>
                <w:sz w:val="22"/>
                <w:szCs w:val="22"/>
                <w:vertAlign w:val="superscript"/>
                <w:lang w:eastAsia="zh-CN"/>
              </w:rPr>
              <w:t>1)</w:t>
            </w:r>
          </w:p>
        </w:tc>
        <w:tc>
          <w:tcPr>
            <w:tcW w:w="2883" w:type="dxa"/>
            <w:vMerge/>
            <w:tcBorders>
              <w:left w:val="single" w:sz="2" w:space="0" w:color="000000"/>
              <w:bottom w:val="single" w:sz="2" w:space="0" w:color="000000"/>
              <w:right w:val="single" w:sz="2" w:space="0" w:color="000000"/>
            </w:tcBorders>
            <w:shd w:val="clear" w:color="auto" w:fill="auto"/>
          </w:tcPr>
          <w:p w14:paraId="08F4AE04" w14:textId="77777777" w:rsidR="008F52C8" w:rsidRPr="0030358C" w:rsidRDefault="008F52C8" w:rsidP="00732453">
            <w:pPr>
              <w:widowControl w:val="0"/>
              <w:autoSpaceDE w:val="0"/>
              <w:snapToGrid w:val="0"/>
              <w:jc w:val="both"/>
              <w:rPr>
                <w:rFonts w:ascii="Arial" w:hAnsi="Arial" w:cs="Arial"/>
                <w:b/>
                <w:bCs/>
                <w:strike/>
                <w:sz w:val="22"/>
                <w:szCs w:val="22"/>
                <w:lang w:eastAsia="zh-CN"/>
              </w:rPr>
            </w:pPr>
          </w:p>
        </w:tc>
      </w:tr>
      <w:tr w:rsidR="00E40657" w14:paraId="58FAED69" w14:textId="77777777" w:rsidTr="00732453">
        <w:trPr>
          <w:cantSplit/>
          <w:trHeight w:hRule="exact" w:val="377"/>
        </w:trPr>
        <w:tc>
          <w:tcPr>
            <w:tcW w:w="2296" w:type="dxa"/>
            <w:tcBorders>
              <w:top w:val="single" w:sz="2" w:space="0" w:color="000000"/>
              <w:left w:val="single" w:sz="2" w:space="0" w:color="000000"/>
              <w:bottom w:val="single" w:sz="4" w:space="0" w:color="000000"/>
            </w:tcBorders>
            <w:shd w:val="clear" w:color="auto" w:fill="auto"/>
            <w:vAlign w:val="center"/>
          </w:tcPr>
          <w:p w14:paraId="675870B3"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2)</w:t>
            </w:r>
          </w:p>
        </w:tc>
        <w:tc>
          <w:tcPr>
            <w:tcW w:w="2105" w:type="dxa"/>
            <w:tcBorders>
              <w:top w:val="single" w:sz="2" w:space="0" w:color="000000"/>
              <w:left w:val="single" w:sz="2" w:space="0" w:color="000000"/>
              <w:bottom w:val="single" w:sz="4" w:space="0" w:color="000000"/>
            </w:tcBorders>
            <w:shd w:val="clear" w:color="auto" w:fill="auto"/>
            <w:vAlign w:val="center"/>
          </w:tcPr>
          <w:p w14:paraId="46E86F26"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1500</w:t>
            </w:r>
            <w:r w:rsidRPr="0030358C">
              <w:rPr>
                <w:rFonts w:ascii="Arial" w:hAnsi="Arial" w:cs="Arial"/>
                <w:bCs/>
                <w:strike/>
                <w:sz w:val="22"/>
                <w:szCs w:val="22"/>
                <w:vertAlign w:val="superscript"/>
                <w:lang w:eastAsia="zh-CN"/>
              </w:rPr>
              <w:t>3)</w:t>
            </w:r>
          </w:p>
        </w:tc>
        <w:tc>
          <w:tcPr>
            <w:tcW w:w="2105" w:type="dxa"/>
            <w:tcBorders>
              <w:top w:val="single" w:sz="2" w:space="0" w:color="000000"/>
              <w:left w:val="single" w:sz="2" w:space="0" w:color="000000"/>
              <w:bottom w:val="single" w:sz="4" w:space="0" w:color="000000"/>
            </w:tcBorders>
            <w:shd w:val="clear" w:color="auto" w:fill="auto"/>
            <w:vAlign w:val="center"/>
          </w:tcPr>
          <w:p w14:paraId="5DFCE2C3"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4)</w:t>
            </w:r>
          </w:p>
        </w:tc>
        <w:tc>
          <w:tcPr>
            <w:tcW w:w="2883" w:type="dxa"/>
            <w:tcBorders>
              <w:top w:val="single" w:sz="2" w:space="0" w:color="000000"/>
              <w:left w:val="single" w:sz="2" w:space="0" w:color="000000"/>
              <w:bottom w:val="single" w:sz="4" w:space="0" w:color="000000"/>
              <w:right w:val="single" w:sz="2" w:space="0" w:color="000000"/>
            </w:tcBorders>
            <w:shd w:val="clear" w:color="auto" w:fill="auto"/>
            <w:vAlign w:val="center"/>
          </w:tcPr>
          <w:p w14:paraId="49944A80"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2D72B7FA" w14:textId="77777777" w:rsidR="008F52C8" w:rsidRPr="0030358C" w:rsidRDefault="00000000" w:rsidP="008F52C8">
      <w:pPr>
        <w:widowControl w:val="0"/>
        <w:tabs>
          <w:tab w:val="left" w:pos="284"/>
        </w:tabs>
        <w:autoSpaceDE w:val="0"/>
        <w:jc w:val="both"/>
        <w:rPr>
          <w:rFonts w:ascii="Arial" w:hAnsi="Arial" w:cs="Arial"/>
          <w:strike/>
          <w:sz w:val="22"/>
          <w:szCs w:val="22"/>
          <w:lang w:eastAsia="zh-CN"/>
        </w:rPr>
      </w:pPr>
      <w:r w:rsidRPr="0030358C">
        <w:rPr>
          <w:rFonts w:ascii="Arial" w:hAnsi="Arial" w:cs="Arial"/>
          <w:strike/>
          <w:sz w:val="22"/>
          <w:szCs w:val="22"/>
          <w:lang w:eastAsia="zh-CN"/>
        </w:rPr>
        <w:t>Vysvětlivky:</w:t>
      </w:r>
    </w:p>
    <w:p w14:paraId="2508BBB4" w14:textId="77777777" w:rsidR="008F52C8" w:rsidRPr="0030358C" w:rsidRDefault="00000000" w:rsidP="008F52C8">
      <w:pPr>
        <w:widowControl w:val="0"/>
        <w:numPr>
          <w:ilvl w:val="0"/>
          <w:numId w:val="109"/>
        </w:numPr>
        <w:tabs>
          <w:tab w:val="left" w:pos="284"/>
        </w:tabs>
        <w:suppressAutoHyphens/>
        <w:autoSpaceDE w:val="0"/>
        <w:ind w:left="284" w:hanging="284"/>
        <w:jc w:val="both"/>
        <w:rPr>
          <w:rFonts w:ascii="Arial" w:hAnsi="Arial" w:cs="Arial"/>
          <w:strike/>
          <w:sz w:val="22"/>
          <w:szCs w:val="22"/>
          <w:lang w:eastAsia="zh-CN"/>
        </w:rPr>
      </w:pPr>
      <w:r w:rsidRPr="0030358C">
        <w:rPr>
          <w:rFonts w:ascii="Arial" w:hAnsi="Arial" w:cs="Arial"/>
          <w:strike/>
          <w:sz w:val="22"/>
          <w:szCs w:val="22"/>
          <w:lang w:eastAsia="zh-CN"/>
        </w:rPr>
        <w:t>Emisní limity platné pro lázně s celkovou projektovanou kapacitou objemu lázně od 3 m</w:t>
      </w:r>
      <w:r w:rsidRPr="0030358C">
        <w:rPr>
          <w:rFonts w:ascii="Arial" w:hAnsi="Arial" w:cs="Arial"/>
          <w:strike/>
          <w:sz w:val="22"/>
          <w:szCs w:val="22"/>
          <w:vertAlign w:val="superscript"/>
          <w:lang w:eastAsia="zh-CN"/>
        </w:rPr>
        <w:t>3</w:t>
      </w:r>
      <w:r w:rsidRPr="0030358C">
        <w:rPr>
          <w:rFonts w:ascii="Arial" w:hAnsi="Arial" w:cs="Arial"/>
          <w:strike/>
          <w:sz w:val="22"/>
          <w:szCs w:val="22"/>
          <w:lang w:eastAsia="zh-CN"/>
        </w:rPr>
        <w:t xml:space="preserve"> do 30 m</w:t>
      </w:r>
      <w:r w:rsidRPr="0030358C">
        <w:rPr>
          <w:rFonts w:ascii="Arial" w:hAnsi="Arial" w:cs="Arial"/>
          <w:strike/>
          <w:sz w:val="22"/>
          <w:szCs w:val="22"/>
          <w:vertAlign w:val="superscript"/>
          <w:lang w:eastAsia="zh-CN"/>
        </w:rPr>
        <w:t>3</w:t>
      </w:r>
      <w:r w:rsidRPr="0030358C">
        <w:rPr>
          <w:rFonts w:ascii="Arial" w:hAnsi="Arial" w:cs="Arial"/>
          <w:strike/>
          <w:sz w:val="22"/>
          <w:szCs w:val="22"/>
          <w:lang w:eastAsia="zh-CN"/>
        </w:rPr>
        <w:t xml:space="preserve"> včetně, vyjma oplachu.</w:t>
      </w:r>
    </w:p>
    <w:p w14:paraId="5B159F9D" w14:textId="77777777" w:rsidR="008F52C8" w:rsidRPr="0030358C" w:rsidRDefault="00000000" w:rsidP="008F52C8">
      <w:pPr>
        <w:widowControl w:val="0"/>
        <w:numPr>
          <w:ilvl w:val="0"/>
          <w:numId w:val="109"/>
        </w:numPr>
        <w:tabs>
          <w:tab w:val="left" w:pos="284"/>
        </w:tabs>
        <w:suppressAutoHyphens/>
        <w:autoSpaceDE w:val="0"/>
        <w:ind w:left="142" w:hanging="142"/>
        <w:jc w:val="both"/>
        <w:rPr>
          <w:rFonts w:ascii="Arial" w:hAnsi="Arial" w:cs="Arial"/>
          <w:iCs/>
          <w:strike/>
          <w:sz w:val="22"/>
          <w:szCs w:val="22"/>
          <w:lang w:eastAsia="zh-CN"/>
        </w:rPr>
      </w:pPr>
      <w:r w:rsidRPr="0030358C">
        <w:rPr>
          <w:rFonts w:ascii="Arial" w:hAnsi="Arial" w:cs="Arial"/>
          <w:strike/>
          <w:sz w:val="22"/>
          <w:szCs w:val="22"/>
          <w:lang w:eastAsia="zh-CN"/>
        </w:rPr>
        <w:t xml:space="preserve">Neplatí pro </w:t>
      </w:r>
      <w:r w:rsidRPr="0030358C">
        <w:rPr>
          <w:rFonts w:ascii="Arial" w:hAnsi="Arial" w:cs="Arial"/>
          <w:iCs/>
          <w:strike/>
          <w:sz w:val="22"/>
          <w:szCs w:val="22"/>
          <w:lang w:eastAsia="zh-CN"/>
        </w:rPr>
        <w:t xml:space="preserve">procesy s použitím lázní a ve vodném prostředí. </w:t>
      </w:r>
    </w:p>
    <w:p w14:paraId="67991EDA" w14:textId="77777777" w:rsidR="008F52C8" w:rsidRPr="0030358C" w:rsidRDefault="00000000" w:rsidP="008F52C8">
      <w:pPr>
        <w:widowControl w:val="0"/>
        <w:numPr>
          <w:ilvl w:val="0"/>
          <w:numId w:val="109"/>
        </w:numPr>
        <w:tabs>
          <w:tab w:val="left" w:pos="284"/>
        </w:tabs>
        <w:suppressAutoHyphens/>
        <w:autoSpaceDE w:val="0"/>
        <w:ind w:left="142" w:hanging="142"/>
        <w:jc w:val="both"/>
        <w:rPr>
          <w:rFonts w:ascii="Arial" w:hAnsi="Arial" w:cs="Arial"/>
          <w:strike/>
          <w:sz w:val="22"/>
          <w:szCs w:val="22"/>
          <w:lang w:eastAsia="zh-CN"/>
        </w:rPr>
      </w:pPr>
      <w:r w:rsidRPr="0030358C">
        <w:rPr>
          <w:rFonts w:ascii="Arial" w:hAnsi="Arial" w:cs="Arial"/>
          <w:strike/>
          <w:sz w:val="22"/>
          <w:szCs w:val="22"/>
          <w:lang w:eastAsia="zh-CN"/>
        </w:rPr>
        <w:t>Platí při</w:t>
      </w:r>
      <w:r w:rsidRPr="0030358C">
        <w:rPr>
          <w:rFonts w:ascii="Arial" w:hAnsi="Arial" w:cs="Arial"/>
          <w:iCs/>
          <w:strike/>
          <w:sz w:val="22"/>
          <w:szCs w:val="22"/>
          <w:lang w:eastAsia="zh-CN"/>
        </w:rPr>
        <w:t xml:space="preserve"> použití kyseliny dusičné při kontinuálně pracují</w:t>
      </w:r>
      <w:r w:rsidRPr="0030358C">
        <w:rPr>
          <w:rFonts w:ascii="Arial" w:hAnsi="Arial" w:cs="Arial"/>
          <w:strike/>
          <w:sz w:val="22"/>
          <w:szCs w:val="22"/>
          <w:lang w:eastAsia="zh-CN"/>
        </w:rPr>
        <w:t>cím zařízení.</w:t>
      </w:r>
    </w:p>
    <w:p w14:paraId="784182B5" w14:textId="77777777" w:rsidR="008F52C8" w:rsidRPr="0030358C" w:rsidRDefault="00000000" w:rsidP="008F52C8">
      <w:pPr>
        <w:widowControl w:val="0"/>
        <w:tabs>
          <w:tab w:val="left" w:pos="284"/>
        </w:tabs>
        <w:autoSpaceDE w:val="0"/>
        <w:jc w:val="both"/>
        <w:rPr>
          <w:rFonts w:ascii="Arial" w:hAnsi="Arial" w:cs="Arial"/>
          <w:strike/>
          <w:sz w:val="22"/>
          <w:szCs w:val="22"/>
          <w:lang w:eastAsia="zh-CN"/>
        </w:rPr>
      </w:pPr>
      <w:r w:rsidRPr="0030358C">
        <w:rPr>
          <w:rFonts w:ascii="Arial" w:hAnsi="Arial" w:cs="Arial"/>
          <w:strike/>
          <w:sz w:val="22"/>
          <w:szCs w:val="22"/>
          <w:lang w:eastAsia="zh-CN"/>
        </w:rPr>
        <w:t>4)</w:t>
      </w:r>
      <w:r w:rsidRPr="0030358C">
        <w:rPr>
          <w:rFonts w:ascii="Arial" w:hAnsi="Arial" w:cs="Arial"/>
          <w:strike/>
          <w:sz w:val="22"/>
          <w:szCs w:val="22"/>
          <w:lang w:eastAsia="zh-CN"/>
        </w:rPr>
        <w:tab/>
        <w:t>Platí při použití HCl u povrchových úprav.</w:t>
      </w:r>
    </w:p>
    <w:p w14:paraId="04406114" w14:textId="77777777" w:rsidR="008F52C8" w:rsidRPr="0030358C" w:rsidRDefault="008F52C8" w:rsidP="008F52C8">
      <w:pPr>
        <w:widowControl w:val="0"/>
        <w:tabs>
          <w:tab w:val="left" w:pos="284"/>
        </w:tabs>
        <w:autoSpaceDE w:val="0"/>
        <w:spacing w:before="60" w:line="300" w:lineRule="exact"/>
        <w:jc w:val="both"/>
        <w:rPr>
          <w:rFonts w:ascii="Arial" w:hAnsi="Arial" w:cs="Arial"/>
          <w:b/>
          <w:i/>
          <w:strike/>
          <w:sz w:val="22"/>
          <w:szCs w:val="22"/>
          <w:lang w:eastAsia="zh-CN"/>
        </w:rPr>
      </w:pPr>
    </w:p>
    <w:p w14:paraId="34D8F18A" w14:textId="77777777" w:rsidR="008F52C8" w:rsidRPr="0030358C" w:rsidRDefault="00000000" w:rsidP="008F52C8">
      <w:pPr>
        <w:widowControl w:val="0"/>
        <w:tabs>
          <w:tab w:val="left" w:pos="284"/>
        </w:tabs>
        <w:autoSpaceDE w:val="0"/>
        <w:spacing w:before="60" w:line="300" w:lineRule="exact"/>
        <w:jc w:val="both"/>
        <w:rPr>
          <w:rFonts w:ascii="Arial" w:hAnsi="Arial" w:cs="Arial"/>
          <w:b/>
          <w:strike/>
          <w:sz w:val="22"/>
          <w:szCs w:val="22"/>
          <w:lang w:eastAsia="zh-CN"/>
        </w:rPr>
      </w:pPr>
      <w:r w:rsidRPr="0030358C">
        <w:rPr>
          <w:rFonts w:ascii="Arial" w:hAnsi="Arial" w:cs="Arial"/>
          <w:b/>
          <w:strike/>
          <w:sz w:val="22"/>
          <w:szCs w:val="22"/>
          <w:lang w:eastAsia="zh-CN"/>
        </w:rPr>
        <w:t>Technická podmínka provozu platná pro povrchovou úpravu tryskáním:</w:t>
      </w:r>
    </w:p>
    <w:p w14:paraId="01B71A98" w14:textId="77777777" w:rsidR="008F52C8" w:rsidRPr="0030358C" w:rsidRDefault="00000000" w:rsidP="008F52C8">
      <w:pPr>
        <w:widowControl w:val="0"/>
        <w:tabs>
          <w:tab w:val="left" w:pos="284"/>
        </w:tabs>
        <w:autoSpaceDE w:val="0"/>
        <w:spacing w:before="60" w:line="300" w:lineRule="exact"/>
        <w:jc w:val="both"/>
        <w:rPr>
          <w:rFonts w:ascii="Arial" w:hAnsi="Arial" w:cs="Arial"/>
          <w:b/>
          <w:strike/>
          <w:sz w:val="22"/>
          <w:szCs w:val="22"/>
          <w:lang w:eastAsia="zh-CN"/>
        </w:rPr>
      </w:pPr>
      <w:r w:rsidRPr="0030358C">
        <w:rPr>
          <w:rFonts w:ascii="Arial" w:hAnsi="Arial" w:cs="Arial"/>
          <w:b/>
          <w:strike/>
          <w:sz w:val="22"/>
          <w:szCs w:val="22"/>
          <w:lang w:eastAsia="zh-CN"/>
        </w:rPr>
        <w:t>Prostor tryskání je zajištěn proti emisím tuhých znečišťujících látek, např. těsněním, pod tlakem.</w:t>
      </w:r>
    </w:p>
    <w:p w14:paraId="6883FC6D" w14:textId="77777777" w:rsidR="008F52C8" w:rsidRPr="0030358C" w:rsidRDefault="008F52C8" w:rsidP="008F52C8">
      <w:pPr>
        <w:rPr>
          <w:rFonts w:ascii="Arial" w:hAnsi="Arial" w:cs="Arial"/>
          <w:b/>
          <w:strike/>
          <w:sz w:val="22"/>
          <w:szCs w:val="22"/>
          <w:lang w:eastAsia="zh-CN"/>
        </w:rPr>
      </w:pPr>
    </w:p>
    <w:p w14:paraId="2A77DF2E"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3.8.2. Povrchová úpravu kovů a plastů a jiných nekovových předmětů s celkovou projektovanou kapacitou objemu lázně nad 30 m</w:t>
      </w:r>
      <w:r w:rsidRPr="0030358C">
        <w:rPr>
          <w:rFonts w:ascii="Arial" w:hAnsi="Arial" w:cs="Arial"/>
          <w:b/>
          <w:strike/>
          <w:sz w:val="22"/>
          <w:szCs w:val="22"/>
          <w:vertAlign w:val="superscript"/>
          <w:lang w:eastAsia="zh-CN"/>
        </w:rPr>
        <w:t xml:space="preserve">3 </w:t>
      </w:r>
      <w:r w:rsidRPr="0030358C">
        <w:rPr>
          <w:rFonts w:ascii="Arial" w:hAnsi="Arial" w:cs="Arial"/>
          <w:b/>
          <w:strike/>
          <w:sz w:val="22"/>
          <w:szCs w:val="22"/>
          <w:lang w:eastAsia="zh-CN"/>
        </w:rPr>
        <w:t xml:space="preserve">(vyjma oplachu) </w:t>
      </w:r>
      <w:r w:rsidRPr="0030358C">
        <w:rPr>
          <w:rFonts w:ascii="Arial" w:hAnsi="Arial" w:cs="Arial"/>
          <w:bCs/>
          <w:strike/>
          <w:sz w:val="22"/>
          <w:szCs w:val="22"/>
          <w:lang w:eastAsia="zh-CN"/>
        </w:rPr>
        <w:t>(kód 4.12. dle přílohy č. 2 zákona)</w:t>
      </w:r>
    </w:p>
    <w:tbl>
      <w:tblPr>
        <w:tblW w:w="9389" w:type="dxa"/>
        <w:tblInd w:w="-6" w:type="dxa"/>
        <w:tblLayout w:type="fixed"/>
        <w:tblCellMar>
          <w:left w:w="10" w:type="dxa"/>
          <w:right w:w="10" w:type="dxa"/>
        </w:tblCellMar>
        <w:tblLook w:val="0000" w:firstRow="0" w:lastRow="0" w:firstColumn="0" w:lastColumn="0" w:noHBand="0" w:noVBand="0"/>
      </w:tblPr>
      <w:tblGrid>
        <w:gridCol w:w="1292"/>
        <w:gridCol w:w="1276"/>
        <w:gridCol w:w="1134"/>
        <w:gridCol w:w="1276"/>
        <w:gridCol w:w="1546"/>
        <w:gridCol w:w="2865"/>
      </w:tblGrid>
      <w:tr w:rsidR="00E40657" w14:paraId="55E5D1F1" w14:textId="77777777" w:rsidTr="00732453">
        <w:trPr>
          <w:cantSplit/>
          <w:trHeight w:hRule="exact" w:val="341"/>
        </w:trPr>
        <w:tc>
          <w:tcPr>
            <w:tcW w:w="6524" w:type="dxa"/>
            <w:gridSpan w:val="5"/>
            <w:tcBorders>
              <w:top w:val="single" w:sz="2" w:space="0" w:color="000000"/>
              <w:left w:val="single" w:sz="2" w:space="0" w:color="000000"/>
              <w:bottom w:val="single" w:sz="2" w:space="0" w:color="000000"/>
            </w:tcBorders>
            <w:shd w:val="clear" w:color="auto" w:fill="auto"/>
            <w:vAlign w:val="center"/>
          </w:tcPr>
          <w:p w14:paraId="53B9C2AC"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86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6E2DF5"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61AF3864" w14:textId="77777777" w:rsidTr="00732453">
        <w:trPr>
          <w:cantSplit/>
          <w:trHeight w:hRule="exact" w:val="336"/>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B3DE65"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lastRenderedPageBreak/>
              <w:t>SO</w:t>
            </w:r>
            <w:r w:rsidRPr="0030358C">
              <w:rPr>
                <w:rFonts w:ascii="Arial" w:hAnsi="Arial" w:cs="Arial"/>
                <w:b/>
                <w:bCs/>
                <w:strike/>
                <w:sz w:val="22"/>
                <w:szCs w:val="22"/>
                <w:vertAlign w:val="subscript"/>
                <w:lang w:eastAsia="zh-CN"/>
              </w:rPr>
              <w:t>2</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AC58"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4B9C49"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H</w:t>
            </w:r>
            <w:r w:rsidRPr="0030358C">
              <w:rPr>
                <w:rFonts w:ascii="Arial" w:hAnsi="Arial" w:cs="Arial"/>
                <w:b/>
                <w:bCs/>
                <w:strike/>
                <w:sz w:val="22"/>
                <w:szCs w:val="22"/>
                <w:vertAlign w:val="subscript"/>
                <w:lang w:eastAsia="zh-CN"/>
              </w:rPr>
              <w:t>2</w:t>
            </w:r>
            <w:r w:rsidRPr="0030358C">
              <w:rPr>
                <w:rFonts w:ascii="Arial" w:hAnsi="Arial" w:cs="Arial"/>
                <w:b/>
                <w:bCs/>
                <w:strike/>
                <w:sz w:val="22"/>
                <w:szCs w:val="22"/>
                <w:lang w:eastAsia="zh-CN"/>
              </w:rPr>
              <w:t>SO</w:t>
            </w:r>
            <w:r w:rsidRPr="0030358C">
              <w:rPr>
                <w:rFonts w:ascii="Arial" w:hAnsi="Arial" w:cs="Arial"/>
                <w:b/>
                <w:bCs/>
                <w:strike/>
                <w:sz w:val="22"/>
                <w:szCs w:val="22"/>
                <w:vertAlign w:val="subscript"/>
                <w:lang w:eastAsia="zh-CN"/>
              </w:rPr>
              <w:t>4</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B78112"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HCl</w:t>
            </w:r>
          </w:p>
        </w:tc>
        <w:tc>
          <w:tcPr>
            <w:tcW w:w="154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DF869A"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HF</w:t>
            </w:r>
          </w:p>
        </w:tc>
        <w:tc>
          <w:tcPr>
            <w:tcW w:w="2865" w:type="dxa"/>
            <w:vMerge w:val="restart"/>
            <w:tcBorders>
              <w:top w:val="single" w:sz="2" w:space="0" w:color="000000"/>
              <w:left w:val="single" w:sz="2" w:space="0" w:color="000000"/>
              <w:right w:val="single" w:sz="2" w:space="0" w:color="000000"/>
            </w:tcBorders>
            <w:shd w:val="clear" w:color="auto" w:fill="auto"/>
            <w:vAlign w:val="center"/>
          </w:tcPr>
          <w:p w14:paraId="223B8D7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tc>
      </w:tr>
      <w:tr w:rsidR="00E40657" w14:paraId="138AE274" w14:textId="77777777" w:rsidTr="00732453">
        <w:trPr>
          <w:cantSplit/>
          <w:trHeight w:hRule="exact" w:val="336"/>
        </w:trPr>
        <w:tc>
          <w:tcPr>
            <w:tcW w:w="1292" w:type="dxa"/>
            <w:tcBorders>
              <w:top w:val="single" w:sz="2" w:space="0" w:color="000000"/>
              <w:left w:val="single" w:sz="2" w:space="0" w:color="000000"/>
              <w:bottom w:val="single" w:sz="4" w:space="0" w:color="000000"/>
              <w:right w:val="single" w:sz="2" w:space="0" w:color="000000"/>
            </w:tcBorders>
            <w:shd w:val="clear" w:color="auto" w:fill="auto"/>
            <w:vAlign w:val="center"/>
          </w:tcPr>
          <w:p w14:paraId="1A13419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1)</w:t>
            </w:r>
          </w:p>
        </w:tc>
        <w:tc>
          <w:tcPr>
            <w:tcW w:w="1276" w:type="dxa"/>
            <w:tcBorders>
              <w:top w:val="single" w:sz="2" w:space="0" w:color="000000"/>
              <w:left w:val="single" w:sz="2" w:space="0" w:color="000000"/>
              <w:bottom w:val="single" w:sz="4" w:space="0" w:color="000000"/>
              <w:right w:val="single" w:sz="2" w:space="0" w:color="000000"/>
            </w:tcBorders>
            <w:shd w:val="clear" w:color="auto" w:fill="auto"/>
            <w:vAlign w:val="center"/>
          </w:tcPr>
          <w:p w14:paraId="6FC777C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650</w:t>
            </w:r>
            <w:r w:rsidRPr="0030358C">
              <w:rPr>
                <w:rFonts w:ascii="Arial" w:hAnsi="Arial" w:cs="Arial"/>
                <w:bCs/>
                <w:strike/>
                <w:sz w:val="22"/>
                <w:szCs w:val="22"/>
                <w:vertAlign w:val="superscript"/>
                <w:lang w:eastAsia="zh-CN"/>
              </w:rPr>
              <w:t>2)</w:t>
            </w:r>
          </w:p>
        </w:tc>
        <w:tc>
          <w:tcPr>
            <w:tcW w:w="1134" w:type="dxa"/>
            <w:tcBorders>
              <w:top w:val="single" w:sz="2" w:space="0" w:color="000000"/>
              <w:left w:val="single" w:sz="2" w:space="0" w:color="000000"/>
              <w:bottom w:val="single" w:sz="4" w:space="0" w:color="000000"/>
              <w:right w:val="single" w:sz="2" w:space="0" w:color="000000"/>
            </w:tcBorders>
            <w:shd w:val="clear" w:color="auto" w:fill="auto"/>
            <w:vAlign w:val="center"/>
          </w:tcPr>
          <w:p w14:paraId="524BAD5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w:t>
            </w:r>
            <w:r w:rsidRPr="0030358C">
              <w:rPr>
                <w:rFonts w:ascii="Arial" w:hAnsi="Arial" w:cs="Arial"/>
                <w:bCs/>
                <w:strike/>
                <w:sz w:val="22"/>
                <w:szCs w:val="22"/>
                <w:vertAlign w:val="superscript"/>
                <w:lang w:eastAsia="zh-CN"/>
              </w:rPr>
              <w:t>1)</w:t>
            </w:r>
          </w:p>
        </w:tc>
        <w:tc>
          <w:tcPr>
            <w:tcW w:w="1276" w:type="dxa"/>
            <w:tcBorders>
              <w:top w:val="single" w:sz="2" w:space="0" w:color="000000"/>
              <w:left w:val="single" w:sz="2" w:space="0" w:color="000000"/>
              <w:bottom w:val="single" w:sz="4" w:space="0" w:color="000000"/>
              <w:right w:val="single" w:sz="2" w:space="0" w:color="000000"/>
            </w:tcBorders>
            <w:shd w:val="clear" w:color="auto" w:fill="auto"/>
            <w:vAlign w:val="center"/>
          </w:tcPr>
          <w:p w14:paraId="3C44DEF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3)</w:t>
            </w:r>
          </w:p>
        </w:tc>
        <w:tc>
          <w:tcPr>
            <w:tcW w:w="1546" w:type="dxa"/>
            <w:tcBorders>
              <w:top w:val="single" w:sz="2" w:space="0" w:color="000000"/>
              <w:left w:val="single" w:sz="2" w:space="0" w:color="000000"/>
              <w:bottom w:val="single" w:sz="4" w:space="0" w:color="000000"/>
              <w:right w:val="single" w:sz="2" w:space="0" w:color="000000"/>
            </w:tcBorders>
            <w:shd w:val="clear" w:color="auto" w:fill="auto"/>
            <w:vAlign w:val="center"/>
          </w:tcPr>
          <w:p w14:paraId="392A316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r w:rsidRPr="0030358C">
              <w:rPr>
                <w:rFonts w:ascii="Arial" w:hAnsi="Arial" w:cs="Arial"/>
                <w:bCs/>
                <w:strike/>
                <w:sz w:val="22"/>
                <w:szCs w:val="22"/>
                <w:vertAlign w:val="superscript"/>
                <w:lang w:eastAsia="zh-CN"/>
              </w:rPr>
              <w:t>4)</w:t>
            </w:r>
          </w:p>
        </w:tc>
        <w:tc>
          <w:tcPr>
            <w:tcW w:w="2865" w:type="dxa"/>
            <w:vMerge/>
            <w:tcBorders>
              <w:left w:val="single" w:sz="2" w:space="0" w:color="000000"/>
              <w:bottom w:val="single" w:sz="4" w:space="0" w:color="000000"/>
              <w:right w:val="single" w:sz="2" w:space="0" w:color="000000"/>
            </w:tcBorders>
            <w:shd w:val="clear" w:color="auto" w:fill="auto"/>
            <w:vAlign w:val="center"/>
          </w:tcPr>
          <w:p w14:paraId="22B4F795" w14:textId="77777777" w:rsidR="008F52C8" w:rsidRPr="0030358C" w:rsidRDefault="008F52C8" w:rsidP="00732453">
            <w:pPr>
              <w:snapToGrid w:val="0"/>
              <w:rPr>
                <w:rFonts w:ascii="Arial" w:hAnsi="Arial" w:cs="Arial"/>
                <w:bCs/>
                <w:strike/>
                <w:sz w:val="22"/>
                <w:szCs w:val="22"/>
                <w:lang w:eastAsia="zh-CN"/>
              </w:rPr>
            </w:pPr>
          </w:p>
        </w:tc>
      </w:tr>
    </w:tbl>
    <w:p w14:paraId="521E2F04" w14:textId="77777777" w:rsidR="008F52C8" w:rsidRPr="0030358C" w:rsidRDefault="00000000" w:rsidP="008F52C8">
      <w:pPr>
        <w:widowControl w:val="0"/>
        <w:tabs>
          <w:tab w:val="left" w:pos="284"/>
        </w:tabs>
        <w:autoSpaceDE w:val="0"/>
        <w:jc w:val="both"/>
        <w:rPr>
          <w:rFonts w:ascii="Arial" w:hAnsi="Arial" w:cs="Arial"/>
          <w:strike/>
          <w:sz w:val="22"/>
          <w:szCs w:val="22"/>
          <w:lang w:eastAsia="zh-CN"/>
        </w:rPr>
      </w:pPr>
      <w:r w:rsidRPr="0030358C">
        <w:rPr>
          <w:rFonts w:ascii="Arial" w:hAnsi="Arial" w:cs="Arial"/>
          <w:strike/>
          <w:sz w:val="22"/>
          <w:szCs w:val="22"/>
          <w:lang w:eastAsia="zh-CN"/>
        </w:rPr>
        <w:t xml:space="preserve"> Vysvětlivky:</w:t>
      </w:r>
    </w:p>
    <w:p w14:paraId="6AFE931A" w14:textId="77777777" w:rsidR="008F52C8" w:rsidRPr="0030358C" w:rsidRDefault="00000000" w:rsidP="008F52C8">
      <w:pPr>
        <w:widowControl w:val="0"/>
        <w:numPr>
          <w:ilvl w:val="0"/>
          <w:numId w:val="182"/>
        </w:numPr>
        <w:tabs>
          <w:tab w:val="left" w:pos="284"/>
        </w:tabs>
        <w:suppressAutoHyphens/>
        <w:autoSpaceDE w:val="0"/>
        <w:jc w:val="both"/>
        <w:rPr>
          <w:rFonts w:ascii="Arial" w:hAnsi="Arial" w:cs="Arial"/>
          <w:strike/>
          <w:sz w:val="22"/>
          <w:szCs w:val="22"/>
          <w:lang w:eastAsia="zh-CN"/>
        </w:rPr>
      </w:pPr>
      <w:r w:rsidRPr="0030358C">
        <w:rPr>
          <w:rFonts w:ascii="Arial" w:hAnsi="Arial" w:cs="Arial"/>
          <w:strike/>
          <w:sz w:val="22"/>
          <w:szCs w:val="22"/>
          <w:lang w:eastAsia="zh-CN"/>
        </w:rPr>
        <w:t>Platí při</w:t>
      </w:r>
      <w:r w:rsidRPr="0030358C">
        <w:rPr>
          <w:rFonts w:ascii="Arial" w:hAnsi="Arial" w:cs="Arial"/>
          <w:iCs/>
          <w:strike/>
          <w:sz w:val="22"/>
          <w:szCs w:val="22"/>
          <w:lang w:eastAsia="zh-CN"/>
        </w:rPr>
        <w:t xml:space="preserve"> použití kyseliny sírové.</w:t>
      </w:r>
    </w:p>
    <w:p w14:paraId="435E46CE" w14:textId="77777777" w:rsidR="008F52C8" w:rsidRPr="0030358C" w:rsidRDefault="00000000" w:rsidP="008F52C8">
      <w:pPr>
        <w:widowControl w:val="0"/>
        <w:numPr>
          <w:ilvl w:val="0"/>
          <w:numId w:val="182"/>
        </w:numPr>
        <w:tabs>
          <w:tab w:val="left" w:pos="284"/>
        </w:tabs>
        <w:suppressAutoHyphens/>
        <w:autoSpaceDE w:val="0"/>
        <w:jc w:val="both"/>
        <w:rPr>
          <w:rFonts w:ascii="Arial" w:hAnsi="Arial" w:cs="Arial"/>
          <w:iCs/>
          <w:strike/>
          <w:sz w:val="22"/>
          <w:szCs w:val="22"/>
          <w:lang w:eastAsia="zh-CN"/>
        </w:rPr>
      </w:pPr>
      <w:r w:rsidRPr="0030358C">
        <w:rPr>
          <w:rFonts w:ascii="Arial" w:hAnsi="Arial" w:cs="Arial"/>
          <w:strike/>
          <w:sz w:val="22"/>
          <w:szCs w:val="22"/>
          <w:lang w:eastAsia="zh-CN"/>
        </w:rPr>
        <w:t>Platí při</w:t>
      </w:r>
      <w:r w:rsidRPr="0030358C">
        <w:rPr>
          <w:rFonts w:ascii="Arial" w:hAnsi="Arial" w:cs="Arial"/>
          <w:iCs/>
          <w:strike/>
          <w:sz w:val="22"/>
          <w:szCs w:val="22"/>
          <w:lang w:eastAsia="zh-CN"/>
        </w:rPr>
        <w:t xml:space="preserve"> použití kyseliny dusičné. </w:t>
      </w:r>
    </w:p>
    <w:p w14:paraId="12CF1824" w14:textId="77777777" w:rsidR="008F52C8" w:rsidRPr="0030358C" w:rsidRDefault="00000000" w:rsidP="008F52C8">
      <w:pPr>
        <w:widowControl w:val="0"/>
        <w:numPr>
          <w:ilvl w:val="0"/>
          <w:numId w:val="182"/>
        </w:numPr>
        <w:tabs>
          <w:tab w:val="left" w:pos="284"/>
        </w:tabs>
        <w:suppressAutoHyphens/>
        <w:autoSpaceDE w:val="0"/>
        <w:jc w:val="both"/>
        <w:rPr>
          <w:rFonts w:ascii="Arial" w:hAnsi="Arial" w:cs="Arial"/>
          <w:strike/>
          <w:sz w:val="22"/>
          <w:szCs w:val="22"/>
          <w:lang w:eastAsia="zh-CN"/>
        </w:rPr>
      </w:pPr>
      <w:r w:rsidRPr="0030358C">
        <w:rPr>
          <w:rFonts w:ascii="Arial" w:hAnsi="Arial" w:cs="Arial"/>
          <w:strike/>
          <w:sz w:val="22"/>
          <w:szCs w:val="22"/>
          <w:lang w:eastAsia="zh-CN"/>
        </w:rPr>
        <w:t>Platí při</w:t>
      </w:r>
      <w:r w:rsidRPr="0030358C">
        <w:rPr>
          <w:rFonts w:ascii="Arial" w:hAnsi="Arial" w:cs="Arial"/>
          <w:iCs/>
          <w:strike/>
          <w:sz w:val="22"/>
          <w:szCs w:val="22"/>
          <w:lang w:eastAsia="zh-CN"/>
        </w:rPr>
        <w:t xml:space="preserve"> použití HCl</w:t>
      </w:r>
      <w:r w:rsidRPr="0030358C">
        <w:rPr>
          <w:rFonts w:ascii="Arial" w:hAnsi="Arial" w:cs="Arial"/>
          <w:strike/>
          <w:sz w:val="22"/>
          <w:szCs w:val="22"/>
          <w:lang w:eastAsia="zh-CN"/>
        </w:rPr>
        <w:t>.</w:t>
      </w:r>
    </w:p>
    <w:p w14:paraId="2DDDE59C" w14:textId="77777777" w:rsidR="008F52C8" w:rsidRPr="0030358C" w:rsidRDefault="00000000" w:rsidP="008F52C8">
      <w:pPr>
        <w:pStyle w:val="Odstavecseseznamem"/>
        <w:widowControl w:val="0"/>
        <w:numPr>
          <w:ilvl w:val="0"/>
          <w:numId w:val="182"/>
        </w:numPr>
        <w:tabs>
          <w:tab w:val="left" w:pos="284"/>
        </w:tabs>
        <w:autoSpaceDE w:val="0"/>
        <w:jc w:val="both"/>
        <w:rPr>
          <w:rFonts w:ascii="Arial" w:hAnsi="Arial" w:cs="Arial"/>
          <w:strike/>
          <w:lang w:eastAsia="zh-CN"/>
        </w:rPr>
      </w:pPr>
      <w:r w:rsidRPr="0030358C">
        <w:rPr>
          <w:rFonts w:ascii="Arial" w:hAnsi="Arial" w:cs="Arial"/>
          <w:strike/>
          <w:lang w:eastAsia="zh-CN"/>
        </w:rPr>
        <w:t>Platí při použití HF.</w:t>
      </w:r>
    </w:p>
    <w:p w14:paraId="34BE64EB" w14:textId="77777777" w:rsidR="008F52C8" w:rsidRPr="0030358C" w:rsidRDefault="008F52C8" w:rsidP="008F52C8">
      <w:pPr>
        <w:rPr>
          <w:rFonts w:ascii="Arial" w:hAnsi="Arial" w:cs="Arial"/>
          <w:strike/>
          <w:sz w:val="22"/>
          <w:szCs w:val="22"/>
          <w:lang w:eastAsia="zh-CN"/>
        </w:rPr>
      </w:pPr>
    </w:p>
    <w:p w14:paraId="07325DA5"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
          <w:strike/>
          <w:sz w:val="22"/>
          <w:szCs w:val="22"/>
          <w:lang w:eastAsia="zh-CN"/>
        </w:rPr>
        <w:t xml:space="preserve">3.8.3. Broušení kovů a plastů s celkovým elektrickým příkonem vyšším než 100 kW </w:t>
      </w:r>
      <w:r w:rsidRPr="0030358C">
        <w:rPr>
          <w:rFonts w:ascii="Arial" w:hAnsi="Arial" w:cs="Arial"/>
          <w:bCs/>
          <w:strike/>
          <w:sz w:val="22"/>
          <w:szCs w:val="22"/>
          <w:lang w:eastAsia="zh-CN"/>
        </w:rPr>
        <w:t>(kód 4.13. dle přílohy č. 2 zákona)</w:t>
      </w:r>
    </w:p>
    <w:tbl>
      <w:tblPr>
        <w:tblW w:w="9600" w:type="dxa"/>
        <w:tblInd w:w="-15" w:type="dxa"/>
        <w:tblLayout w:type="fixed"/>
        <w:tblLook w:val="0000" w:firstRow="0" w:lastRow="0" w:firstColumn="0" w:lastColumn="0" w:noHBand="0" w:noVBand="0"/>
      </w:tblPr>
      <w:tblGrid>
        <w:gridCol w:w="5179"/>
        <w:gridCol w:w="4421"/>
      </w:tblGrid>
      <w:tr w:rsidR="00E40657" w14:paraId="7FA1C12C" w14:textId="77777777" w:rsidTr="00732453">
        <w:trPr>
          <w:cantSplit/>
          <w:trHeight w:val="378"/>
        </w:trPr>
        <w:tc>
          <w:tcPr>
            <w:tcW w:w="5179" w:type="dxa"/>
            <w:tcBorders>
              <w:top w:val="single" w:sz="4" w:space="0" w:color="000000"/>
              <w:left w:val="single" w:sz="4" w:space="0" w:color="000000"/>
              <w:bottom w:val="single" w:sz="4" w:space="0" w:color="000000"/>
            </w:tcBorders>
            <w:shd w:val="clear" w:color="auto" w:fill="auto"/>
            <w:vAlign w:val="center"/>
          </w:tcPr>
          <w:p w14:paraId="323F475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421" w:type="dxa"/>
            <w:vMerge w:val="restart"/>
            <w:tcBorders>
              <w:top w:val="single" w:sz="4" w:space="0" w:color="000000"/>
              <w:left w:val="single" w:sz="4" w:space="0" w:color="000000"/>
              <w:right w:val="single" w:sz="4" w:space="0" w:color="000000"/>
            </w:tcBorders>
            <w:shd w:val="clear" w:color="auto" w:fill="auto"/>
            <w:vAlign w:val="center"/>
          </w:tcPr>
          <w:p w14:paraId="40A11B51"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5FDEBABC" w14:textId="77777777" w:rsidTr="00732453">
        <w:trPr>
          <w:cantSplit/>
          <w:trHeight w:hRule="exact" w:val="432"/>
        </w:trPr>
        <w:tc>
          <w:tcPr>
            <w:tcW w:w="5179" w:type="dxa"/>
            <w:tcBorders>
              <w:top w:val="single" w:sz="4" w:space="0" w:color="000000"/>
              <w:left w:val="single" w:sz="4" w:space="0" w:color="000000"/>
              <w:bottom w:val="single" w:sz="4" w:space="0" w:color="000000"/>
            </w:tcBorders>
            <w:shd w:val="clear" w:color="auto" w:fill="auto"/>
            <w:vAlign w:val="center"/>
          </w:tcPr>
          <w:p w14:paraId="7B7CB18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421" w:type="dxa"/>
            <w:vMerge/>
            <w:tcBorders>
              <w:left w:val="single" w:sz="4" w:space="0" w:color="000000"/>
              <w:bottom w:val="single" w:sz="4" w:space="0" w:color="000000"/>
              <w:right w:val="single" w:sz="4" w:space="0" w:color="000000"/>
            </w:tcBorders>
            <w:shd w:val="clear" w:color="auto" w:fill="auto"/>
            <w:vAlign w:val="center"/>
          </w:tcPr>
          <w:p w14:paraId="79B2EA98" w14:textId="77777777" w:rsidR="008F52C8" w:rsidRPr="0030358C" w:rsidRDefault="008F52C8" w:rsidP="00732453">
            <w:pPr>
              <w:snapToGrid w:val="0"/>
              <w:jc w:val="center"/>
              <w:rPr>
                <w:rFonts w:ascii="Arial" w:hAnsi="Arial" w:cs="Arial"/>
                <w:b/>
                <w:strike/>
                <w:sz w:val="22"/>
                <w:szCs w:val="22"/>
                <w:lang w:eastAsia="zh-CN"/>
              </w:rPr>
            </w:pPr>
          </w:p>
        </w:tc>
      </w:tr>
      <w:tr w:rsidR="00E40657" w14:paraId="3EC08D02" w14:textId="77777777" w:rsidTr="00732453">
        <w:trPr>
          <w:trHeight w:hRule="exact" w:val="422"/>
        </w:trPr>
        <w:tc>
          <w:tcPr>
            <w:tcW w:w="5179" w:type="dxa"/>
            <w:tcBorders>
              <w:left w:val="single" w:sz="4" w:space="0" w:color="000000"/>
              <w:bottom w:val="single" w:sz="4" w:space="0" w:color="000000"/>
            </w:tcBorders>
            <w:shd w:val="clear" w:color="auto" w:fill="auto"/>
            <w:vAlign w:val="center"/>
          </w:tcPr>
          <w:p w14:paraId="7EAE9F5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1)</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33BF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7BEE5F7D" w14:textId="77777777" w:rsidR="008F52C8" w:rsidRPr="0030358C" w:rsidRDefault="00000000" w:rsidP="008F52C8">
      <w:pPr>
        <w:rPr>
          <w:rFonts w:ascii="Arial" w:hAnsi="Arial" w:cs="Arial"/>
          <w:strike/>
          <w:sz w:val="22"/>
          <w:szCs w:val="22"/>
          <w:lang w:eastAsia="zh-CN"/>
        </w:rPr>
      </w:pPr>
      <w:r w:rsidRPr="0030358C">
        <w:rPr>
          <w:rFonts w:ascii="Arial" w:hAnsi="Arial" w:cs="Arial"/>
          <w:strike/>
          <w:sz w:val="22"/>
          <w:szCs w:val="22"/>
          <w:lang w:eastAsia="zh-CN"/>
        </w:rPr>
        <w:t>Vysvětlivka</w:t>
      </w:r>
      <w:r w:rsidRPr="0030358C">
        <w:rPr>
          <w:rFonts w:ascii="Arial" w:hAnsi="Arial" w:cs="Arial"/>
          <w:iCs/>
          <w:strike/>
          <w:sz w:val="22"/>
          <w:szCs w:val="22"/>
          <w:lang w:eastAsia="zh-CN"/>
        </w:rPr>
        <w:t xml:space="preserve">: </w:t>
      </w:r>
      <w:r w:rsidRPr="0030358C">
        <w:rPr>
          <w:rFonts w:ascii="Arial" w:hAnsi="Arial" w:cs="Arial"/>
          <w:strike/>
          <w:sz w:val="22"/>
          <w:szCs w:val="22"/>
          <w:lang w:eastAsia="zh-CN"/>
        </w:rPr>
        <w:t>1) Platí pouze pro broušení za sucha.</w:t>
      </w:r>
    </w:p>
    <w:p w14:paraId="02D22F7B" w14:textId="77777777" w:rsidR="008F52C8" w:rsidRPr="0030358C" w:rsidRDefault="008F52C8" w:rsidP="008F52C8">
      <w:pPr>
        <w:ind w:left="1077" w:hanging="1077"/>
        <w:rPr>
          <w:rFonts w:ascii="Arial" w:hAnsi="Arial" w:cs="Arial"/>
          <w:b/>
          <w:strike/>
          <w:sz w:val="22"/>
          <w:szCs w:val="22"/>
          <w:lang w:eastAsia="zh-CN"/>
        </w:rPr>
      </w:pPr>
    </w:p>
    <w:p w14:paraId="547438E8" w14:textId="77777777" w:rsidR="008F52C8" w:rsidRPr="0030358C" w:rsidRDefault="00000000" w:rsidP="008F52C8">
      <w:pPr>
        <w:rPr>
          <w:rFonts w:ascii="Arial" w:hAnsi="Arial" w:cs="Arial"/>
          <w:b/>
          <w:i/>
          <w:strike/>
          <w:sz w:val="22"/>
          <w:szCs w:val="22"/>
          <w:lang w:eastAsia="zh-CN"/>
        </w:rPr>
      </w:pPr>
      <w:r w:rsidRPr="0030358C">
        <w:rPr>
          <w:rFonts w:ascii="Arial" w:hAnsi="Arial" w:cs="Arial"/>
          <w:b/>
          <w:strike/>
          <w:sz w:val="22"/>
          <w:szCs w:val="22"/>
          <w:lang w:eastAsia="zh-CN"/>
        </w:rPr>
        <w:t>3.8.4. Svařování kovových materiálů s celkovým elektrickým příkonem 1000 kW nebo vyšším</w:t>
      </w:r>
      <w:r w:rsidRPr="0030358C">
        <w:rPr>
          <w:rFonts w:ascii="Arial" w:hAnsi="Arial" w:cs="Arial"/>
          <w:bCs/>
          <w:strike/>
          <w:sz w:val="22"/>
          <w:szCs w:val="22"/>
          <w:lang w:eastAsia="zh-CN"/>
        </w:rPr>
        <w:t xml:space="preserve"> (kód 4.14. dle přílohy č. 2 zákona)</w:t>
      </w:r>
      <w:r w:rsidRPr="0030358C">
        <w:rPr>
          <w:rFonts w:ascii="Arial" w:hAnsi="Arial" w:cs="Arial"/>
          <w:bCs/>
          <w:i/>
          <w:strike/>
          <w:sz w:val="22"/>
          <w:szCs w:val="22"/>
          <w:lang w:eastAsia="zh-C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9"/>
        <w:gridCol w:w="4421"/>
      </w:tblGrid>
      <w:tr w:rsidR="00E40657" w14:paraId="2B1F6FD6" w14:textId="77777777" w:rsidTr="00732453">
        <w:trPr>
          <w:cantSplit/>
          <w:trHeight w:val="414"/>
        </w:trPr>
        <w:tc>
          <w:tcPr>
            <w:tcW w:w="5179" w:type="dxa"/>
            <w:shd w:val="clear" w:color="auto" w:fill="auto"/>
            <w:vAlign w:val="center"/>
          </w:tcPr>
          <w:p w14:paraId="09B7F11B"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421" w:type="dxa"/>
            <w:vMerge w:val="restart"/>
            <w:shd w:val="clear" w:color="auto" w:fill="auto"/>
            <w:vAlign w:val="center"/>
          </w:tcPr>
          <w:p w14:paraId="70A9549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BE0C126" w14:textId="77777777" w:rsidTr="00732453">
        <w:trPr>
          <w:cantSplit/>
          <w:trHeight w:hRule="exact" w:val="440"/>
        </w:trPr>
        <w:tc>
          <w:tcPr>
            <w:tcW w:w="5179" w:type="dxa"/>
            <w:shd w:val="clear" w:color="auto" w:fill="auto"/>
            <w:vAlign w:val="center"/>
          </w:tcPr>
          <w:p w14:paraId="70124120"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421" w:type="dxa"/>
            <w:vMerge/>
            <w:shd w:val="clear" w:color="auto" w:fill="auto"/>
            <w:vAlign w:val="center"/>
          </w:tcPr>
          <w:p w14:paraId="07596768" w14:textId="77777777" w:rsidR="008F52C8" w:rsidRPr="0030358C" w:rsidRDefault="008F52C8" w:rsidP="00732453">
            <w:pPr>
              <w:snapToGrid w:val="0"/>
              <w:jc w:val="center"/>
              <w:rPr>
                <w:rFonts w:ascii="Arial" w:hAnsi="Arial" w:cs="Arial"/>
                <w:b/>
                <w:strike/>
                <w:sz w:val="22"/>
                <w:szCs w:val="22"/>
                <w:lang w:eastAsia="zh-CN"/>
              </w:rPr>
            </w:pPr>
          </w:p>
        </w:tc>
      </w:tr>
      <w:tr w:rsidR="00E40657" w14:paraId="001033C5" w14:textId="77777777" w:rsidTr="00732453">
        <w:trPr>
          <w:trHeight w:hRule="exact" w:val="340"/>
        </w:trPr>
        <w:tc>
          <w:tcPr>
            <w:tcW w:w="5179" w:type="dxa"/>
            <w:shd w:val="clear" w:color="auto" w:fill="auto"/>
            <w:vAlign w:val="center"/>
          </w:tcPr>
          <w:p w14:paraId="485E8367"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1)</w:t>
            </w:r>
          </w:p>
        </w:tc>
        <w:tc>
          <w:tcPr>
            <w:tcW w:w="4421" w:type="dxa"/>
            <w:shd w:val="clear" w:color="auto" w:fill="auto"/>
            <w:vAlign w:val="center"/>
          </w:tcPr>
          <w:p w14:paraId="6CE3F3E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089EBA0D" w14:textId="77777777" w:rsidR="008F52C8" w:rsidRPr="0030358C" w:rsidRDefault="00000000" w:rsidP="008F52C8">
      <w:pPr>
        <w:widowControl w:val="0"/>
        <w:autoSpaceDE w:val="0"/>
        <w:jc w:val="both"/>
        <w:rPr>
          <w:rFonts w:ascii="Arial" w:hAnsi="Arial" w:cs="Arial"/>
          <w:strike/>
          <w:sz w:val="22"/>
          <w:szCs w:val="22"/>
          <w:lang w:eastAsia="zh-CN"/>
        </w:rPr>
      </w:pPr>
      <w:r w:rsidRPr="0030358C">
        <w:rPr>
          <w:rFonts w:ascii="Arial" w:hAnsi="Arial" w:cs="Arial"/>
          <w:strike/>
          <w:sz w:val="22"/>
          <w:szCs w:val="22"/>
          <w:lang w:eastAsia="zh-CN"/>
        </w:rPr>
        <w:t>Vysvětlivka</w:t>
      </w:r>
      <w:r w:rsidRPr="0030358C">
        <w:rPr>
          <w:rFonts w:ascii="Arial" w:hAnsi="Arial" w:cs="Arial"/>
          <w:iCs/>
          <w:strike/>
          <w:sz w:val="22"/>
          <w:szCs w:val="22"/>
          <w:lang w:eastAsia="zh-CN"/>
        </w:rPr>
        <w:t xml:space="preserve">: </w:t>
      </w:r>
      <w:r w:rsidRPr="0030358C">
        <w:rPr>
          <w:rFonts w:ascii="Arial" w:hAnsi="Arial" w:cs="Arial"/>
          <w:strike/>
          <w:sz w:val="22"/>
          <w:szCs w:val="22"/>
          <w:lang w:eastAsia="zh-CN"/>
        </w:rPr>
        <w:t>1) Neplatí pro odporové sváření.</w:t>
      </w:r>
    </w:p>
    <w:p w14:paraId="4C544204" w14:textId="77777777" w:rsidR="008F52C8" w:rsidRPr="0030358C" w:rsidRDefault="008F52C8" w:rsidP="008F52C8">
      <w:pPr>
        <w:rPr>
          <w:rFonts w:ascii="Arial" w:hAnsi="Arial" w:cs="Arial"/>
          <w:b/>
          <w:bCs/>
          <w:strike/>
          <w:sz w:val="22"/>
          <w:szCs w:val="22"/>
          <w:lang w:eastAsia="zh-CN"/>
        </w:rPr>
      </w:pPr>
    </w:p>
    <w:p w14:paraId="57756AE9" w14:textId="77777777" w:rsidR="008F52C8" w:rsidRPr="0030358C" w:rsidRDefault="008F52C8" w:rsidP="008F52C8">
      <w:pPr>
        <w:widowControl w:val="0"/>
        <w:autoSpaceDE w:val="0"/>
        <w:jc w:val="both"/>
        <w:rPr>
          <w:rFonts w:ascii="Arial" w:hAnsi="Arial" w:cs="Arial"/>
          <w:b/>
          <w:bCs/>
          <w:strike/>
          <w:sz w:val="22"/>
          <w:szCs w:val="22"/>
          <w:lang w:eastAsia="zh-CN"/>
        </w:rPr>
      </w:pPr>
    </w:p>
    <w:p w14:paraId="4E936401" w14:textId="77777777" w:rsidR="008F52C8" w:rsidRPr="0030358C" w:rsidRDefault="00000000" w:rsidP="008F52C8">
      <w:pPr>
        <w:widowControl w:val="0"/>
        <w:autoSpaceDE w:val="0"/>
        <w:jc w:val="both"/>
        <w:rPr>
          <w:rFonts w:ascii="Arial" w:hAnsi="Arial" w:cs="Arial"/>
          <w:bCs/>
          <w:strike/>
          <w:sz w:val="22"/>
          <w:szCs w:val="22"/>
          <w:lang w:eastAsia="zh-CN"/>
        </w:rPr>
      </w:pPr>
      <w:r w:rsidRPr="0030358C">
        <w:rPr>
          <w:rFonts w:ascii="Arial" w:hAnsi="Arial" w:cs="Arial"/>
          <w:b/>
          <w:bCs/>
          <w:strike/>
          <w:sz w:val="22"/>
          <w:szCs w:val="22"/>
          <w:lang w:eastAsia="zh-CN"/>
        </w:rPr>
        <w:t xml:space="preserve">3.8.5. Nanášení ochranných povlaků z roztavených kovů s celkovou projektovanou kapacitou 1 tuna pokovené oceli za hodinu nebo nižší </w:t>
      </w:r>
      <w:r w:rsidRPr="0030358C">
        <w:rPr>
          <w:rFonts w:ascii="Arial" w:hAnsi="Arial" w:cs="Arial"/>
          <w:bCs/>
          <w:strike/>
          <w:sz w:val="22"/>
          <w:szCs w:val="22"/>
          <w:lang w:eastAsia="zh-CN"/>
        </w:rPr>
        <w:t>(kód 4.15. dle přílohy č. 2 zákona)</w:t>
      </w:r>
    </w:p>
    <w:p w14:paraId="077061C5" w14:textId="77777777" w:rsidR="008F52C8" w:rsidRPr="0030358C" w:rsidRDefault="008F52C8" w:rsidP="008F52C8">
      <w:pPr>
        <w:keepNext/>
        <w:keepLines/>
        <w:rPr>
          <w:rFonts w:ascii="Arial" w:hAnsi="Arial" w:cs="Arial"/>
          <w:b/>
          <w:bCs/>
          <w:strike/>
          <w:sz w:val="22"/>
          <w:szCs w:val="22"/>
          <w:lang w:eastAsia="zh-CN"/>
        </w:rPr>
      </w:pPr>
    </w:p>
    <w:p w14:paraId="7D636927" w14:textId="77777777" w:rsidR="008F52C8" w:rsidRPr="0030358C" w:rsidRDefault="00000000" w:rsidP="008F52C8">
      <w:pPr>
        <w:keepNext/>
        <w:keepLines/>
        <w:rPr>
          <w:rFonts w:ascii="Arial" w:hAnsi="Arial" w:cs="Arial"/>
          <w:b/>
          <w:bCs/>
          <w:strike/>
          <w:sz w:val="22"/>
          <w:szCs w:val="22"/>
          <w:lang w:eastAsia="zh-CN"/>
        </w:rPr>
      </w:pPr>
      <w:r w:rsidRPr="0030358C">
        <w:rPr>
          <w:rFonts w:ascii="Arial" w:hAnsi="Arial" w:cs="Arial"/>
          <w:b/>
          <w:bCs/>
          <w:strike/>
          <w:sz w:val="22"/>
          <w:szCs w:val="22"/>
          <w:lang w:eastAsia="zh-CN"/>
        </w:rPr>
        <w:t xml:space="preserve">Uvedené emisní limity platí pro pece s přímým procesním ohřevem nebo při použití speciální ochranné atmosféry. </w:t>
      </w:r>
    </w:p>
    <w:p w14:paraId="69C5EBE9" w14:textId="77777777" w:rsidR="008F52C8" w:rsidRPr="0030358C" w:rsidRDefault="008F52C8" w:rsidP="008F52C8">
      <w:pPr>
        <w:widowControl w:val="0"/>
        <w:autoSpaceDE w:val="0"/>
        <w:jc w:val="both"/>
        <w:rPr>
          <w:rFonts w:ascii="Arial" w:hAnsi="Arial" w:cs="Arial"/>
          <w:b/>
          <w:strike/>
          <w:sz w:val="22"/>
          <w:szCs w:val="22"/>
          <w:lang w:eastAsia="zh-CN"/>
        </w:rPr>
      </w:pPr>
    </w:p>
    <w:p w14:paraId="68F83577" w14:textId="77777777" w:rsidR="008F52C8" w:rsidRPr="0030358C" w:rsidRDefault="00000000" w:rsidP="008F52C8">
      <w:pPr>
        <w:widowControl w:val="0"/>
        <w:autoSpaceDE w:val="0"/>
        <w:jc w:val="both"/>
        <w:rPr>
          <w:rFonts w:ascii="Arial" w:hAnsi="Arial" w:cs="Arial"/>
          <w:b/>
          <w:bCs/>
          <w:strike/>
          <w:sz w:val="22"/>
          <w:szCs w:val="22"/>
          <w:lang w:eastAsia="zh-CN"/>
        </w:rPr>
      </w:pPr>
      <w:r w:rsidRPr="0030358C">
        <w:rPr>
          <w:rFonts w:ascii="Arial" w:hAnsi="Arial" w:cs="Arial"/>
          <w:b/>
          <w:bCs/>
          <w:strike/>
          <w:sz w:val="22"/>
          <w:szCs w:val="22"/>
          <w:lang w:eastAsia="zh-CN"/>
        </w:rPr>
        <w:t>Technologický ohřev procesních van</w:t>
      </w:r>
    </w:p>
    <w:tbl>
      <w:tblPr>
        <w:tblW w:w="0" w:type="auto"/>
        <w:tblInd w:w="-6" w:type="dxa"/>
        <w:tblLayout w:type="fixed"/>
        <w:tblCellMar>
          <w:left w:w="10" w:type="dxa"/>
          <w:right w:w="10" w:type="dxa"/>
        </w:tblCellMar>
        <w:tblLook w:val="0000" w:firstRow="0" w:lastRow="0" w:firstColumn="0" w:lastColumn="0" w:noHBand="0" w:noVBand="0"/>
      </w:tblPr>
      <w:tblGrid>
        <w:gridCol w:w="2754"/>
        <w:gridCol w:w="2754"/>
        <w:gridCol w:w="3896"/>
      </w:tblGrid>
      <w:tr w:rsidR="00E40657" w14:paraId="657DFDAF" w14:textId="77777777" w:rsidTr="00732453">
        <w:trPr>
          <w:cantSplit/>
          <w:trHeight w:hRule="exact" w:val="341"/>
        </w:trPr>
        <w:tc>
          <w:tcPr>
            <w:tcW w:w="5508" w:type="dxa"/>
            <w:gridSpan w:val="2"/>
            <w:tcBorders>
              <w:top w:val="single" w:sz="2" w:space="0" w:color="000000"/>
              <w:left w:val="single" w:sz="2" w:space="0" w:color="000000"/>
              <w:bottom w:val="single" w:sz="2" w:space="0" w:color="000000"/>
            </w:tcBorders>
            <w:shd w:val="clear" w:color="auto" w:fill="auto"/>
            <w:vAlign w:val="center"/>
          </w:tcPr>
          <w:p w14:paraId="1527FEAF"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896" w:type="dxa"/>
            <w:vMerge w:val="restart"/>
            <w:tcBorders>
              <w:top w:val="single" w:sz="2" w:space="0" w:color="000000"/>
              <w:left w:val="single" w:sz="2" w:space="0" w:color="000000"/>
              <w:right w:val="single" w:sz="4" w:space="0" w:color="000000"/>
            </w:tcBorders>
            <w:shd w:val="clear" w:color="auto" w:fill="auto"/>
            <w:vAlign w:val="center"/>
          </w:tcPr>
          <w:p w14:paraId="3A623AFE"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01F07820" w14:textId="77777777" w:rsidTr="00732453">
        <w:trPr>
          <w:cantSplit/>
          <w:trHeight w:hRule="exact" w:val="340"/>
        </w:trPr>
        <w:tc>
          <w:tcPr>
            <w:tcW w:w="2754" w:type="dxa"/>
            <w:tcBorders>
              <w:top w:val="single" w:sz="2" w:space="0" w:color="000000"/>
              <w:left w:val="single" w:sz="2" w:space="0" w:color="000000"/>
              <w:bottom w:val="single" w:sz="2" w:space="0" w:color="000000"/>
            </w:tcBorders>
            <w:shd w:val="clear" w:color="auto" w:fill="auto"/>
            <w:vAlign w:val="center"/>
          </w:tcPr>
          <w:p w14:paraId="2D7A137E"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2754" w:type="dxa"/>
            <w:tcBorders>
              <w:top w:val="single" w:sz="2" w:space="0" w:color="000000"/>
              <w:left w:val="single" w:sz="2" w:space="0" w:color="000000"/>
              <w:bottom w:val="single" w:sz="2" w:space="0" w:color="000000"/>
            </w:tcBorders>
            <w:shd w:val="clear" w:color="auto" w:fill="auto"/>
            <w:vAlign w:val="center"/>
          </w:tcPr>
          <w:p w14:paraId="3F4A9859"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bCs/>
                <w:strike/>
                <w:sz w:val="22"/>
                <w:szCs w:val="22"/>
                <w:vertAlign w:val="subscript"/>
                <w:lang w:eastAsia="zh-CN"/>
              </w:rPr>
              <w:t>2</w:t>
            </w:r>
          </w:p>
        </w:tc>
        <w:tc>
          <w:tcPr>
            <w:tcW w:w="3896" w:type="dxa"/>
            <w:vMerge/>
            <w:tcBorders>
              <w:left w:val="single" w:sz="2" w:space="0" w:color="000000"/>
              <w:bottom w:val="single" w:sz="2" w:space="0" w:color="000000"/>
              <w:right w:val="single" w:sz="4" w:space="0" w:color="000000"/>
            </w:tcBorders>
            <w:shd w:val="clear" w:color="auto" w:fill="auto"/>
          </w:tcPr>
          <w:p w14:paraId="2BC3646D" w14:textId="77777777" w:rsidR="008F52C8" w:rsidRPr="0030358C" w:rsidRDefault="008F52C8" w:rsidP="00732453">
            <w:pPr>
              <w:widowControl w:val="0"/>
              <w:autoSpaceDE w:val="0"/>
              <w:snapToGrid w:val="0"/>
              <w:jc w:val="center"/>
              <w:rPr>
                <w:rFonts w:ascii="Arial" w:hAnsi="Arial" w:cs="Arial"/>
                <w:b/>
                <w:bCs/>
                <w:strike/>
                <w:sz w:val="22"/>
                <w:szCs w:val="22"/>
                <w:lang w:eastAsia="zh-CN"/>
              </w:rPr>
            </w:pPr>
          </w:p>
        </w:tc>
      </w:tr>
      <w:tr w:rsidR="00E40657" w14:paraId="3B24E335" w14:textId="77777777" w:rsidTr="00732453">
        <w:trPr>
          <w:trHeight w:hRule="exact" w:val="370"/>
        </w:trPr>
        <w:tc>
          <w:tcPr>
            <w:tcW w:w="2754" w:type="dxa"/>
            <w:tcBorders>
              <w:top w:val="single" w:sz="2" w:space="0" w:color="000000"/>
              <w:left w:val="single" w:sz="2" w:space="0" w:color="000000"/>
              <w:bottom w:val="single" w:sz="2" w:space="0" w:color="000000"/>
            </w:tcBorders>
            <w:shd w:val="clear" w:color="auto" w:fill="auto"/>
            <w:vAlign w:val="center"/>
          </w:tcPr>
          <w:p w14:paraId="013D24E4"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2754" w:type="dxa"/>
            <w:tcBorders>
              <w:top w:val="single" w:sz="2" w:space="0" w:color="000000"/>
              <w:left w:val="single" w:sz="2" w:space="0" w:color="000000"/>
              <w:bottom w:val="single" w:sz="2" w:space="0" w:color="000000"/>
            </w:tcBorders>
            <w:shd w:val="clear" w:color="auto" w:fill="auto"/>
            <w:vAlign w:val="center"/>
          </w:tcPr>
          <w:p w14:paraId="21BCFA53"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38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DC152A"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112D3C7A" w14:textId="77777777" w:rsidR="008F52C8" w:rsidRPr="0030358C" w:rsidRDefault="008F52C8" w:rsidP="008F52C8">
      <w:pPr>
        <w:widowControl w:val="0"/>
        <w:tabs>
          <w:tab w:val="left" w:leader="underscore" w:pos="3960"/>
        </w:tabs>
        <w:autoSpaceDE w:val="0"/>
        <w:jc w:val="both"/>
        <w:rPr>
          <w:rFonts w:ascii="Arial" w:hAnsi="Arial" w:cs="Arial"/>
          <w:b/>
          <w:bCs/>
          <w:strike/>
          <w:sz w:val="22"/>
          <w:szCs w:val="22"/>
          <w:lang w:eastAsia="zh-CN"/>
        </w:rPr>
      </w:pPr>
    </w:p>
    <w:p w14:paraId="0F75CE18" w14:textId="77777777" w:rsidR="008F52C8" w:rsidRPr="0030358C" w:rsidRDefault="008F52C8" w:rsidP="008F52C8">
      <w:pPr>
        <w:widowControl w:val="0"/>
        <w:autoSpaceDE w:val="0"/>
        <w:jc w:val="both"/>
        <w:rPr>
          <w:rFonts w:ascii="Arial" w:hAnsi="Arial" w:cs="Arial"/>
          <w:b/>
          <w:bCs/>
          <w:strike/>
          <w:sz w:val="22"/>
          <w:szCs w:val="22"/>
          <w:lang w:eastAsia="zh-CN"/>
        </w:rPr>
      </w:pPr>
    </w:p>
    <w:p w14:paraId="357023EB" w14:textId="77777777" w:rsidR="008F52C8" w:rsidRPr="0030358C" w:rsidRDefault="00000000" w:rsidP="008F52C8">
      <w:pPr>
        <w:widowControl w:val="0"/>
        <w:autoSpaceDE w:val="0"/>
        <w:jc w:val="both"/>
        <w:rPr>
          <w:rFonts w:ascii="Arial" w:hAnsi="Arial" w:cs="Arial"/>
          <w:bCs/>
          <w:strike/>
          <w:sz w:val="22"/>
          <w:szCs w:val="22"/>
          <w:lang w:eastAsia="zh-CN"/>
        </w:rPr>
      </w:pPr>
      <w:r w:rsidRPr="0030358C">
        <w:rPr>
          <w:rFonts w:ascii="Arial" w:hAnsi="Arial" w:cs="Arial"/>
          <w:b/>
          <w:bCs/>
          <w:strike/>
          <w:sz w:val="22"/>
          <w:szCs w:val="22"/>
          <w:lang w:eastAsia="zh-CN"/>
        </w:rPr>
        <w:t xml:space="preserve">3.8.6. Nanášení ochranných povlaků z roztavených kovů – procesní vany s celkovou projektovanou kapacitou větší než 1 tuna pokovené oceli za hodinu </w:t>
      </w:r>
      <w:r w:rsidRPr="0030358C">
        <w:rPr>
          <w:rFonts w:ascii="Arial" w:hAnsi="Arial" w:cs="Arial"/>
          <w:bCs/>
          <w:strike/>
          <w:sz w:val="22"/>
          <w:szCs w:val="22"/>
          <w:lang w:eastAsia="zh-CN"/>
        </w:rPr>
        <w:t>(kód 4.16. dle přílohy č. 2 zákona)</w:t>
      </w:r>
    </w:p>
    <w:p w14:paraId="2A1EC6DD" w14:textId="77777777" w:rsidR="008F52C8" w:rsidRPr="0030358C" w:rsidRDefault="008F52C8" w:rsidP="008F52C8">
      <w:pPr>
        <w:widowControl w:val="0"/>
        <w:autoSpaceDE w:val="0"/>
        <w:jc w:val="both"/>
        <w:rPr>
          <w:rFonts w:ascii="Arial" w:hAnsi="Arial" w:cs="Arial"/>
          <w:b/>
          <w:bCs/>
          <w:strike/>
          <w:sz w:val="22"/>
          <w:szCs w:val="22"/>
          <w:lang w:eastAsia="zh-CN"/>
        </w:rPr>
      </w:pPr>
    </w:p>
    <w:p w14:paraId="79BFD39D" w14:textId="77777777" w:rsidR="008F52C8" w:rsidRPr="0030358C" w:rsidRDefault="00000000" w:rsidP="008F52C8">
      <w:pPr>
        <w:keepNext/>
        <w:keepLines/>
        <w:rPr>
          <w:rFonts w:ascii="Arial" w:hAnsi="Arial" w:cs="Arial"/>
          <w:strike/>
          <w:sz w:val="22"/>
          <w:szCs w:val="22"/>
          <w:lang w:eastAsia="zh-CN"/>
        </w:rPr>
      </w:pPr>
      <w:r w:rsidRPr="0030358C">
        <w:rPr>
          <w:rFonts w:ascii="Arial" w:hAnsi="Arial" w:cs="Arial"/>
          <w:strike/>
          <w:sz w:val="22"/>
          <w:szCs w:val="22"/>
          <w:lang w:eastAsia="zh-CN"/>
        </w:rPr>
        <w:t xml:space="preserve">Uvedené emisní limity platí pro pece s přímým procesním ohřevem nebo při použití speciální ochranné atmosféry. </w:t>
      </w:r>
    </w:p>
    <w:p w14:paraId="4F262B3D" w14:textId="77777777" w:rsidR="008F52C8" w:rsidRPr="0030358C" w:rsidRDefault="008F52C8" w:rsidP="008F52C8">
      <w:pPr>
        <w:widowControl w:val="0"/>
        <w:tabs>
          <w:tab w:val="left" w:leader="underscore" w:pos="3960"/>
        </w:tabs>
        <w:autoSpaceDE w:val="0"/>
        <w:jc w:val="both"/>
        <w:rPr>
          <w:rFonts w:ascii="Arial" w:hAnsi="Arial" w:cs="Arial"/>
          <w:strike/>
          <w:sz w:val="22"/>
          <w:szCs w:val="22"/>
          <w:lang w:eastAsia="zh-CN"/>
        </w:rPr>
      </w:pPr>
    </w:p>
    <w:p w14:paraId="0655B115" w14:textId="77777777" w:rsidR="008F52C8" w:rsidRPr="0030358C" w:rsidRDefault="00000000" w:rsidP="008F52C8">
      <w:pPr>
        <w:widowControl w:val="0"/>
        <w:autoSpaceDE w:val="0"/>
        <w:jc w:val="both"/>
        <w:rPr>
          <w:rFonts w:ascii="Arial" w:hAnsi="Arial" w:cs="Arial"/>
          <w:b/>
          <w:bCs/>
          <w:strike/>
          <w:sz w:val="22"/>
          <w:szCs w:val="22"/>
          <w:lang w:eastAsia="zh-CN"/>
        </w:rPr>
      </w:pPr>
      <w:r w:rsidRPr="0030358C">
        <w:rPr>
          <w:rFonts w:ascii="Arial" w:hAnsi="Arial" w:cs="Arial"/>
          <w:b/>
          <w:bCs/>
          <w:strike/>
          <w:sz w:val="22"/>
          <w:szCs w:val="22"/>
          <w:lang w:eastAsia="zh-CN"/>
        </w:rPr>
        <w:t>Technologický ohřev procesních van</w:t>
      </w:r>
    </w:p>
    <w:tbl>
      <w:tblPr>
        <w:tblW w:w="0" w:type="auto"/>
        <w:tblInd w:w="-6" w:type="dxa"/>
        <w:tblLayout w:type="fixed"/>
        <w:tblCellMar>
          <w:left w:w="10" w:type="dxa"/>
          <w:right w:w="10" w:type="dxa"/>
        </w:tblCellMar>
        <w:tblLook w:val="0000" w:firstRow="0" w:lastRow="0" w:firstColumn="0" w:lastColumn="0" w:noHBand="0" w:noVBand="0"/>
      </w:tblPr>
      <w:tblGrid>
        <w:gridCol w:w="3027"/>
        <w:gridCol w:w="3030"/>
        <w:gridCol w:w="3347"/>
      </w:tblGrid>
      <w:tr w:rsidR="00E40657" w14:paraId="336542F1" w14:textId="77777777" w:rsidTr="00732453">
        <w:trPr>
          <w:cantSplit/>
          <w:trHeight w:hRule="exact" w:val="341"/>
        </w:trPr>
        <w:tc>
          <w:tcPr>
            <w:tcW w:w="6057" w:type="dxa"/>
            <w:gridSpan w:val="2"/>
            <w:tcBorders>
              <w:top w:val="single" w:sz="2" w:space="0" w:color="000000"/>
              <w:left w:val="single" w:sz="2" w:space="0" w:color="000000"/>
              <w:bottom w:val="single" w:sz="2" w:space="0" w:color="000000"/>
            </w:tcBorders>
            <w:shd w:val="clear" w:color="auto" w:fill="auto"/>
            <w:vAlign w:val="center"/>
          </w:tcPr>
          <w:p w14:paraId="20773804"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347" w:type="dxa"/>
            <w:vMerge w:val="restart"/>
            <w:tcBorders>
              <w:top w:val="single" w:sz="2" w:space="0" w:color="000000"/>
              <w:left w:val="single" w:sz="2" w:space="0" w:color="000000"/>
              <w:right w:val="single" w:sz="4" w:space="0" w:color="000000"/>
            </w:tcBorders>
            <w:shd w:val="clear" w:color="auto" w:fill="auto"/>
            <w:vAlign w:val="center"/>
          </w:tcPr>
          <w:p w14:paraId="18ACAC93"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5ED215CC" w14:textId="77777777" w:rsidTr="00732453">
        <w:trPr>
          <w:cantSplit/>
          <w:trHeight w:hRule="exact" w:val="340"/>
        </w:trPr>
        <w:tc>
          <w:tcPr>
            <w:tcW w:w="3027" w:type="dxa"/>
            <w:tcBorders>
              <w:top w:val="single" w:sz="2" w:space="0" w:color="000000"/>
              <w:left w:val="single" w:sz="2" w:space="0" w:color="000000"/>
              <w:bottom w:val="single" w:sz="2" w:space="0" w:color="000000"/>
            </w:tcBorders>
            <w:shd w:val="clear" w:color="auto" w:fill="auto"/>
            <w:vAlign w:val="center"/>
          </w:tcPr>
          <w:p w14:paraId="4EC5F297"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3030" w:type="dxa"/>
            <w:tcBorders>
              <w:top w:val="single" w:sz="2" w:space="0" w:color="000000"/>
              <w:left w:val="single" w:sz="2" w:space="0" w:color="000000"/>
              <w:bottom w:val="single" w:sz="2" w:space="0" w:color="000000"/>
            </w:tcBorders>
            <w:shd w:val="clear" w:color="auto" w:fill="auto"/>
            <w:vAlign w:val="center"/>
          </w:tcPr>
          <w:p w14:paraId="1AF858EF"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bCs/>
                <w:strike/>
                <w:sz w:val="22"/>
                <w:szCs w:val="22"/>
                <w:vertAlign w:val="subscript"/>
                <w:lang w:eastAsia="zh-CN"/>
              </w:rPr>
              <w:t>2</w:t>
            </w:r>
          </w:p>
        </w:tc>
        <w:tc>
          <w:tcPr>
            <w:tcW w:w="3347" w:type="dxa"/>
            <w:vMerge/>
            <w:tcBorders>
              <w:left w:val="single" w:sz="2" w:space="0" w:color="000000"/>
              <w:bottom w:val="single" w:sz="2" w:space="0" w:color="000000"/>
              <w:right w:val="single" w:sz="4" w:space="0" w:color="000000"/>
            </w:tcBorders>
            <w:shd w:val="clear" w:color="auto" w:fill="auto"/>
          </w:tcPr>
          <w:p w14:paraId="447886A4" w14:textId="77777777" w:rsidR="008F52C8" w:rsidRPr="0030358C" w:rsidRDefault="008F52C8" w:rsidP="00732453">
            <w:pPr>
              <w:widowControl w:val="0"/>
              <w:autoSpaceDE w:val="0"/>
              <w:snapToGrid w:val="0"/>
              <w:jc w:val="center"/>
              <w:rPr>
                <w:rFonts w:ascii="Arial" w:hAnsi="Arial" w:cs="Arial"/>
                <w:b/>
                <w:bCs/>
                <w:strike/>
                <w:sz w:val="22"/>
                <w:szCs w:val="22"/>
                <w:lang w:eastAsia="zh-CN"/>
              </w:rPr>
            </w:pPr>
          </w:p>
        </w:tc>
      </w:tr>
      <w:tr w:rsidR="00E40657" w14:paraId="4CA5A561" w14:textId="77777777" w:rsidTr="00732453">
        <w:trPr>
          <w:trHeight w:hRule="exact" w:val="537"/>
        </w:trPr>
        <w:tc>
          <w:tcPr>
            <w:tcW w:w="3027" w:type="dxa"/>
            <w:tcBorders>
              <w:top w:val="single" w:sz="2" w:space="0" w:color="000000"/>
              <w:left w:val="single" w:sz="2" w:space="0" w:color="000000"/>
              <w:bottom w:val="single" w:sz="2" w:space="0" w:color="000000"/>
            </w:tcBorders>
            <w:shd w:val="clear" w:color="auto" w:fill="auto"/>
            <w:vAlign w:val="center"/>
          </w:tcPr>
          <w:p w14:paraId="3C9B133E" w14:textId="77777777" w:rsidR="008F52C8" w:rsidRPr="0030358C" w:rsidRDefault="00000000" w:rsidP="00732453">
            <w:pPr>
              <w:widowControl w:val="0"/>
              <w:autoSpaceDE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3030" w:type="dxa"/>
            <w:tcBorders>
              <w:top w:val="single" w:sz="2" w:space="0" w:color="000000"/>
              <w:left w:val="single" w:sz="2" w:space="0" w:color="000000"/>
              <w:bottom w:val="single" w:sz="2" w:space="0" w:color="000000"/>
            </w:tcBorders>
            <w:shd w:val="clear" w:color="auto" w:fill="auto"/>
            <w:vAlign w:val="center"/>
          </w:tcPr>
          <w:p w14:paraId="243E0D16"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400</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88DD7B"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09C65115" w14:textId="77777777" w:rsidR="008F52C8" w:rsidRPr="0030358C" w:rsidRDefault="008F52C8" w:rsidP="008F52C8">
      <w:pPr>
        <w:widowControl w:val="0"/>
        <w:tabs>
          <w:tab w:val="left" w:leader="underscore" w:pos="3960"/>
        </w:tabs>
        <w:autoSpaceDE w:val="0"/>
        <w:jc w:val="both"/>
        <w:rPr>
          <w:rFonts w:ascii="Arial" w:hAnsi="Arial" w:cs="Arial"/>
          <w:b/>
          <w:bCs/>
          <w:strike/>
          <w:sz w:val="22"/>
          <w:szCs w:val="22"/>
          <w:lang w:eastAsia="zh-CN"/>
        </w:rPr>
      </w:pPr>
    </w:p>
    <w:p w14:paraId="18215A1D" w14:textId="77777777" w:rsidR="008F52C8" w:rsidRPr="0030358C" w:rsidRDefault="008F52C8" w:rsidP="008F52C8">
      <w:pPr>
        <w:widowControl w:val="0"/>
        <w:tabs>
          <w:tab w:val="left" w:leader="underscore" w:pos="3960"/>
        </w:tabs>
        <w:autoSpaceDE w:val="0"/>
        <w:jc w:val="both"/>
        <w:rPr>
          <w:rFonts w:ascii="Arial" w:hAnsi="Arial" w:cs="Arial"/>
          <w:b/>
          <w:bCs/>
          <w:strike/>
          <w:sz w:val="22"/>
          <w:szCs w:val="22"/>
          <w:lang w:eastAsia="zh-CN"/>
        </w:rPr>
      </w:pPr>
    </w:p>
    <w:p w14:paraId="528AC8F3" w14:textId="77777777" w:rsidR="008F52C8" w:rsidRPr="0030358C" w:rsidRDefault="00000000" w:rsidP="008F52C8">
      <w:pPr>
        <w:widowControl w:val="0"/>
        <w:tabs>
          <w:tab w:val="left" w:leader="underscore" w:pos="3960"/>
        </w:tabs>
        <w:autoSpaceDE w:val="0"/>
        <w:jc w:val="both"/>
        <w:rPr>
          <w:rFonts w:ascii="Arial" w:hAnsi="Arial" w:cs="Arial"/>
          <w:b/>
          <w:strike/>
          <w:sz w:val="22"/>
          <w:szCs w:val="22"/>
          <w:lang w:eastAsia="zh-CN"/>
        </w:rPr>
      </w:pPr>
      <w:r w:rsidRPr="0030358C">
        <w:rPr>
          <w:rFonts w:ascii="Arial" w:hAnsi="Arial" w:cs="Arial"/>
          <w:b/>
          <w:bCs/>
          <w:strike/>
          <w:sz w:val="22"/>
          <w:szCs w:val="22"/>
          <w:lang w:eastAsia="zh-CN"/>
        </w:rPr>
        <w:t xml:space="preserve">3.8.7. Žárové pokovování zinkem </w:t>
      </w:r>
      <w:r w:rsidRPr="0030358C">
        <w:rPr>
          <w:rFonts w:ascii="Arial" w:hAnsi="Arial" w:cs="Arial"/>
          <w:bCs/>
          <w:strike/>
          <w:sz w:val="22"/>
          <w:szCs w:val="22"/>
          <w:lang w:eastAsia="zh-CN"/>
        </w:rPr>
        <w:t>(kód 4.17. dle přílohy č. 2 zákona)</w:t>
      </w:r>
    </w:p>
    <w:tbl>
      <w:tblPr>
        <w:tblW w:w="9404" w:type="dxa"/>
        <w:tblInd w:w="-6" w:type="dxa"/>
        <w:tblLayout w:type="fixed"/>
        <w:tblCellMar>
          <w:left w:w="10" w:type="dxa"/>
          <w:right w:w="10" w:type="dxa"/>
        </w:tblCellMar>
        <w:tblLook w:val="0000" w:firstRow="0" w:lastRow="0" w:firstColumn="0" w:lastColumn="0" w:noHBand="0" w:noVBand="0"/>
      </w:tblPr>
      <w:tblGrid>
        <w:gridCol w:w="2993"/>
        <w:gridCol w:w="2977"/>
        <w:gridCol w:w="3434"/>
      </w:tblGrid>
      <w:tr w:rsidR="00E40657" w14:paraId="79540742" w14:textId="77777777" w:rsidTr="00732453">
        <w:trPr>
          <w:cantSplit/>
          <w:trHeight w:hRule="exact" w:val="341"/>
        </w:trPr>
        <w:tc>
          <w:tcPr>
            <w:tcW w:w="5970" w:type="dxa"/>
            <w:gridSpan w:val="2"/>
            <w:tcBorders>
              <w:top w:val="single" w:sz="2" w:space="0" w:color="000000"/>
              <w:left w:val="single" w:sz="2" w:space="0" w:color="000000"/>
              <w:bottom w:val="single" w:sz="2" w:space="0" w:color="000000"/>
            </w:tcBorders>
            <w:shd w:val="clear" w:color="auto" w:fill="auto"/>
            <w:vAlign w:val="center"/>
          </w:tcPr>
          <w:p w14:paraId="314BF7E2"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434" w:type="dxa"/>
            <w:vMerge w:val="restart"/>
            <w:tcBorders>
              <w:top w:val="single" w:sz="2" w:space="0" w:color="000000"/>
              <w:left w:val="single" w:sz="2" w:space="0" w:color="000000"/>
              <w:right w:val="single" w:sz="4" w:space="0" w:color="000000"/>
            </w:tcBorders>
            <w:shd w:val="clear" w:color="auto" w:fill="auto"/>
            <w:vAlign w:val="center"/>
          </w:tcPr>
          <w:p w14:paraId="4A715844"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29ABB951" w14:textId="77777777" w:rsidTr="00732453">
        <w:trPr>
          <w:cantSplit/>
          <w:trHeight w:hRule="exact" w:val="340"/>
        </w:trPr>
        <w:tc>
          <w:tcPr>
            <w:tcW w:w="2993" w:type="dxa"/>
            <w:tcBorders>
              <w:top w:val="single" w:sz="2" w:space="0" w:color="000000"/>
              <w:left w:val="single" w:sz="2" w:space="0" w:color="000000"/>
              <w:bottom w:val="single" w:sz="2" w:space="0" w:color="000000"/>
            </w:tcBorders>
            <w:shd w:val="clear" w:color="auto" w:fill="auto"/>
            <w:vAlign w:val="center"/>
          </w:tcPr>
          <w:p w14:paraId="27A77806"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2977" w:type="dxa"/>
            <w:tcBorders>
              <w:top w:val="single" w:sz="2" w:space="0" w:color="000000"/>
              <w:left w:val="single" w:sz="2" w:space="0" w:color="000000"/>
              <w:bottom w:val="single" w:sz="2" w:space="0" w:color="000000"/>
            </w:tcBorders>
            <w:shd w:val="clear" w:color="auto" w:fill="auto"/>
            <w:vAlign w:val="center"/>
          </w:tcPr>
          <w:p w14:paraId="5EB43A32"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zinek</w:t>
            </w:r>
          </w:p>
        </w:tc>
        <w:tc>
          <w:tcPr>
            <w:tcW w:w="3434" w:type="dxa"/>
            <w:vMerge/>
            <w:tcBorders>
              <w:left w:val="single" w:sz="2" w:space="0" w:color="000000"/>
              <w:bottom w:val="single" w:sz="2" w:space="0" w:color="000000"/>
              <w:right w:val="single" w:sz="4" w:space="0" w:color="000000"/>
            </w:tcBorders>
            <w:shd w:val="clear" w:color="auto" w:fill="auto"/>
            <w:vAlign w:val="center"/>
          </w:tcPr>
          <w:p w14:paraId="43297CF6" w14:textId="77777777" w:rsidR="008F52C8" w:rsidRPr="0030358C" w:rsidRDefault="008F52C8" w:rsidP="00732453">
            <w:pPr>
              <w:widowControl w:val="0"/>
              <w:autoSpaceDE w:val="0"/>
              <w:snapToGrid w:val="0"/>
              <w:jc w:val="center"/>
              <w:rPr>
                <w:rFonts w:ascii="Arial" w:hAnsi="Arial" w:cs="Arial"/>
                <w:b/>
                <w:bCs/>
                <w:strike/>
                <w:sz w:val="22"/>
                <w:szCs w:val="22"/>
                <w:lang w:eastAsia="zh-CN"/>
              </w:rPr>
            </w:pPr>
          </w:p>
        </w:tc>
      </w:tr>
      <w:tr w:rsidR="00E40657" w14:paraId="4F49F342" w14:textId="77777777" w:rsidTr="00732453">
        <w:trPr>
          <w:trHeight w:hRule="exact" w:val="642"/>
        </w:trPr>
        <w:tc>
          <w:tcPr>
            <w:tcW w:w="2993" w:type="dxa"/>
            <w:tcBorders>
              <w:top w:val="single" w:sz="2" w:space="0" w:color="000000"/>
              <w:left w:val="single" w:sz="2" w:space="0" w:color="000000"/>
              <w:bottom w:val="single" w:sz="2" w:space="0" w:color="000000"/>
            </w:tcBorders>
            <w:shd w:val="clear" w:color="auto" w:fill="auto"/>
            <w:vAlign w:val="center"/>
          </w:tcPr>
          <w:p w14:paraId="3BF12AFF"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p>
        </w:tc>
        <w:tc>
          <w:tcPr>
            <w:tcW w:w="2977" w:type="dxa"/>
            <w:tcBorders>
              <w:top w:val="single" w:sz="2" w:space="0" w:color="000000"/>
              <w:left w:val="single" w:sz="2" w:space="0" w:color="000000"/>
              <w:bottom w:val="single" w:sz="2" w:space="0" w:color="000000"/>
            </w:tcBorders>
            <w:shd w:val="clear" w:color="auto" w:fill="auto"/>
            <w:vAlign w:val="center"/>
          </w:tcPr>
          <w:p w14:paraId="2E0B58EC" w14:textId="77777777" w:rsidR="008F52C8" w:rsidRPr="0030358C" w:rsidRDefault="00000000" w:rsidP="00732453">
            <w:pPr>
              <w:widowControl w:val="0"/>
              <w:autoSpaceDE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34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5F18E0"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6306196B" w14:textId="77777777" w:rsidR="008F52C8" w:rsidRPr="0030358C" w:rsidRDefault="008F52C8" w:rsidP="008F52C8">
      <w:pPr>
        <w:rPr>
          <w:rFonts w:ascii="Arial" w:hAnsi="Arial" w:cs="Arial"/>
          <w:b/>
          <w:strike/>
          <w:sz w:val="22"/>
          <w:szCs w:val="22"/>
          <w:lang w:eastAsia="zh-CN"/>
        </w:rPr>
      </w:pPr>
    </w:p>
    <w:p w14:paraId="7C0A1408" w14:textId="77777777" w:rsidR="008F52C8" w:rsidRPr="0030358C" w:rsidRDefault="008F52C8" w:rsidP="008F52C8">
      <w:pPr>
        <w:keepNext/>
        <w:numPr>
          <w:ilvl w:val="1"/>
          <w:numId w:val="0"/>
        </w:numPr>
        <w:tabs>
          <w:tab w:val="num" w:pos="0"/>
        </w:tabs>
        <w:spacing w:before="60"/>
        <w:ind w:left="576" w:hanging="576"/>
        <w:jc w:val="both"/>
        <w:outlineLvl w:val="1"/>
        <w:rPr>
          <w:rFonts w:ascii="Arial" w:hAnsi="Arial" w:cs="Arial"/>
          <w:b/>
          <w:strike/>
          <w:sz w:val="22"/>
          <w:szCs w:val="22"/>
          <w:lang w:eastAsia="zh-CN"/>
        </w:rPr>
      </w:pPr>
    </w:p>
    <w:p w14:paraId="29AF61E8" w14:textId="77777777" w:rsidR="008F52C8" w:rsidRPr="0030358C" w:rsidRDefault="00000000" w:rsidP="008F52C8">
      <w:pPr>
        <w:keepNext/>
        <w:numPr>
          <w:ilvl w:val="1"/>
          <w:numId w:val="0"/>
        </w:numPr>
        <w:tabs>
          <w:tab w:val="num" w:pos="0"/>
        </w:tabs>
        <w:spacing w:before="60"/>
        <w:ind w:left="576" w:hanging="576"/>
        <w:jc w:val="both"/>
        <w:outlineLvl w:val="1"/>
        <w:rPr>
          <w:rFonts w:ascii="Arial" w:hAnsi="Arial" w:cs="Arial"/>
          <w:bCs/>
          <w:strike/>
          <w:sz w:val="22"/>
          <w:szCs w:val="22"/>
          <w:lang w:eastAsia="zh-CN"/>
        </w:rPr>
      </w:pPr>
      <w:r w:rsidRPr="0030358C">
        <w:rPr>
          <w:rFonts w:ascii="Arial" w:hAnsi="Arial" w:cs="Arial"/>
          <w:b/>
          <w:strike/>
          <w:sz w:val="22"/>
          <w:szCs w:val="22"/>
          <w:lang w:eastAsia="zh-CN"/>
        </w:rPr>
        <w:t xml:space="preserve">4. ZPRACOVÁNÍ NEROSTNÝCH SUROVIN </w:t>
      </w:r>
      <w:r w:rsidRPr="0030358C">
        <w:rPr>
          <w:rFonts w:ascii="Arial" w:hAnsi="Arial" w:cs="Arial"/>
          <w:bCs/>
          <w:strike/>
          <w:sz w:val="22"/>
          <w:szCs w:val="22"/>
          <w:lang w:eastAsia="zh-CN"/>
        </w:rPr>
        <w:t>(kód 5. dle přílohy č. 2 zákona)</w:t>
      </w:r>
    </w:p>
    <w:p w14:paraId="484BC371" w14:textId="77777777" w:rsidR="008F52C8" w:rsidRPr="0030358C" w:rsidRDefault="008F52C8" w:rsidP="008F52C8">
      <w:pPr>
        <w:keepNext/>
        <w:numPr>
          <w:ilvl w:val="2"/>
          <w:numId w:val="0"/>
        </w:numPr>
        <w:tabs>
          <w:tab w:val="num" w:pos="0"/>
        </w:tabs>
        <w:ind w:left="720"/>
        <w:jc w:val="both"/>
        <w:outlineLvl w:val="2"/>
        <w:rPr>
          <w:rFonts w:ascii="Arial" w:hAnsi="Arial" w:cs="Arial"/>
          <w:b/>
          <w:strike/>
          <w:sz w:val="22"/>
          <w:szCs w:val="22"/>
          <w:lang w:eastAsia="zh-CN"/>
        </w:rPr>
      </w:pPr>
    </w:p>
    <w:p w14:paraId="1D95AECE" w14:textId="77777777" w:rsidR="008F52C8" w:rsidRPr="0030358C" w:rsidRDefault="00000000" w:rsidP="008F52C8">
      <w:pPr>
        <w:keepNext/>
        <w:numPr>
          <w:ilvl w:val="2"/>
          <w:numId w:val="0"/>
        </w:numPr>
        <w:tabs>
          <w:tab w:val="num" w:pos="0"/>
        </w:tabs>
        <w:spacing w:before="60"/>
        <w:ind w:left="567" w:hanging="567"/>
        <w:jc w:val="both"/>
        <w:outlineLvl w:val="2"/>
        <w:rPr>
          <w:rFonts w:ascii="Arial" w:hAnsi="Arial" w:cs="Arial"/>
          <w:b/>
          <w:strike/>
          <w:sz w:val="22"/>
          <w:szCs w:val="22"/>
          <w:lang w:eastAsia="zh-CN"/>
        </w:rPr>
      </w:pPr>
      <w:r w:rsidRPr="0030358C">
        <w:rPr>
          <w:rFonts w:ascii="Arial" w:hAnsi="Arial" w:cs="Arial"/>
          <w:b/>
          <w:strike/>
          <w:sz w:val="22"/>
          <w:szCs w:val="22"/>
          <w:lang w:eastAsia="zh-CN"/>
        </w:rPr>
        <w:t xml:space="preserve">4.1. Výroba cementářského slínku, vápna, úprava žárovzdorných jílovců a zpracování produktů odsíření  </w:t>
      </w:r>
    </w:p>
    <w:p w14:paraId="125FC5C4" w14:textId="77777777" w:rsidR="008F52C8" w:rsidRPr="0030358C" w:rsidRDefault="008F52C8" w:rsidP="008F52C8">
      <w:pPr>
        <w:rPr>
          <w:rFonts w:ascii="Arial" w:hAnsi="Arial" w:cs="Arial"/>
          <w:b/>
          <w:strike/>
          <w:sz w:val="22"/>
          <w:szCs w:val="22"/>
          <w:lang w:eastAsia="zh-CN"/>
        </w:rPr>
      </w:pPr>
    </w:p>
    <w:p w14:paraId="7F32BB21" w14:textId="77777777" w:rsidR="008F52C8" w:rsidRPr="0030358C" w:rsidRDefault="00000000" w:rsidP="008F52C8">
      <w:pPr>
        <w:rPr>
          <w:rFonts w:ascii="Arial" w:hAnsi="Arial" w:cs="Arial"/>
          <w:strike/>
          <w:sz w:val="22"/>
          <w:szCs w:val="22"/>
          <w:lang w:eastAsia="zh-CN"/>
        </w:rPr>
      </w:pPr>
      <w:r w:rsidRPr="0030358C">
        <w:rPr>
          <w:rFonts w:ascii="Arial" w:hAnsi="Arial" w:cs="Arial"/>
          <w:b/>
          <w:strike/>
          <w:sz w:val="22"/>
          <w:szCs w:val="22"/>
          <w:lang w:eastAsia="zh-CN"/>
        </w:rPr>
        <w:t xml:space="preserve">4.1.1. </w:t>
      </w:r>
      <w:r w:rsidRPr="0030358C">
        <w:rPr>
          <w:rFonts w:ascii="Arial" w:hAnsi="Arial" w:cs="Arial"/>
          <w:b/>
          <w:bCs/>
          <w:strike/>
          <w:sz w:val="22"/>
          <w:szCs w:val="22"/>
          <w:lang w:eastAsia="zh-CN"/>
        </w:rPr>
        <w:t xml:space="preserve">Manipulace se surovinou a výrobkem, včetně skladování a expedice </w:t>
      </w:r>
      <w:r w:rsidRPr="0030358C">
        <w:rPr>
          <w:rFonts w:ascii="Arial" w:hAnsi="Arial" w:cs="Arial"/>
          <w:strike/>
          <w:sz w:val="22"/>
          <w:szCs w:val="22"/>
          <w:lang w:eastAsia="zh-CN"/>
        </w:rPr>
        <w:t>(kód 5.1.1. dle přílohy č. 2 zákona)</w:t>
      </w:r>
    </w:p>
    <w:p w14:paraId="5841D367" w14:textId="77777777" w:rsidR="008F52C8" w:rsidRPr="0030358C" w:rsidRDefault="00000000" w:rsidP="008F52C8">
      <w:pPr>
        <w:rPr>
          <w:rFonts w:ascii="Arial" w:hAnsi="Arial" w:cs="Arial"/>
          <w:bCs/>
          <w:i/>
          <w:strike/>
          <w:sz w:val="22"/>
          <w:szCs w:val="22"/>
          <w:lang w:eastAsia="zh-CN"/>
        </w:rPr>
      </w:pPr>
      <w:r w:rsidRPr="0030358C">
        <w:rPr>
          <w:rFonts w:ascii="Arial" w:hAnsi="Arial" w:cs="Arial"/>
          <w:bCs/>
          <w:strike/>
          <w:sz w:val="22"/>
          <w:szCs w:val="22"/>
          <w:lang w:eastAsia="zh-CN"/>
        </w:rPr>
        <w:t>Včetně drcení, třídění a mletí vápenců; chlazení, mletí a hydratace páleného vápna.</w:t>
      </w:r>
      <w:r w:rsidRPr="0030358C">
        <w:rPr>
          <w:rFonts w:ascii="Arial" w:hAnsi="Arial" w:cs="Arial"/>
          <w:bCs/>
          <w:i/>
          <w:strike/>
          <w:sz w:val="22"/>
          <w:szCs w:val="22"/>
          <w:lang w:eastAsia="zh-CN"/>
        </w:rPr>
        <w:t xml:space="preserve"> </w:t>
      </w:r>
    </w:p>
    <w:tbl>
      <w:tblPr>
        <w:tblW w:w="0" w:type="auto"/>
        <w:tblInd w:w="-15" w:type="dxa"/>
        <w:tblLayout w:type="fixed"/>
        <w:tblLook w:val="0000" w:firstRow="0" w:lastRow="0" w:firstColumn="0" w:lastColumn="0" w:noHBand="0" w:noVBand="0"/>
      </w:tblPr>
      <w:tblGrid>
        <w:gridCol w:w="5179"/>
        <w:gridCol w:w="4421"/>
      </w:tblGrid>
      <w:tr w:rsidR="00E40657" w14:paraId="7E34AE49" w14:textId="77777777" w:rsidTr="00732453">
        <w:trPr>
          <w:cantSplit/>
          <w:trHeight w:hRule="exact" w:val="532"/>
        </w:trPr>
        <w:tc>
          <w:tcPr>
            <w:tcW w:w="5179" w:type="dxa"/>
            <w:tcBorders>
              <w:top w:val="single" w:sz="4" w:space="0" w:color="000000"/>
              <w:left w:val="single" w:sz="4" w:space="0" w:color="000000"/>
              <w:bottom w:val="single" w:sz="4" w:space="0" w:color="000000"/>
            </w:tcBorders>
            <w:shd w:val="clear" w:color="auto" w:fill="auto"/>
            <w:vAlign w:val="center"/>
          </w:tcPr>
          <w:p w14:paraId="7057FE5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C54D55"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220CE6B0" w14:textId="77777777" w:rsidTr="00732453">
        <w:trPr>
          <w:cantSplit/>
          <w:trHeight w:hRule="exact" w:val="532"/>
        </w:trPr>
        <w:tc>
          <w:tcPr>
            <w:tcW w:w="5179" w:type="dxa"/>
            <w:tcBorders>
              <w:top w:val="single" w:sz="4" w:space="0" w:color="000000"/>
              <w:left w:val="single" w:sz="4" w:space="0" w:color="000000"/>
              <w:bottom w:val="single" w:sz="4" w:space="0" w:color="000000"/>
            </w:tcBorders>
            <w:shd w:val="clear" w:color="auto" w:fill="auto"/>
            <w:vAlign w:val="center"/>
          </w:tcPr>
          <w:p w14:paraId="460F22D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B7DFAE" w14:textId="77777777" w:rsidR="008F52C8" w:rsidRPr="0030358C" w:rsidRDefault="008F52C8" w:rsidP="00732453">
            <w:pPr>
              <w:snapToGrid w:val="0"/>
              <w:jc w:val="center"/>
              <w:rPr>
                <w:rFonts w:ascii="Arial" w:hAnsi="Arial" w:cs="Arial"/>
                <w:b/>
                <w:strike/>
                <w:sz w:val="22"/>
                <w:szCs w:val="22"/>
                <w:lang w:eastAsia="zh-CN"/>
              </w:rPr>
            </w:pPr>
          </w:p>
        </w:tc>
      </w:tr>
      <w:tr w:rsidR="00E40657" w14:paraId="25105B30" w14:textId="77777777" w:rsidTr="00732453">
        <w:trPr>
          <w:trHeight w:hRule="exact" w:val="692"/>
        </w:trPr>
        <w:tc>
          <w:tcPr>
            <w:tcW w:w="5179" w:type="dxa"/>
            <w:tcBorders>
              <w:top w:val="single" w:sz="4" w:space="0" w:color="000000"/>
              <w:left w:val="single" w:sz="4" w:space="0" w:color="000000"/>
              <w:bottom w:val="single" w:sz="4" w:space="0" w:color="000000"/>
            </w:tcBorders>
            <w:shd w:val="clear" w:color="auto" w:fill="auto"/>
            <w:vAlign w:val="center"/>
          </w:tcPr>
          <w:p w14:paraId="63FAA48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7EBC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766BEA8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1)</w:t>
            </w:r>
          </w:p>
        </w:tc>
      </w:tr>
    </w:tbl>
    <w:p w14:paraId="7F8711E2" w14:textId="77777777" w:rsidR="008F52C8" w:rsidRPr="0030358C" w:rsidRDefault="00000000" w:rsidP="008F52C8">
      <w:pPr>
        <w:spacing w:before="60"/>
        <w:ind w:left="1077" w:hanging="1077"/>
        <w:rPr>
          <w:rFonts w:ascii="Arial" w:hAnsi="Arial" w:cs="Arial"/>
          <w:strike/>
          <w:sz w:val="22"/>
          <w:szCs w:val="22"/>
          <w:lang w:eastAsia="zh-CN"/>
        </w:rPr>
      </w:pPr>
      <w:r w:rsidRPr="0030358C">
        <w:rPr>
          <w:rFonts w:ascii="Arial" w:hAnsi="Arial" w:cs="Arial"/>
          <w:strike/>
          <w:sz w:val="22"/>
          <w:szCs w:val="22"/>
          <w:lang w:eastAsia="zh-CN"/>
        </w:rPr>
        <w:t xml:space="preserve">Vysvětlivka: 1) </w:t>
      </w:r>
      <w:r w:rsidRPr="0030358C">
        <w:rPr>
          <w:rFonts w:ascii="Arial" w:hAnsi="Arial" w:cs="Arial"/>
          <w:iCs/>
          <w:strike/>
          <w:sz w:val="22"/>
          <w:szCs w:val="22"/>
          <w:lang w:eastAsia="zh-CN"/>
        </w:rPr>
        <w:t>Platí od 1. ledna 2020. Nevztahuje se na</w:t>
      </w:r>
      <w:r w:rsidRPr="0030358C">
        <w:rPr>
          <w:rFonts w:ascii="Arial" w:hAnsi="Arial" w:cs="Arial"/>
          <w:strike/>
          <w:sz w:val="22"/>
          <w:szCs w:val="22"/>
          <w:lang w:eastAsia="zh-CN"/>
        </w:rPr>
        <w:t xml:space="preserve"> hydrataci páleného vápna.</w:t>
      </w:r>
    </w:p>
    <w:p w14:paraId="7BC5F5F2" w14:textId="77777777" w:rsidR="008F52C8" w:rsidRPr="0030358C" w:rsidRDefault="008F52C8" w:rsidP="008F52C8">
      <w:pPr>
        <w:spacing w:before="60"/>
        <w:ind w:left="1077" w:hanging="1077"/>
        <w:rPr>
          <w:rFonts w:ascii="Arial" w:hAnsi="Arial" w:cs="Arial"/>
          <w:b/>
          <w:strike/>
          <w:sz w:val="22"/>
          <w:szCs w:val="22"/>
          <w:lang w:eastAsia="zh-CN"/>
        </w:rPr>
      </w:pPr>
    </w:p>
    <w:p w14:paraId="74794603"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 xml:space="preserve">4.1.2. </w:t>
      </w:r>
      <w:r w:rsidRPr="0030358C">
        <w:rPr>
          <w:rFonts w:ascii="Arial" w:hAnsi="Arial" w:cs="Arial"/>
          <w:b/>
          <w:bCs/>
          <w:strike/>
          <w:sz w:val="22"/>
          <w:szCs w:val="22"/>
          <w:lang w:eastAsia="zh-CN"/>
        </w:rPr>
        <w:t xml:space="preserve">Výroba cementářského slínku v rotačních pecích </w:t>
      </w:r>
      <w:r w:rsidRPr="0030358C">
        <w:rPr>
          <w:rFonts w:ascii="Arial" w:hAnsi="Arial" w:cs="Arial"/>
          <w:bCs/>
          <w:strike/>
          <w:sz w:val="22"/>
          <w:szCs w:val="22"/>
          <w:lang w:eastAsia="zh-CN"/>
        </w:rPr>
        <w:t>(kód 5.1.2. dle přílohy č. 2 zákona)</w:t>
      </w:r>
    </w:p>
    <w:tbl>
      <w:tblPr>
        <w:tblW w:w="0" w:type="auto"/>
        <w:tblInd w:w="-15" w:type="dxa"/>
        <w:tblLayout w:type="fixed"/>
        <w:tblLook w:val="0000" w:firstRow="0" w:lastRow="0" w:firstColumn="0" w:lastColumn="0" w:noHBand="0" w:noVBand="0"/>
      </w:tblPr>
      <w:tblGrid>
        <w:gridCol w:w="1768"/>
        <w:gridCol w:w="1600"/>
        <w:gridCol w:w="1602"/>
        <w:gridCol w:w="2200"/>
        <w:gridCol w:w="2319"/>
      </w:tblGrid>
      <w:tr w:rsidR="00E40657" w14:paraId="35C5AE1E" w14:textId="77777777" w:rsidTr="00732453">
        <w:trPr>
          <w:cantSplit/>
          <w:trHeight w:hRule="exact" w:val="567"/>
        </w:trPr>
        <w:tc>
          <w:tcPr>
            <w:tcW w:w="4970" w:type="dxa"/>
            <w:gridSpan w:val="3"/>
            <w:tcBorders>
              <w:top w:val="single" w:sz="4" w:space="0" w:color="000000"/>
              <w:left w:val="single" w:sz="4" w:space="0" w:color="000000"/>
            </w:tcBorders>
            <w:shd w:val="clear" w:color="auto" w:fill="auto"/>
            <w:vAlign w:val="center"/>
          </w:tcPr>
          <w:p w14:paraId="6B7FE01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200" w:type="dxa"/>
            <w:vMerge w:val="restart"/>
            <w:tcBorders>
              <w:top w:val="single" w:sz="4" w:space="0" w:color="000000"/>
              <w:left w:val="single" w:sz="4" w:space="0" w:color="000000"/>
            </w:tcBorders>
            <w:shd w:val="clear" w:color="auto" w:fill="auto"/>
            <w:vAlign w:val="center"/>
          </w:tcPr>
          <w:p w14:paraId="23C4CE10" w14:textId="77777777" w:rsidR="008F52C8" w:rsidRPr="0030358C" w:rsidRDefault="00000000" w:rsidP="00732453">
            <w:pPr>
              <w:snapToGrid w:val="0"/>
              <w:jc w:val="center"/>
              <w:rPr>
                <w:rFonts w:ascii="Arial" w:hAnsi="Arial" w:cs="Arial"/>
                <w:b/>
                <w:bCs/>
                <w:strike/>
                <w:sz w:val="22"/>
                <w:szCs w:val="22"/>
                <w:vertAlign w:val="subscript"/>
                <w:lang w:val="de-DE" w:eastAsia="zh-CN"/>
              </w:rPr>
            </w:pPr>
            <w:r w:rsidRPr="0030358C">
              <w:rPr>
                <w:rFonts w:ascii="Arial" w:hAnsi="Arial" w:cs="Arial"/>
                <w:b/>
                <w:bCs/>
                <w:strike/>
                <w:sz w:val="22"/>
                <w:szCs w:val="22"/>
                <w:lang w:val="de-DE" w:eastAsia="zh-CN"/>
              </w:rPr>
              <w:t>O</w:t>
            </w:r>
            <w:r w:rsidRPr="0030358C">
              <w:rPr>
                <w:rFonts w:ascii="Arial" w:hAnsi="Arial" w:cs="Arial"/>
                <w:b/>
                <w:bCs/>
                <w:strike/>
                <w:sz w:val="22"/>
                <w:szCs w:val="22"/>
                <w:vertAlign w:val="subscript"/>
                <w:lang w:val="de-DE" w:eastAsia="zh-CN"/>
              </w:rPr>
              <w:t>2R</w:t>
            </w:r>
          </w:p>
          <w:p w14:paraId="50221174"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048095"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6D37E71" w14:textId="77777777" w:rsidTr="00732453">
        <w:trPr>
          <w:cantSplit/>
          <w:trHeight w:hRule="exact" w:val="340"/>
        </w:trPr>
        <w:tc>
          <w:tcPr>
            <w:tcW w:w="1768" w:type="dxa"/>
            <w:tcBorders>
              <w:top w:val="single" w:sz="4" w:space="0" w:color="000000"/>
              <w:left w:val="single" w:sz="4" w:space="0" w:color="000000"/>
              <w:bottom w:val="single" w:sz="4" w:space="0" w:color="000000"/>
            </w:tcBorders>
            <w:shd w:val="clear" w:color="auto" w:fill="auto"/>
            <w:vAlign w:val="center"/>
          </w:tcPr>
          <w:p w14:paraId="7BB59481"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600" w:type="dxa"/>
            <w:tcBorders>
              <w:top w:val="single" w:sz="4" w:space="0" w:color="000000"/>
              <w:left w:val="single" w:sz="4" w:space="0" w:color="000000"/>
              <w:bottom w:val="single" w:sz="4" w:space="0" w:color="000000"/>
            </w:tcBorders>
            <w:shd w:val="clear" w:color="auto" w:fill="auto"/>
            <w:vAlign w:val="center"/>
          </w:tcPr>
          <w:p w14:paraId="000F1061"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602" w:type="dxa"/>
            <w:tcBorders>
              <w:top w:val="single" w:sz="4" w:space="0" w:color="000000"/>
              <w:left w:val="single" w:sz="4" w:space="0" w:color="000000"/>
              <w:bottom w:val="single" w:sz="4" w:space="0" w:color="000000"/>
            </w:tcBorders>
            <w:shd w:val="clear" w:color="auto" w:fill="auto"/>
            <w:vAlign w:val="center"/>
          </w:tcPr>
          <w:p w14:paraId="5CF401EC"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2200" w:type="dxa"/>
            <w:vMerge/>
            <w:tcBorders>
              <w:left w:val="single" w:sz="4" w:space="0" w:color="000000"/>
              <w:bottom w:val="single" w:sz="4" w:space="0" w:color="000000"/>
            </w:tcBorders>
            <w:shd w:val="clear" w:color="auto" w:fill="auto"/>
            <w:vAlign w:val="center"/>
          </w:tcPr>
          <w:p w14:paraId="17FAACC8" w14:textId="77777777" w:rsidR="008F52C8" w:rsidRPr="0030358C" w:rsidRDefault="008F52C8" w:rsidP="00732453">
            <w:pPr>
              <w:snapToGrid w:val="0"/>
              <w:jc w:val="center"/>
              <w:rPr>
                <w:rFonts w:ascii="Arial" w:hAnsi="Arial" w:cs="Arial"/>
                <w:b/>
                <w:bCs/>
                <w:strike/>
                <w:sz w:val="22"/>
                <w:szCs w:val="22"/>
                <w:lang w:eastAsia="zh-CN"/>
              </w:rPr>
            </w:pPr>
          </w:p>
        </w:tc>
        <w:tc>
          <w:tcPr>
            <w:tcW w:w="23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C320F1" w14:textId="77777777" w:rsidR="008F52C8" w:rsidRPr="0030358C" w:rsidRDefault="008F52C8" w:rsidP="00732453">
            <w:pPr>
              <w:snapToGrid w:val="0"/>
              <w:rPr>
                <w:rFonts w:ascii="Arial" w:hAnsi="Arial" w:cs="Arial"/>
                <w:b/>
                <w:strike/>
                <w:sz w:val="22"/>
                <w:szCs w:val="22"/>
                <w:lang w:eastAsia="zh-CN"/>
              </w:rPr>
            </w:pPr>
          </w:p>
        </w:tc>
      </w:tr>
      <w:tr w:rsidR="00E40657" w14:paraId="7E79DD51" w14:textId="77777777" w:rsidTr="00732453">
        <w:trPr>
          <w:cantSplit/>
          <w:trHeight w:hRule="exact" w:val="545"/>
        </w:trPr>
        <w:tc>
          <w:tcPr>
            <w:tcW w:w="1768" w:type="dxa"/>
            <w:tcBorders>
              <w:left w:val="single" w:sz="4" w:space="0" w:color="000000"/>
              <w:bottom w:val="single" w:sz="4" w:space="0" w:color="000000"/>
            </w:tcBorders>
            <w:shd w:val="clear" w:color="auto" w:fill="auto"/>
            <w:vAlign w:val="center"/>
          </w:tcPr>
          <w:p w14:paraId="7AA67410" w14:textId="77777777" w:rsidR="008F52C8" w:rsidRPr="0030358C" w:rsidRDefault="00000000" w:rsidP="00732453">
            <w:pPr>
              <w:snapToGrid w:val="0"/>
              <w:jc w:val="center"/>
              <w:rPr>
                <w:rFonts w:ascii="Arial" w:hAnsi="Arial" w:cs="Arial"/>
                <w:strike/>
                <w:sz w:val="22"/>
                <w:szCs w:val="22"/>
                <w:lang w:eastAsia="zh-CN"/>
              </w:rPr>
            </w:pPr>
            <w:r w:rsidRPr="0030358C">
              <w:rPr>
                <w:rFonts w:ascii="Arial" w:hAnsi="Arial" w:cs="Arial"/>
                <w:strike/>
                <w:sz w:val="22"/>
                <w:szCs w:val="22"/>
                <w:lang w:eastAsia="zh-CN"/>
              </w:rPr>
              <w:t>30</w:t>
            </w:r>
          </w:p>
        </w:tc>
        <w:tc>
          <w:tcPr>
            <w:tcW w:w="1600" w:type="dxa"/>
            <w:tcBorders>
              <w:left w:val="single" w:sz="4" w:space="0" w:color="000000"/>
              <w:bottom w:val="single" w:sz="4" w:space="0" w:color="000000"/>
            </w:tcBorders>
            <w:shd w:val="clear" w:color="auto" w:fill="auto"/>
            <w:vAlign w:val="center"/>
          </w:tcPr>
          <w:p w14:paraId="5EBF80CC" w14:textId="77777777" w:rsidR="008F52C8" w:rsidRPr="0030358C" w:rsidRDefault="00000000" w:rsidP="00732453">
            <w:pPr>
              <w:snapToGrid w:val="0"/>
              <w:jc w:val="center"/>
              <w:rPr>
                <w:rFonts w:ascii="Arial" w:hAnsi="Arial" w:cs="Arial"/>
                <w:strike/>
                <w:sz w:val="22"/>
                <w:szCs w:val="22"/>
                <w:lang w:eastAsia="zh-CN"/>
              </w:rPr>
            </w:pPr>
            <w:r w:rsidRPr="0030358C">
              <w:rPr>
                <w:rFonts w:ascii="Arial" w:hAnsi="Arial" w:cs="Arial"/>
                <w:strike/>
                <w:sz w:val="22"/>
                <w:szCs w:val="22"/>
                <w:lang w:eastAsia="zh-CN"/>
              </w:rPr>
              <w:t>400</w:t>
            </w:r>
          </w:p>
        </w:tc>
        <w:tc>
          <w:tcPr>
            <w:tcW w:w="1602" w:type="dxa"/>
            <w:tcBorders>
              <w:left w:val="single" w:sz="4" w:space="0" w:color="000000"/>
              <w:bottom w:val="single" w:sz="4" w:space="0" w:color="000000"/>
            </w:tcBorders>
            <w:shd w:val="clear" w:color="auto" w:fill="auto"/>
            <w:vAlign w:val="center"/>
          </w:tcPr>
          <w:p w14:paraId="73BCFD07" w14:textId="77777777" w:rsidR="008F52C8" w:rsidRPr="0030358C" w:rsidRDefault="00000000" w:rsidP="00732453">
            <w:pPr>
              <w:snapToGrid w:val="0"/>
              <w:jc w:val="center"/>
              <w:rPr>
                <w:rFonts w:ascii="Arial" w:hAnsi="Arial" w:cs="Arial"/>
                <w:strike/>
                <w:sz w:val="22"/>
                <w:szCs w:val="22"/>
                <w:lang w:eastAsia="zh-CN"/>
              </w:rPr>
            </w:pPr>
            <w:r w:rsidRPr="0030358C">
              <w:rPr>
                <w:rFonts w:ascii="Arial" w:hAnsi="Arial" w:cs="Arial"/>
                <w:strike/>
                <w:sz w:val="22"/>
                <w:szCs w:val="22"/>
                <w:lang w:eastAsia="zh-CN"/>
              </w:rPr>
              <w:t>500</w:t>
            </w:r>
          </w:p>
        </w:tc>
        <w:tc>
          <w:tcPr>
            <w:tcW w:w="2200" w:type="dxa"/>
            <w:tcBorders>
              <w:left w:val="single" w:sz="4" w:space="0" w:color="000000"/>
              <w:bottom w:val="single" w:sz="4" w:space="0" w:color="000000"/>
            </w:tcBorders>
            <w:shd w:val="clear" w:color="auto" w:fill="auto"/>
            <w:vAlign w:val="center"/>
          </w:tcPr>
          <w:p w14:paraId="3443FD77" w14:textId="77777777" w:rsidR="008F52C8" w:rsidRPr="0030358C" w:rsidRDefault="00000000" w:rsidP="00732453">
            <w:pPr>
              <w:snapToGrid w:val="0"/>
              <w:jc w:val="center"/>
              <w:rPr>
                <w:rFonts w:ascii="Arial" w:hAnsi="Arial" w:cs="Arial"/>
                <w:strike/>
                <w:sz w:val="22"/>
                <w:szCs w:val="22"/>
                <w:lang w:eastAsia="zh-CN"/>
              </w:rPr>
            </w:pPr>
            <w:r w:rsidRPr="0030358C">
              <w:rPr>
                <w:rFonts w:ascii="Arial" w:hAnsi="Arial" w:cs="Arial"/>
                <w:strike/>
                <w:sz w:val="22"/>
                <w:szCs w:val="22"/>
                <w:lang w:eastAsia="zh-CN"/>
              </w:rPr>
              <w:t>10</w:t>
            </w:r>
          </w:p>
        </w:tc>
        <w:tc>
          <w:tcPr>
            <w:tcW w:w="2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F84E4" w14:textId="77777777" w:rsidR="008F52C8" w:rsidRPr="0030358C" w:rsidRDefault="00000000" w:rsidP="00732453">
            <w:pPr>
              <w:snapToGrid w:val="0"/>
              <w:jc w:val="center"/>
              <w:rPr>
                <w:rFonts w:ascii="Arial" w:hAnsi="Arial" w:cs="Arial"/>
                <w:strike/>
                <w:sz w:val="22"/>
                <w:szCs w:val="22"/>
                <w:lang w:eastAsia="zh-CN"/>
              </w:rPr>
            </w:pPr>
            <w:r w:rsidRPr="0030358C">
              <w:rPr>
                <w:rFonts w:ascii="Arial" w:hAnsi="Arial" w:cs="Arial"/>
                <w:strike/>
                <w:sz w:val="22"/>
                <w:szCs w:val="22"/>
                <w:lang w:eastAsia="zh-CN"/>
              </w:rPr>
              <w:t>A</w:t>
            </w:r>
          </w:p>
        </w:tc>
      </w:tr>
    </w:tbl>
    <w:p w14:paraId="242C5900" w14:textId="77777777" w:rsidR="008F52C8" w:rsidRPr="0030358C" w:rsidRDefault="008F52C8" w:rsidP="008F52C8">
      <w:pPr>
        <w:rPr>
          <w:rFonts w:ascii="Arial" w:hAnsi="Arial" w:cs="Arial"/>
          <w:b/>
          <w:strike/>
          <w:sz w:val="22"/>
          <w:szCs w:val="22"/>
          <w:lang w:eastAsia="zh-CN"/>
        </w:rPr>
      </w:pPr>
    </w:p>
    <w:p w14:paraId="545F101E" w14:textId="77777777" w:rsidR="008F52C8" w:rsidRPr="0030358C" w:rsidRDefault="008F52C8" w:rsidP="008F52C8">
      <w:pPr>
        <w:rPr>
          <w:rFonts w:ascii="Arial" w:hAnsi="Arial" w:cs="Arial"/>
          <w:b/>
          <w:strike/>
          <w:sz w:val="22"/>
          <w:szCs w:val="22"/>
          <w:lang w:eastAsia="zh-CN"/>
        </w:rPr>
      </w:pPr>
    </w:p>
    <w:p w14:paraId="5DFA34CD"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 xml:space="preserve">4.1.3. </w:t>
      </w:r>
      <w:r w:rsidRPr="0030358C">
        <w:rPr>
          <w:rFonts w:ascii="Arial" w:hAnsi="Arial" w:cs="Arial"/>
          <w:b/>
          <w:bCs/>
          <w:strike/>
          <w:sz w:val="22"/>
          <w:szCs w:val="22"/>
          <w:lang w:eastAsia="zh-CN"/>
        </w:rPr>
        <w:t xml:space="preserve">Ostatní technologická zařízení pro výrobu cementu </w:t>
      </w:r>
      <w:r w:rsidRPr="0030358C">
        <w:rPr>
          <w:rFonts w:ascii="Arial" w:hAnsi="Arial" w:cs="Arial"/>
          <w:bCs/>
          <w:strike/>
          <w:sz w:val="22"/>
          <w:szCs w:val="22"/>
          <w:lang w:eastAsia="zh-CN"/>
        </w:rPr>
        <w:t>(kód 5.1.3. dle přílohy č. 2 zákona)</w:t>
      </w:r>
    </w:p>
    <w:tbl>
      <w:tblPr>
        <w:tblW w:w="9600" w:type="dxa"/>
        <w:tblInd w:w="-15" w:type="dxa"/>
        <w:tblLayout w:type="fixed"/>
        <w:tblLook w:val="0000" w:firstRow="0" w:lastRow="0" w:firstColumn="0" w:lastColumn="0" w:noHBand="0" w:noVBand="0"/>
      </w:tblPr>
      <w:tblGrid>
        <w:gridCol w:w="5179"/>
        <w:gridCol w:w="4421"/>
      </w:tblGrid>
      <w:tr w:rsidR="00E40657" w14:paraId="1EA91FF0" w14:textId="77777777" w:rsidTr="00732453">
        <w:trPr>
          <w:trHeight w:val="232"/>
        </w:trPr>
        <w:tc>
          <w:tcPr>
            <w:tcW w:w="5179" w:type="dxa"/>
            <w:tcBorders>
              <w:top w:val="single" w:sz="4" w:space="0" w:color="000000"/>
              <w:left w:val="single" w:sz="4" w:space="0" w:color="000000"/>
              <w:bottom w:val="single" w:sz="4" w:space="0" w:color="000000"/>
            </w:tcBorders>
            <w:shd w:val="clear" w:color="auto" w:fill="auto"/>
            <w:vAlign w:val="center"/>
          </w:tcPr>
          <w:p w14:paraId="62C8778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421" w:type="dxa"/>
            <w:vMerge w:val="restart"/>
            <w:tcBorders>
              <w:top w:val="single" w:sz="4" w:space="0" w:color="000000"/>
              <w:left w:val="single" w:sz="4" w:space="0" w:color="000000"/>
              <w:right w:val="single" w:sz="4" w:space="0" w:color="000000"/>
            </w:tcBorders>
            <w:shd w:val="clear" w:color="auto" w:fill="auto"/>
            <w:vAlign w:val="center"/>
          </w:tcPr>
          <w:p w14:paraId="3F9DAAA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48986B92" w14:textId="77777777" w:rsidTr="00732453">
        <w:trPr>
          <w:trHeight w:hRule="exact" w:val="292"/>
        </w:trPr>
        <w:tc>
          <w:tcPr>
            <w:tcW w:w="5179" w:type="dxa"/>
            <w:tcBorders>
              <w:top w:val="single" w:sz="4" w:space="0" w:color="000000"/>
              <w:left w:val="single" w:sz="4" w:space="0" w:color="000000"/>
              <w:bottom w:val="single" w:sz="4" w:space="0" w:color="000000"/>
            </w:tcBorders>
            <w:shd w:val="clear" w:color="auto" w:fill="auto"/>
            <w:vAlign w:val="center"/>
          </w:tcPr>
          <w:p w14:paraId="593B0E6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421" w:type="dxa"/>
            <w:vMerge/>
            <w:tcBorders>
              <w:left w:val="single" w:sz="4" w:space="0" w:color="000000"/>
              <w:bottom w:val="single" w:sz="4" w:space="0" w:color="000000"/>
              <w:right w:val="single" w:sz="4" w:space="0" w:color="000000"/>
            </w:tcBorders>
            <w:shd w:val="clear" w:color="auto" w:fill="auto"/>
            <w:vAlign w:val="center"/>
          </w:tcPr>
          <w:p w14:paraId="49A48BEA" w14:textId="77777777" w:rsidR="008F52C8" w:rsidRPr="0030358C" w:rsidRDefault="008F52C8" w:rsidP="00732453">
            <w:pPr>
              <w:snapToGrid w:val="0"/>
              <w:jc w:val="center"/>
              <w:rPr>
                <w:rFonts w:ascii="Arial" w:hAnsi="Arial" w:cs="Arial"/>
                <w:b/>
                <w:strike/>
                <w:sz w:val="22"/>
                <w:szCs w:val="22"/>
                <w:lang w:eastAsia="zh-CN"/>
              </w:rPr>
            </w:pPr>
          </w:p>
        </w:tc>
      </w:tr>
      <w:tr w:rsidR="00E40657" w14:paraId="4F6C616B" w14:textId="77777777" w:rsidTr="00732453">
        <w:trPr>
          <w:trHeight w:hRule="exact" w:val="623"/>
        </w:trPr>
        <w:tc>
          <w:tcPr>
            <w:tcW w:w="5179" w:type="dxa"/>
            <w:tcBorders>
              <w:left w:val="single" w:sz="4" w:space="0" w:color="000000"/>
              <w:bottom w:val="single" w:sz="4" w:space="0" w:color="000000"/>
            </w:tcBorders>
            <w:shd w:val="clear" w:color="auto" w:fill="auto"/>
            <w:vAlign w:val="center"/>
          </w:tcPr>
          <w:p w14:paraId="1A63988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F60B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098F098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1)</w:t>
            </w:r>
          </w:p>
        </w:tc>
      </w:tr>
    </w:tbl>
    <w:p w14:paraId="0BE2319F" w14:textId="77777777" w:rsidR="008F52C8" w:rsidRPr="0030358C" w:rsidRDefault="00000000" w:rsidP="008F52C8">
      <w:pPr>
        <w:rPr>
          <w:rFonts w:ascii="Arial" w:hAnsi="Arial" w:cs="Arial"/>
          <w:strike/>
          <w:sz w:val="22"/>
          <w:szCs w:val="22"/>
          <w:lang w:eastAsia="zh-CN"/>
        </w:rPr>
      </w:pPr>
      <w:r w:rsidRPr="0030358C">
        <w:rPr>
          <w:rFonts w:ascii="Arial" w:hAnsi="Arial" w:cs="Arial"/>
          <w:strike/>
          <w:sz w:val="22"/>
          <w:szCs w:val="22"/>
          <w:lang w:eastAsia="zh-CN"/>
        </w:rPr>
        <w:t xml:space="preserve">Vysvětlivka: 1) </w:t>
      </w:r>
      <w:r w:rsidRPr="0030358C">
        <w:rPr>
          <w:rFonts w:ascii="Arial" w:hAnsi="Arial" w:cs="Arial"/>
          <w:iCs/>
          <w:strike/>
          <w:sz w:val="22"/>
          <w:szCs w:val="22"/>
          <w:lang w:eastAsia="zh-CN"/>
        </w:rPr>
        <w:t>Platí od 1. ledna 2020.</w:t>
      </w:r>
    </w:p>
    <w:p w14:paraId="7F965BE0" w14:textId="77777777" w:rsidR="008F52C8" w:rsidRPr="0030358C" w:rsidRDefault="008F52C8" w:rsidP="008F52C8">
      <w:pPr>
        <w:rPr>
          <w:rFonts w:ascii="Arial" w:hAnsi="Arial" w:cs="Arial"/>
          <w:b/>
          <w:strike/>
          <w:sz w:val="22"/>
          <w:szCs w:val="22"/>
          <w:lang w:eastAsia="zh-CN"/>
        </w:rPr>
      </w:pPr>
    </w:p>
    <w:p w14:paraId="464FACA4"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4.1.4. Výroba vápna v rotačních pecích </w:t>
      </w:r>
      <w:r w:rsidRPr="0030358C">
        <w:rPr>
          <w:rFonts w:ascii="Arial" w:hAnsi="Arial" w:cs="Arial"/>
          <w:bCs/>
          <w:strike/>
          <w:sz w:val="22"/>
          <w:szCs w:val="22"/>
          <w:lang w:eastAsia="zh-CN"/>
        </w:rPr>
        <w:t>(kód 5.1.4. dle přílohy č. 2 zákona)</w:t>
      </w:r>
    </w:p>
    <w:tbl>
      <w:tblPr>
        <w:tblW w:w="0" w:type="auto"/>
        <w:tblInd w:w="-15" w:type="dxa"/>
        <w:tblLayout w:type="fixed"/>
        <w:tblLook w:val="0000" w:firstRow="0" w:lastRow="0" w:firstColumn="0" w:lastColumn="0" w:noHBand="0" w:noVBand="0"/>
      </w:tblPr>
      <w:tblGrid>
        <w:gridCol w:w="3162"/>
        <w:gridCol w:w="1771"/>
        <w:gridCol w:w="2323"/>
        <w:gridCol w:w="2344"/>
      </w:tblGrid>
      <w:tr w:rsidR="00E40657" w14:paraId="0C7535BE" w14:textId="77777777" w:rsidTr="00732453">
        <w:trPr>
          <w:cantSplit/>
          <w:trHeight w:hRule="exact" w:val="567"/>
        </w:trPr>
        <w:tc>
          <w:tcPr>
            <w:tcW w:w="4933" w:type="dxa"/>
            <w:gridSpan w:val="2"/>
            <w:tcBorders>
              <w:top w:val="single" w:sz="4" w:space="0" w:color="000000"/>
              <w:left w:val="single" w:sz="4" w:space="0" w:color="000000"/>
            </w:tcBorders>
            <w:shd w:val="clear" w:color="auto" w:fill="auto"/>
            <w:vAlign w:val="center"/>
          </w:tcPr>
          <w:p w14:paraId="799EEA9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323" w:type="dxa"/>
            <w:vMerge w:val="restart"/>
            <w:tcBorders>
              <w:top w:val="single" w:sz="4" w:space="0" w:color="000000"/>
              <w:left w:val="single" w:sz="4" w:space="0" w:color="000000"/>
            </w:tcBorders>
            <w:shd w:val="clear" w:color="auto" w:fill="auto"/>
            <w:vAlign w:val="center"/>
          </w:tcPr>
          <w:p w14:paraId="609B7D79"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val="de-DE" w:eastAsia="zh-CN"/>
              </w:rPr>
              <w:t>O</w:t>
            </w:r>
            <w:r w:rsidRPr="0030358C">
              <w:rPr>
                <w:rFonts w:ascii="Arial" w:hAnsi="Arial" w:cs="Arial"/>
                <w:b/>
                <w:bCs/>
                <w:strike/>
                <w:sz w:val="22"/>
                <w:szCs w:val="22"/>
                <w:vertAlign w:val="subscript"/>
                <w:lang w:val="de-DE" w:eastAsia="zh-CN"/>
              </w:rPr>
              <w:t>2R</w:t>
            </w:r>
          </w:p>
          <w:p w14:paraId="48296F4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bCs/>
                <w:strike/>
                <w:sz w:val="22"/>
                <w:szCs w:val="22"/>
                <w:lang w:eastAsia="zh-CN"/>
              </w:rPr>
              <w:t>[%]</w:t>
            </w:r>
          </w:p>
        </w:tc>
        <w:tc>
          <w:tcPr>
            <w:tcW w:w="2344" w:type="dxa"/>
            <w:vMerge w:val="restart"/>
            <w:tcBorders>
              <w:top w:val="single" w:sz="4" w:space="0" w:color="000000"/>
              <w:left w:val="single" w:sz="4" w:space="0" w:color="000000"/>
              <w:right w:val="single" w:sz="4" w:space="0" w:color="000000"/>
            </w:tcBorders>
            <w:shd w:val="clear" w:color="auto" w:fill="auto"/>
            <w:vAlign w:val="center"/>
          </w:tcPr>
          <w:p w14:paraId="789F25A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30A6AE9E" w14:textId="77777777" w:rsidTr="00732453">
        <w:trPr>
          <w:cantSplit/>
          <w:trHeight w:hRule="exact" w:val="340"/>
        </w:trPr>
        <w:tc>
          <w:tcPr>
            <w:tcW w:w="3162" w:type="dxa"/>
            <w:tcBorders>
              <w:top w:val="single" w:sz="4" w:space="0" w:color="000000"/>
              <w:left w:val="single" w:sz="4" w:space="0" w:color="000000"/>
              <w:bottom w:val="single" w:sz="2" w:space="0" w:color="000000"/>
            </w:tcBorders>
            <w:shd w:val="clear" w:color="auto" w:fill="auto"/>
            <w:vAlign w:val="center"/>
          </w:tcPr>
          <w:p w14:paraId="079B700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771" w:type="dxa"/>
            <w:tcBorders>
              <w:top w:val="single" w:sz="4" w:space="0" w:color="000000"/>
              <w:left w:val="single" w:sz="4" w:space="0" w:color="000000"/>
              <w:bottom w:val="single" w:sz="2" w:space="0" w:color="000000"/>
            </w:tcBorders>
            <w:shd w:val="clear" w:color="auto" w:fill="auto"/>
            <w:vAlign w:val="center"/>
          </w:tcPr>
          <w:p w14:paraId="712654C6"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2323" w:type="dxa"/>
            <w:vMerge/>
            <w:tcBorders>
              <w:left w:val="single" w:sz="4" w:space="0" w:color="000000"/>
              <w:bottom w:val="single" w:sz="4" w:space="0" w:color="000000"/>
            </w:tcBorders>
            <w:shd w:val="clear" w:color="auto" w:fill="auto"/>
            <w:vAlign w:val="center"/>
          </w:tcPr>
          <w:p w14:paraId="668F16A8" w14:textId="77777777" w:rsidR="008F52C8" w:rsidRPr="0030358C" w:rsidRDefault="008F52C8" w:rsidP="00732453">
            <w:pPr>
              <w:snapToGrid w:val="0"/>
              <w:rPr>
                <w:rFonts w:ascii="Arial" w:hAnsi="Arial" w:cs="Arial"/>
                <w:b/>
                <w:strike/>
                <w:sz w:val="22"/>
                <w:szCs w:val="22"/>
                <w:lang w:eastAsia="zh-CN"/>
              </w:rPr>
            </w:pPr>
          </w:p>
        </w:tc>
        <w:tc>
          <w:tcPr>
            <w:tcW w:w="2344" w:type="dxa"/>
            <w:vMerge/>
            <w:tcBorders>
              <w:left w:val="single" w:sz="4" w:space="0" w:color="000000"/>
              <w:bottom w:val="single" w:sz="4" w:space="0" w:color="000000"/>
              <w:right w:val="single" w:sz="4" w:space="0" w:color="000000"/>
            </w:tcBorders>
            <w:shd w:val="clear" w:color="auto" w:fill="auto"/>
            <w:vAlign w:val="center"/>
          </w:tcPr>
          <w:p w14:paraId="1A650612" w14:textId="77777777" w:rsidR="008F52C8" w:rsidRPr="0030358C" w:rsidRDefault="008F52C8" w:rsidP="00732453">
            <w:pPr>
              <w:snapToGrid w:val="0"/>
              <w:rPr>
                <w:rFonts w:ascii="Arial" w:hAnsi="Arial" w:cs="Arial"/>
                <w:b/>
                <w:strike/>
                <w:sz w:val="22"/>
                <w:szCs w:val="22"/>
                <w:lang w:eastAsia="zh-CN"/>
              </w:rPr>
            </w:pPr>
          </w:p>
        </w:tc>
      </w:tr>
      <w:tr w:rsidR="00E40657" w14:paraId="40CF945D" w14:textId="77777777" w:rsidTr="00732453">
        <w:trPr>
          <w:cantSplit/>
          <w:trHeight w:hRule="exact" w:val="340"/>
        </w:trPr>
        <w:tc>
          <w:tcPr>
            <w:tcW w:w="3162" w:type="dxa"/>
            <w:tcBorders>
              <w:top w:val="single" w:sz="2" w:space="0" w:color="000000"/>
              <w:left w:val="single" w:sz="2" w:space="0" w:color="000000"/>
              <w:bottom w:val="single" w:sz="2" w:space="0" w:color="000000"/>
            </w:tcBorders>
            <w:shd w:val="clear" w:color="auto" w:fill="auto"/>
            <w:vAlign w:val="center"/>
          </w:tcPr>
          <w:p w14:paraId="0585A13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w:t>
            </w:r>
          </w:p>
        </w:tc>
        <w:tc>
          <w:tcPr>
            <w:tcW w:w="1771" w:type="dxa"/>
            <w:tcBorders>
              <w:top w:val="single" w:sz="2" w:space="0" w:color="000000"/>
              <w:left w:val="single" w:sz="2" w:space="0" w:color="000000"/>
              <w:bottom w:val="single" w:sz="2" w:space="0" w:color="000000"/>
            </w:tcBorders>
            <w:shd w:val="clear" w:color="auto" w:fill="auto"/>
            <w:vAlign w:val="center"/>
          </w:tcPr>
          <w:p w14:paraId="72868F3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1200</w:t>
            </w:r>
          </w:p>
        </w:tc>
        <w:tc>
          <w:tcPr>
            <w:tcW w:w="2323" w:type="dxa"/>
            <w:tcBorders>
              <w:top w:val="single" w:sz="4" w:space="0" w:color="000000"/>
              <w:left w:val="single" w:sz="2" w:space="0" w:color="000000"/>
              <w:bottom w:val="single" w:sz="4" w:space="0" w:color="000000"/>
            </w:tcBorders>
            <w:shd w:val="clear" w:color="auto" w:fill="auto"/>
            <w:vAlign w:val="center"/>
          </w:tcPr>
          <w:p w14:paraId="2F3077A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11</w:t>
            </w:r>
          </w:p>
        </w:tc>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B6A0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767B9D82" w14:textId="77777777" w:rsidR="008F52C8" w:rsidRPr="0030358C" w:rsidRDefault="008F52C8" w:rsidP="008F52C8">
      <w:pPr>
        <w:rPr>
          <w:rFonts w:ascii="Arial" w:hAnsi="Arial" w:cs="Arial"/>
          <w:b/>
          <w:strike/>
          <w:sz w:val="22"/>
          <w:szCs w:val="22"/>
          <w:lang w:eastAsia="zh-CN"/>
        </w:rPr>
      </w:pPr>
    </w:p>
    <w:p w14:paraId="7F566960" w14:textId="77777777" w:rsidR="008F52C8" w:rsidRPr="0030358C" w:rsidRDefault="008F52C8" w:rsidP="008F52C8">
      <w:pPr>
        <w:rPr>
          <w:rFonts w:ascii="Arial" w:hAnsi="Arial" w:cs="Arial"/>
          <w:b/>
          <w:strike/>
          <w:sz w:val="22"/>
          <w:szCs w:val="22"/>
          <w:lang w:eastAsia="zh-CN"/>
        </w:rPr>
      </w:pPr>
    </w:p>
    <w:p w14:paraId="31159078"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4.1.5. Výroba vápna v šachtových a jiných pecích </w:t>
      </w:r>
      <w:r w:rsidRPr="0030358C">
        <w:rPr>
          <w:rFonts w:ascii="Arial" w:hAnsi="Arial" w:cs="Arial"/>
          <w:bCs/>
          <w:strike/>
          <w:sz w:val="22"/>
          <w:szCs w:val="22"/>
          <w:lang w:eastAsia="zh-CN"/>
        </w:rPr>
        <w:t>(kód 5.1.5. dle přílohy č. 2 zákona)</w:t>
      </w:r>
    </w:p>
    <w:tbl>
      <w:tblPr>
        <w:tblW w:w="0" w:type="auto"/>
        <w:tblInd w:w="-15" w:type="dxa"/>
        <w:tblLayout w:type="fixed"/>
        <w:tblLook w:val="0000" w:firstRow="0" w:lastRow="0" w:firstColumn="0" w:lastColumn="0" w:noHBand="0" w:noVBand="0"/>
      </w:tblPr>
      <w:tblGrid>
        <w:gridCol w:w="1814"/>
        <w:gridCol w:w="1701"/>
        <w:gridCol w:w="2127"/>
        <w:gridCol w:w="1969"/>
        <w:gridCol w:w="1989"/>
      </w:tblGrid>
      <w:tr w:rsidR="00E40657" w14:paraId="27A2504C" w14:textId="77777777" w:rsidTr="00732453">
        <w:trPr>
          <w:cantSplit/>
          <w:trHeight w:hRule="exact" w:val="767"/>
        </w:trPr>
        <w:tc>
          <w:tcPr>
            <w:tcW w:w="3515" w:type="dxa"/>
            <w:gridSpan w:val="2"/>
            <w:tcBorders>
              <w:top w:val="single" w:sz="4" w:space="0" w:color="000000"/>
              <w:left w:val="single" w:sz="4" w:space="0" w:color="000000"/>
            </w:tcBorders>
            <w:shd w:val="clear" w:color="auto" w:fill="auto"/>
            <w:vAlign w:val="center"/>
          </w:tcPr>
          <w:p w14:paraId="23542A8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lastRenderedPageBreak/>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127" w:type="dxa"/>
            <w:tcBorders>
              <w:top w:val="single" w:sz="4" w:space="0" w:color="000000"/>
              <w:left w:val="single" w:sz="4" w:space="0" w:color="000000"/>
              <w:bottom w:val="single" w:sz="4" w:space="0" w:color="000000"/>
            </w:tcBorders>
            <w:shd w:val="clear" w:color="auto" w:fill="auto"/>
            <w:vAlign w:val="center"/>
          </w:tcPr>
          <w:p w14:paraId="6EF05C33" w14:textId="77777777" w:rsidR="008F52C8" w:rsidRPr="0030358C" w:rsidRDefault="00000000" w:rsidP="00732453">
            <w:pPr>
              <w:snapToGrid w:val="0"/>
              <w:jc w:val="center"/>
              <w:rPr>
                <w:rFonts w:ascii="Arial" w:hAnsi="Arial" w:cs="Arial"/>
                <w:b/>
                <w:strike/>
                <w:sz w:val="22"/>
                <w:szCs w:val="22"/>
                <w:lang w:val="en-US" w:eastAsia="zh-CN"/>
              </w:rPr>
            </w:pPr>
            <w:r w:rsidRPr="0030358C">
              <w:rPr>
                <w:rFonts w:ascii="Arial" w:hAnsi="Arial" w:cs="Arial"/>
                <w:b/>
                <w:strike/>
                <w:sz w:val="22"/>
                <w:szCs w:val="22"/>
                <w:lang w:eastAsia="zh-CN"/>
              </w:rPr>
              <w:t xml:space="preserve">Emisní limit </w:t>
            </w:r>
            <w:r w:rsidRPr="0030358C">
              <w:rPr>
                <w:rFonts w:ascii="Arial" w:hAnsi="Arial" w:cs="Arial"/>
                <w:b/>
                <w:strike/>
                <w:sz w:val="22"/>
                <w:szCs w:val="22"/>
                <w:lang w:eastAsia="zh-CN"/>
              </w:rPr>
              <w:br/>
            </w:r>
            <w:r w:rsidRPr="0030358C">
              <w:rPr>
                <w:rFonts w:ascii="Arial" w:hAnsi="Arial" w:cs="Arial"/>
                <w:b/>
                <w:strike/>
                <w:sz w:val="22"/>
                <w:szCs w:val="22"/>
                <w:lang w:val="en-US" w:eastAsia="zh-CN"/>
              </w:rPr>
              <w:t>[% obj.]</w:t>
            </w:r>
          </w:p>
        </w:tc>
        <w:tc>
          <w:tcPr>
            <w:tcW w:w="1969" w:type="dxa"/>
            <w:vMerge w:val="restart"/>
            <w:tcBorders>
              <w:top w:val="single" w:sz="4" w:space="0" w:color="000000"/>
              <w:left w:val="single" w:sz="4" w:space="0" w:color="000000"/>
            </w:tcBorders>
            <w:shd w:val="clear" w:color="auto" w:fill="auto"/>
            <w:vAlign w:val="center"/>
          </w:tcPr>
          <w:p w14:paraId="160E0498"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val="de-DE" w:eastAsia="zh-CN"/>
              </w:rPr>
              <w:t>O</w:t>
            </w:r>
            <w:r w:rsidRPr="0030358C">
              <w:rPr>
                <w:rFonts w:ascii="Arial" w:hAnsi="Arial" w:cs="Arial"/>
                <w:b/>
                <w:bCs/>
                <w:strike/>
                <w:sz w:val="22"/>
                <w:szCs w:val="22"/>
                <w:vertAlign w:val="subscript"/>
                <w:lang w:val="de-DE" w:eastAsia="zh-CN"/>
              </w:rPr>
              <w:t>2R</w:t>
            </w:r>
          </w:p>
          <w:p w14:paraId="32D2FCA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bCs/>
                <w:strike/>
                <w:sz w:val="22"/>
                <w:szCs w:val="22"/>
                <w:lang w:eastAsia="zh-CN"/>
              </w:rPr>
              <w:t>[%]</w:t>
            </w:r>
          </w:p>
        </w:tc>
        <w:tc>
          <w:tcPr>
            <w:tcW w:w="1989" w:type="dxa"/>
            <w:vMerge w:val="restart"/>
            <w:tcBorders>
              <w:top w:val="single" w:sz="4" w:space="0" w:color="000000"/>
              <w:left w:val="single" w:sz="4" w:space="0" w:color="000000"/>
              <w:right w:val="single" w:sz="4" w:space="0" w:color="000000"/>
            </w:tcBorders>
            <w:shd w:val="clear" w:color="auto" w:fill="auto"/>
            <w:vAlign w:val="center"/>
          </w:tcPr>
          <w:p w14:paraId="63329C4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B7A08C5" w14:textId="77777777" w:rsidTr="00732453">
        <w:trPr>
          <w:cantSplit/>
          <w:trHeight w:hRule="exact" w:val="340"/>
        </w:trPr>
        <w:tc>
          <w:tcPr>
            <w:tcW w:w="1814" w:type="dxa"/>
            <w:tcBorders>
              <w:top w:val="single" w:sz="4" w:space="0" w:color="000000"/>
              <w:left w:val="single" w:sz="4" w:space="0" w:color="000000"/>
              <w:bottom w:val="single" w:sz="4" w:space="0" w:color="000000"/>
            </w:tcBorders>
            <w:shd w:val="clear" w:color="auto" w:fill="auto"/>
            <w:vAlign w:val="center"/>
          </w:tcPr>
          <w:p w14:paraId="18EF3ACB"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701" w:type="dxa"/>
            <w:tcBorders>
              <w:top w:val="single" w:sz="4" w:space="0" w:color="000000"/>
              <w:left w:val="single" w:sz="4" w:space="0" w:color="000000"/>
              <w:bottom w:val="single" w:sz="4" w:space="0" w:color="000000"/>
            </w:tcBorders>
            <w:shd w:val="clear" w:color="auto" w:fill="auto"/>
            <w:vAlign w:val="center"/>
          </w:tcPr>
          <w:p w14:paraId="2CAF46A7"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2127" w:type="dxa"/>
            <w:tcBorders>
              <w:top w:val="single" w:sz="4" w:space="0" w:color="000000"/>
              <w:left w:val="single" w:sz="4" w:space="0" w:color="000000"/>
              <w:bottom w:val="single" w:sz="4" w:space="0" w:color="000000"/>
            </w:tcBorders>
            <w:shd w:val="clear" w:color="auto" w:fill="auto"/>
            <w:vAlign w:val="center"/>
          </w:tcPr>
          <w:p w14:paraId="5B36446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1969" w:type="dxa"/>
            <w:vMerge/>
            <w:tcBorders>
              <w:left w:val="single" w:sz="4" w:space="0" w:color="000000"/>
              <w:bottom w:val="single" w:sz="4" w:space="0" w:color="000000"/>
            </w:tcBorders>
            <w:shd w:val="clear" w:color="auto" w:fill="auto"/>
            <w:vAlign w:val="center"/>
          </w:tcPr>
          <w:p w14:paraId="4BEA945B" w14:textId="77777777" w:rsidR="008F52C8" w:rsidRPr="0030358C" w:rsidRDefault="008F52C8" w:rsidP="00732453">
            <w:pPr>
              <w:snapToGrid w:val="0"/>
              <w:rPr>
                <w:rFonts w:ascii="Arial" w:hAnsi="Arial" w:cs="Arial"/>
                <w:b/>
                <w:strike/>
                <w:sz w:val="22"/>
                <w:szCs w:val="22"/>
                <w:lang w:eastAsia="zh-CN"/>
              </w:rPr>
            </w:pPr>
          </w:p>
        </w:tc>
        <w:tc>
          <w:tcPr>
            <w:tcW w:w="1989" w:type="dxa"/>
            <w:vMerge/>
            <w:tcBorders>
              <w:left w:val="single" w:sz="4" w:space="0" w:color="000000"/>
              <w:bottom w:val="single" w:sz="4" w:space="0" w:color="000000"/>
              <w:right w:val="single" w:sz="4" w:space="0" w:color="000000"/>
            </w:tcBorders>
            <w:shd w:val="clear" w:color="auto" w:fill="auto"/>
            <w:vAlign w:val="center"/>
          </w:tcPr>
          <w:p w14:paraId="014A53B5" w14:textId="77777777" w:rsidR="008F52C8" w:rsidRPr="0030358C" w:rsidRDefault="008F52C8" w:rsidP="00732453">
            <w:pPr>
              <w:snapToGrid w:val="0"/>
              <w:rPr>
                <w:rFonts w:ascii="Arial" w:hAnsi="Arial" w:cs="Arial"/>
                <w:b/>
                <w:strike/>
                <w:sz w:val="22"/>
                <w:szCs w:val="22"/>
                <w:lang w:eastAsia="zh-CN"/>
              </w:rPr>
            </w:pPr>
          </w:p>
        </w:tc>
      </w:tr>
      <w:tr w:rsidR="00E40657" w14:paraId="02BAF42C" w14:textId="77777777" w:rsidTr="00732453">
        <w:trPr>
          <w:cantSplit/>
          <w:trHeight w:hRule="exact" w:val="639"/>
        </w:trPr>
        <w:tc>
          <w:tcPr>
            <w:tcW w:w="1814" w:type="dxa"/>
            <w:tcBorders>
              <w:left w:val="single" w:sz="4" w:space="0" w:color="000000"/>
              <w:bottom w:val="single" w:sz="4" w:space="0" w:color="000000"/>
            </w:tcBorders>
            <w:shd w:val="clear" w:color="auto" w:fill="auto"/>
            <w:vAlign w:val="center"/>
          </w:tcPr>
          <w:p w14:paraId="33AF220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w:t>
            </w:r>
          </w:p>
        </w:tc>
        <w:tc>
          <w:tcPr>
            <w:tcW w:w="1701" w:type="dxa"/>
            <w:tcBorders>
              <w:left w:val="single" w:sz="4" w:space="0" w:color="000000"/>
              <w:bottom w:val="single" w:sz="4" w:space="0" w:color="000000"/>
            </w:tcBorders>
            <w:shd w:val="clear" w:color="auto" w:fill="auto"/>
            <w:vAlign w:val="center"/>
          </w:tcPr>
          <w:p w14:paraId="60B8DE7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1200</w:t>
            </w:r>
          </w:p>
        </w:tc>
        <w:tc>
          <w:tcPr>
            <w:tcW w:w="2127" w:type="dxa"/>
            <w:tcBorders>
              <w:left w:val="single" w:sz="4" w:space="0" w:color="000000"/>
              <w:bottom w:val="single" w:sz="4" w:space="0" w:color="000000"/>
            </w:tcBorders>
            <w:shd w:val="clear" w:color="auto" w:fill="auto"/>
            <w:vAlign w:val="center"/>
          </w:tcPr>
          <w:p w14:paraId="2F3C3A3D"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3</w:t>
            </w:r>
            <w:r w:rsidRPr="0030358C">
              <w:rPr>
                <w:rFonts w:ascii="Arial" w:hAnsi="Arial" w:cs="Arial"/>
                <w:bCs/>
                <w:strike/>
                <w:sz w:val="22"/>
                <w:szCs w:val="22"/>
                <w:vertAlign w:val="superscript"/>
                <w:lang w:eastAsia="zh-CN"/>
              </w:rPr>
              <w:t>1)</w:t>
            </w:r>
          </w:p>
        </w:tc>
        <w:tc>
          <w:tcPr>
            <w:tcW w:w="1969" w:type="dxa"/>
            <w:tcBorders>
              <w:top w:val="single" w:sz="4" w:space="0" w:color="000000"/>
              <w:left w:val="single" w:sz="4" w:space="0" w:color="000000"/>
              <w:bottom w:val="single" w:sz="4" w:space="0" w:color="000000"/>
            </w:tcBorders>
            <w:shd w:val="clear" w:color="auto" w:fill="auto"/>
            <w:vAlign w:val="center"/>
          </w:tcPr>
          <w:p w14:paraId="349309A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11</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54CA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5935EA5D" w14:textId="77777777" w:rsidR="008F52C8" w:rsidRPr="0030358C" w:rsidRDefault="00000000" w:rsidP="008F52C8">
      <w:pPr>
        <w:rPr>
          <w:rFonts w:ascii="Arial" w:hAnsi="Arial" w:cs="Arial"/>
          <w:strike/>
          <w:sz w:val="22"/>
          <w:szCs w:val="22"/>
          <w:lang w:eastAsia="zh-CN"/>
        </w:rPr>
      </w:pPr>
      <w:r w:rsidRPr="0030358C">
        <w:rPr>
          <w:rFonts w:ascii="Arial" w:hAnsi="Arial" w:cs="Arial"/>
          <w:strike/>
          <w:sz w:val="22"/>
          <w:szCs w:val="22"/>
          <w:lang w:eastAsia="zh-CN"/>
        </w:rPr>
        <w:t>Vysvětlivka: 1) Platí pouze pro výrobu vápna v šachtových koksových pecích.</w:t>
      </w:r>
    </w:p>
    <w:p w14:paraId="046CDC57" w14:textId="77777777" w:rsidR="008F52C8" w:rsidRPr="0030358C" w:rsidRDefault="008F52C8" w:rsidP="008F52C8">
      <w:pPr>
        <w:rPr>
          <w:rFonts w:ascii="Arial" w:hAnsi="Arial" w:cs="Arial"/>
          <w:b/>
          <w:strike/>
          <w:sz w:val="22"/>
          <w:szCs w:val="22"/>
          <w:lang w:eastAsia="zh-CN"/>
        </w:rPr>
      </w:pPr>
    </w:p>
    <w:p w14:paraId="5F4DA4F5" w14:textId="77777777" w:rsidR="008F52C8" w:rsidRPr="0030358C" w:rsidRDefault="008F52C8" w:rsidP="008F52C8">
      <w:pPr>
        <w:rPr>
          <w:rFonts w:ascii="Arial" w:hAnsi="Arial" w:cs="Arial"/>
          <w:b/>
          <w:strike/>
          <w:sz w:val="22"/>
          <w:szCs w:val="22"/>
          <w:lang w:eastAsia="zh-CN"/>
        </w:rPr>
      </w:pPr>
    </w:p>
    <w:p w14:paraId="40BE436A"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4.1.6. Pece pro zpracování produktů odsíření </w:t>
      </w:r>
      <w:r w:rsidRPr="0030358C">
        <w:rPr>
          <w:rFonts w:ascii="Arial" w:hAnsi="Arial" w:cs="Arial"/>
          <w:bCs/>
          <w:strike/>
          <w:sz w:val="22"/>
          <w:szCs w:val="22"/>
          <w:lang w:eastAsia="zh-CN"/>
        </w:rPr>
        <w:t>(kód 5.1.6.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1957"/>
        <w:gridCol w:w="1634"/>
        <w:gridCol w:w="1611"/>
        <w:gridCol w:w="1836"/>
        <w:gridCol w:w="2488"/>
      </w:tblGrid>
      <w:tr w:rsidR="00E40657" w14:paraId="6654868C" w14:textId="77777777" w:rsidTr="00732453">
        <w:trPr>
          <w:cantSplit/>
          <w:trHeight w:hRule="exact" w:val="341"/>
        </w:trPr>
        <w:tc>
          <w:tcPr>
            <w:tcW w:w="7038" w:type="dxa"/>
            <w:gridSpan w:val="4"/>
            <w:tcBorders>
              <w:top w:val="single" w:sz="2" w:space="0" w:color="000000"/>
              <w:left w:val="single" w:sz="2" w:space="0" w:color="000000"/>
              <w:bottom w:val="single" w:sz="2" w:space="0" w:color="000000"/>
            </w:tcBorders>
            <w:shd w:val="clear" w:color="auto" w:fill="auto"/>
            <w:vAlign w:val="center"/>
          </w:tcPr>
          <w:p w14:paraId="5E2D0F60"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488" w:type="dxa"/>
            <w:vMerge w:val="restart"/>
            <w:tcBorders>
              <w:top w:val="single" w:sz="2" w:space="0" w:color="000000"/>
              <w:left w:val="single" w:sz="2" w:space="0" w:color="000000"/>
              <w:right w:val="single" w:sz="2" w:space="0" w:color="000000"/>
            </w:tcBorders>
            <w:shd w:val="clear" w:color="auto" w:fill="auto"/>
            <w:vAlign w:val="center"/>
          </w:tcPr>
          <w:p w14:paraId="01B3B5DD"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9519A44" w14:textId="77777777" w:rsidTr="00732453">
        <w:trPr>
          <w:cantSplit/>
          <w:trHeight w:hRule="exact" w:val="331"/>
        </w:trPr>
        <w:tc>
          <w:tcPr>
            <w:tcW w:w="1957" w:type="dxa"/>
            <w:tcBorders>
              <w:top w:val="single" w:sz="2" w:space="0" w:color="000000"/>
              <w:left w:val="single" w:sz="2" w:space="0" w:color="000000"/>
              <w:bottom w:val="single" w:sz="2" w:space="0" w:color="000000"/>
            </w:tcBorders>
            <w:shd w:val="clear" w:color="auto" w:fill="auto"/>
            <w:vAlign w:val="center"/>
          </w:tcPr>
          <w:p w14:paraId="53BA8998"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634" w:type="dxa"/>
            <w:tcBorders>
              <w:top w:val="single" w:sz="2" w:space="0" w:color="000000"/>
              <w:left w:val="single" w:sz="2" w:space="0" w:color="000000"/>
              <w:bottom w:val="single" w:sz="2" w:space="0" w:color="000000"/>
            </w:tcBorders>
            <w:shd w:val="clear" w:color="auto" w:fill="auto"/>
            <w:vAlign w:val="center"/>
          </w:tcPr>
          <w:p w14:paraId="363D69CE"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611" w:type="dxa"/>
            <w:tcBorders>
              <w:top w:val="single" w:sz="2" w:space="0" w:color="000000"/>
              <w:left w:val="single" w:sz="2" w:space="0" w:color="000000"/>
              <w:bottom w:val="single" w:sz="2" w:space="0" w:color="000000"/>
            </w:tcBorders>
            <w:shd w:val="clear" w:color="auto" w:fill="auto"/>
            <w:vAlign w:val="center"/>
          </w:tcPr>
          <w:p w14:paraId="6D10D8A7"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836" w:type="dxa"/>
            <w:tcBorders>
              <w:top w:val="single" w:sz="2" w:space="0" w:color="000000"/>
              <w:left w:val="single" w:sz="2" w:space="0" w:color="000000"/>
              <w:bottom w:val="single" w:sz="2" w:space="0" w:color="000000"/>
            </w:tcBorders>
            <w:shd w:val="clear" w:color="auto" w:fill="auto"/>
            <w:vAlign w:val="center"/>
          </w:tcPr>
          <w:p w14:paraId="3A54702F"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2488" w:type="dxa"/>
            <w:vMerge/>
            <w:tcBorders>
              <w:left w:val="single" w:sz="2" w:space="0" w:color="000000"/>
              <w:bottom w:val="single" w:sz="2" w:space="0" w:color="000000"/>
              <w:right w:val="single" w:sz="2" w:space="0" w:color="000000"/>
            </w:tcBorders>
            <w:shd w:val="clear" w:color="auto" w:fill="auto"/>
            <w:vAlign w:val="center"/>
          </w:tcPr>
          <w:p w14:paraId="54609C1B" w14:textId="77777777" w:rsidR="008F52C8" w:rsidRPr="0030358C" w:rsidRDefault="008F52C8" w:rsidP="00732453">
            <w:pPr>
              <w:widowControl w:val="0"/>
              <w:autoSpaceDE w:val="0"/>
              <w:snapToGrid w:val="0"/>
              <w:jc w:val="center"/>
              <w:rPr>
                <w:rFonts w:ascii="Arial" w:hAnsi="Arial" w:cs="Arial"/>
                <w:b/>
                <w:strike/>
                <w:sz w:val="22"/>
                <w:szCs w:val="22"/>
                <w:lang w:eastAsia="zh-CN"/>
              </w:rPr>
            </w:pPr>
          </w:p>
        </w:tc>
      </w:tr>
      <w:tr w:rsidR="00E40657" w14:paraId="28B17339" w14:textId="77777777" w:rsidTr="00732453">
        <w:trPr>
          <w:trHeight w:hRule="exact" w:val="340"/>
        </w:trPr>
        <w:tc>
          <w:tcPr>
            <w:tcW w:w="1957" w:type="dxa"/>
            <w:tcBorders>
              <w:top w:val="single" w:sz="2" w:space="0" w:color="000000"/>
              <w:left w:val="single" w:sz="2" w:space="0" w:color="000000"/>
              <w:bottom w:val="single" w:sz="2" w:space="0" w:color="000000"/>
            </w:tcBorders>
            <w:shd w:val="clear" w:color="auto" w:fill="auto"/>
            <w:vAlign w:val="center"/>
          </w:tcPr>
          <w:p w14:paraId="6A97F01A"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634" w:type="dxa"/>
            <w:tcBorders>
              <w:top w:val="single" w:sz="2" w:space="0" w:color="000000"/>
              <w:left w:val="single" w:sz="2" w:space="0" w:color="000000"/>
              <w:bottom w:val="single" w:sz="2" w:space="0" w:color="000000"/>
            </w:tcBorders>
            <w:shd w:val="clear" w:color="auto" w:fill="auto"/>
            <w:vAlign w:val="center"/>
          </w:tcPr>
          <w:p w14:paraId="61E307A2"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200</w:t>
            </w:r>
          </w:p>
        </w:tc>
        <w:tc>
          <w:tcPr>
            <w:tcW w:w="1611" w:type="dxa"/>
            <w:tcBorders>
              <w:top w:val="single" w:sz="2" w:space="0" w:color="000000"/>
              <w:left w:val="single" w:sz="2" w:space="0" w:color="000000"/>
              <w:bottom w:val="single" w:sz="2" w:space="0" w:color="000000"/>
            </w:tcBorders>
            <w:shd w:val="clear" w:color="auto" w:fill="auto"/>
            <w:vAlign w:val="center"/>
          </w:tcPr>
          <w:p w14:paraId="5DA8CB29"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p>
        </w:tc>
        <w:tc>
          <w:tcPr>
            <w:tcW w:w="1836" w:type="dxa"/>
            <w:tcBorders>
              <w:top w:val="single" w:sz="2" w:space="0" w:color="000000"/>
              <w:left w:val="single" w:sz="2" w:space="0" w:color="000000"/>
              <w:bottom w:val="single" w:sz="2" w:space="0" w:color="000000"/>
            </w:tcBorders>
            <w:shd w:val="clear" w:color="auto" w:fill="auto"/>
            <w:vAlign w:val="center"/>
          </w:tcPr>
          <w:p w14:paraId="2F86C0A8"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p>
        </w:tc>
        <w:tc>
          <w:tcPr>
            <w:tcW w:w="24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99C1EC"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3A9E082E" w14:textId="77777777" w:rsidR="008F52C8" w:rsidRPr="0030358C" w:rsidRDefault="00000000" w:rsidP="008F52C8">
      <w:pPr>
        <w:rPr>
          <w:rFonts w:ascii="Arial" w:hAnsi="Arial" w:cs="Arial"/>
          <w:strike/>
          <w:sz w:val="22"/>
          <w:szCs w:val="22"/>
          <w:lang w:eastAsia="zh-CN"/>
        </w:rPr>
      </w:pPr>
      <w:r w:rsidRPr="0030358C">
        <w:rPr>
          <w:rFonts w:ascii="Arial" w:hAnsi="Arial" w:cs="Arial"/>
          <w:strike/>
          <w:sz w:val="22"/>
          <w:szCs w:val="22"/>
          <w:lang w:eastAsia="zh-CN"/>
        </w:rPr>
        <w:t xml:space="preserve">Vysvětlivka: 1) Platí pro pece pracující samostatně, nezávisle na provozu vlastního odsíření. </w:t>
      </w:r>
    </w:p>
    <w:p w14:paraId="5BACA892" w14:textId="77777777" w:rsidR="008F52C8" w:rsidRPr="0030358C" w:rsidRDefault="008F52C8" w:rsidP="008F52C8">
      <w:pPr>
        <w:rPr>
          <w:rFonts w:ascii="Arial" w:hAnsi="Arial" w:cs="Arial"/>
          <w:b/>
          <w:strike/>
          <w:sz w:val="22"/>
          <w:szCs w:val="22"/>
          <w:lang w:eastAsia="zh-CN"/>
        </w:rPr>
      </w:pPr>
    </w:p>
    <w:p w14:paraId="09CBDD68" w14:textId="77777777" w:rsidR="008F52C8" w:rsidRPr="0030358C" w:rsidRDefault="008F52C8" w:rsidP="008F52C8">
      <w:pPr>
        <w:rPr>
          <w:rFonts w:ascii="Arial" w:hAnsi="Arial" w:cs="Arial"/>
          <w:b/>
          <w:strike/>
          <w:sz w:val="22"/>
          <w:szCs w:val="22"/>
          <w:lang w:eastAsia="zh-CN"/>
        </w:rPr>
      </w:pPr>
    </w:p>
    <w:p w14:paraId="6CF995A0"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
          <w:strike/>
          <w:sz w:val="22"/>
          <w:szCs w:val="22"/>
          <w:lang w:eastAsia="zh-CN"/>
        </w:rPr>
        <w:t xml:space="preserve">4.1.7. Úprava a zušlechťování žáruvzdorných jílovců a kaolínů v rotačních pecích </w:t>
      </w:r>
      <w:r w:rsidRPr="0030358C">
        <w:rPr>
          <w:rFonts w:ascii="Arial" w:hAnsi="Arial" w:cs="Arial"/>
          <w:bCs/>
          <w:strike/>
          <w:sz w:val="22"/>
          <w:szCs w:val="22"/>
          <w:lang w:eastAsia="zh-CN"/>
        </w:rPr>
        <w:t>(kód 5.1.7. dle přílohy č. 2 zákona)</w:t>
      </w:r>
    </w:p>
    <w:tbl>
      <w:tblPr>
        <w:tblW w:w="0" w:type="auto"/>
        <w:tblInd w:w="-15" w:type="dxa"/>
        <w:tblLayout w:type="fixed"/>
        <w:tblLook w:val="0000" w:firstRow="0" w:lastRow="0" w:firstColumn="0" w:lastColumn="0" w:noHBand="0" w:noVBand="0"/>
      </w:tblPr>
      <w:tblGrid>
        <w:gridCol w:w="3162"/>
        <w:gridCol w:w="2938"/>
        <w:gridCol w:w="3500"/>
      </w:tblGrid>
      <w:tr w:rsidR="00E40657" w14:paraId="2A239FE3" w14:textId="77777777" w:rsidTr="00732453">
        <w:trPr>
          <w:cantSplit/>
          <w:trHeight w:hRule="exact" w:val="567"/>
        </w:trPr>
        <w:tc>
          <w:tcPr>
            <w:tcW w:w="6100" w:type="dxa"/>
            <w:gridSpan w:val="2"/>
            <w:tcBorders>
              <w:top w:val="single" w:sz="4" w:space="0" w:color="000000"/>
              <w:left w:val="single" w:sz="4" w:space="0" w:color="000000"/>
            </w:tcBorders>
            <w:shd w:val="clear" w:color="auto" w:fill="auto"/>
            <w:vAlign w:val="center"/>
          </w:tcPr>
          <w:p w14:paraId="3DEE19D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61B9D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24BD3C0" w14:textId="77777777" w:rsidTr="00732453">
        <w:trPr>
          <w:cantSplit/>
          <w:trHeight w:hRule="exact" w:val="340"/>
        </w:trPr>
        <w:tc>
          <w:tcPr>
            <w:tcW w:w="3162" w:type="dxa"/>
            <w:tcBorders>
              <w:top w:val="single" w:sz="4" w:space="0" w:color="000000"/>
              <w:left w:val="single" w:sz="4" w:space="0" w:color="000000"/>
              <w:bottom w:val="single" w:sz="4" w:space="0" w:color="000000"/>
            </w:tcBorders>
            <w:shd w:val="clear" w:color="auto" w:fill="auto"/>
            <w:vAlign w:val="center"/>
          </w:tcPr>
          <w:p w14:paraId="33B98A3A"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2938" w:type="dxa"/>
            <w:tcBorders>
              <w:top w:val="single" w:sz="4" w:space="0" w:color="000000"/>
              <w:left w:val="single" w:sz="4" w:space="0" w:color="000000"/>
              <w:bottom w:val="single" w:sz="4" w:space="0" w:color="000000"/>
            </w:tcBorders>
            <w:shd w:val="clear" w:color="auto" w:fill="auto"/>
            <w:vAlign w:val="center"/>
          </w:tcPr>
          <w:p w14:paraId="6FF8A6D6"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3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2562CB" w14:textId="77777777" w:rsidR="008F52C8" w:rsidRPr="0030358C" w:rsidRDefault="008F52C8" w:rsidP="00732453">
            <w:pPr>
              <w:snapToGrid w:val="0"/>
              <w:rPr>
                <w:rFonts w:ascii="Arial" w:hAnsi="Arial" w:cs="Arial"/>
                <w:b/>
                <w:strike/>
                <w:sz w:val="22"/>
                <w:szCs w:val="22"/>
                <w:lang w:eastAsia="zh-CN"/>
              </w:rPr>
            </w:pPr>
          </w:p>
        </w:tc>
      </w:tr>
      <w:tr w:rsidR="00E40657" w14:paraId="4128BE28" w14:textId="77777777" w:rsidTr="00732453">
        <w:trPr>
          <w:cantSplit/>
          <w:trHeight w:hRule="exact" w:val="340"/>
        </w:trPr>
        <w:tc>
          <w:tcPr>
            <w:tcW w:w="3162" w:type="dxa"/>
            <w:tcBorders>
              <w:left w:val="single" w:sz="4" w:space="0" w:color="000000"/>
              <w:bottom w:val="single" w:sz="4" w:space="0" w:color="000000"/>
            </w:tcBorders>
            <w:shd w:val="clear" w:color="auto" w:fill="auto"/>
            <w:vAlign w:val="center"/>
          </w:tcPr>
          <w:p w14:paraId="3207239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75</w:t>
            </w:r>
          </w:p>
        </w:tc>
        <w:tc>
          <w:tcPr>
            <w:tcW w:w="2938" w:type="dxa"/>
            <w:tcBorders>
              <w:left w:val="single" w:sz="4" w:space="0" w:color="000000"/>
              <w:bottom w:val="single" w:sz="4" w:space="0" w:color="000000"/>
            </w:tcBorders>
            <w:shd w:val="clear" w:color="auto" w:fill="auto"/>
            <w:vAlign w:val="center"/>
          </w:tcPr>
          <w:p w14:paraId="56ED7CE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E607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5313CC16" w14:textId="77777777" w:rsidR="008F52C8" w:rsidRPr="0030358C" w:rsidRDefault="008F52C8" w:rsidP="008F52C8">
      <w:pPr>
        <w:rPr>
          <w:rFonts w:ascii="Arial" w:hAnsi="Arial" w:cs="Arial"/>
          <w:b/>
          <w:strike/>
          <w:sz w:val="22"/>
          <w:szCs w:val="22"/>
          <w:lang w:eastAsia="zh-CN"/>
        </w:rPr>
      </w:pPr>
    </w:p>
    <w:p w14:paraId="398953BD"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4.1a Výroba materiálů a produktů obsahujících azbest </w:t>
      </w:r>
      <w:r w:rsidRPr="0030358C">
        <w:rPr>
          <w:rFonts w:ascii="Arial" w:hAnsi="Arial" w:cs="Arial"/>
          <w:bCs/>
          <w:strike/>
          <w:sz w:val="22"/>
          <w:szCs w:val="22"/>
          <w:lang w:eastAsia="zh-CN"/>
        </w:rPr>
        <w:t>(kód 5.2. dle přílohy č. 2 zákona)</w:t>
      </w:r>
    </w:p>
    <w:tbl>
      <w:tblPr>
        <w:tblW w:w="0" w:type="auto"/>
        <w:tblInd w:w="-15" w:type="dxa"/>
        <w:tblLayout w:type="fixed"/>
        <w:tblLook w:val="0000" w:firstRow="0" w:lastRow="0" w:firstColumn="0" w:lastColumn="0" w:noHBand="0" w:noVBand="0"/>
      </w:tblPr>
      <w:tblGrid>
        <w:gridCol w:w="6100"/>
        <w:gridCol w:w="3500"/>
      </w:tblGrid>
      <w:tr w:rsidR="00E40657" w14:paraId="0417CD3A" w14:textId="77777777" w:rsidTr="00732453">
        <w:trPr>
          <w:cantSplit/>
          <w:trHeight w:hRule="exact" w:val="567"/>
        </w:trPr>
        <w:tc>
          <w:tcPr>
            <w:tcW w:w="6100" w:type="dxa"/>
            <w:tcBorders>
              <w:top w:val="single" w:sz="4" w:space="0" w:color="000000"/>
              <w:left w:val="single" w:sz="4" w:space="0" w:color="000000"/>
            </w:tcBorders>
            <w:shd w:val="clear" w:color="auto" w:fill="auto"/>
            <w:vAlign w:val="center"/>
          </w:tcPr>
          <w:p w14:paraId="645E5B2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DB59F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8A5BF81" w14:textId="77777777" w:rsidTr="00732453">
        <w:trPr>
          <w:cantSplit/>
          <w:trHeight w:hRule="exact" w:val="340"/>
        </w:trPr>
        <w:tc>
          <w:tcPr>
            <w:tcW w:w="6100" w:type="dxa"/>
            <w:tcBorders>
              <w:top w:val="single" w:sz="4" w:space="0" w:color="000000"/>
              <w:left w:val="single" w:sz="4" w:space="0" w:color="000000"/>
              <w:bottom w:val="single" w:sz="4" w:space="0" w:color="000000"/>
            </w:tcBorders>
            <w:shd w:val="clear" w:color="auto" w:fill="auto"/>
            <w:vAlign w:val="center"/>
          </w:tcPr>
          <w:p w14:paraId="2028D1C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azbest</w:t>
            </w:r>
          </w:p>
          <w:p w14:paraId="5904C9D6"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3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BFEAF7" w14:textId="77777777" w:rsidR="008F52C8" w:rsidRPr="0030358C" w:rsidRDefault="008F52C8" w:rsidP="00732453">
            <w:pPr>
              <w:snapToGrid w:val="0"/>
              <w:rPr>
                <w:rFonts w:ascii="Arial" w:hAnsi="Arial" w:cs="Arial"/>
                <w:b/>
                <w:strike/>
                <w:sz w:val="22"/>
                <w:szCs w:val="22"/>
                <w:lang w:eastAsia="zh-CN"/>
              </w:rPr>
            </w:pPr>
          </w:p>
        </w:tc>
      </w:tr>
      <w:tr w:rsidR="00E40657" w14:paraId="430B80F7" w14:textId="77777777" w:rsidTr="00732453">
        <w:trPr>
          <w:cantSplit/>
          <w:trHeight w:hRule="exact" w:val="340"/>
        </w:trPr>
        <w:tc>
          <w:tcPr>
            <w:tcW w:w="6100" w:type="dxa"/>
            <w:tcBorders>
              <w:left w:val="single" w:sz="4" w:space="0" w:color="000000"/>
              <w:bottom w:val="single" w:sz="4" w:space="0" w:color="000000"/>
            </w:tcBorders>
            <w:shd w:val="clear" w:color="auto" w:fill="auto"/>
            <w:vAlign w:val="center"/>
          </w:tcPr>
          <w:p w14:paraId="59B06D1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0,1</w:t>
            </w:r>
          </w:p>
          <w:p w14:paraId="6054D74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500</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92A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2B5F4B37" w14:textId="77777777" w:rsidR="008F52C8" w:rsidRPr="0030358C" w:rsidRDefault="008F52C8" w:rsidP="008F52C8">
      <w:pPr>
        <w:rPr>
          <w:rFonts w:ascii="Arial" w:hAnsi="Arial" w:cs="Arial"/>
          <w:b/>
          <w:strike/>
          <w:sz w:val="22"/>
          <w:szCs w:val="22"/>
          <w:lang w:eastAsia="zh-CN"/>
        </w:rPr>
      </w:pPr>
    </w:p>
    <w:p w14:paraId="01D53B66" w14:textId="77777777" w:rsidR="008F52C8" w:rsidRPr="0030358C" w:rsidRDefault="008F52C8" w:rsidP="008F52C8">
      <w:pPr>
        <w:rPr>
          <w:rFonts w:ascii="Arial" w:hAnsi="Arial" w:cs="Arial"/>
          <w:b/>
          <w:strike/>
          <w:sz w:val="22"/>
          <w:szCs w:val="22"/>
          <w:lang w:eastAsia="zh-CN"/>
        </w:rPr>
      </w:pPr>
    </w:p>
    <w:p w14:paraId="6C54774B" w14:textId="77777777" w:rsidR="008F52C8" w:rsidRPr="0030358C" w:rsidRDefault="00000000" w:rsidP="008F52C8">
      <w:pPr>
        <w:spacing w:after="200" w:line="276" w:lineRule="auto"/>
        <w:rPr>
          <w:rFonts w:ascii="Arial" w:hAnsi="Arial" w:cs="Arial"/>
          <w:b/>
          <w:strike/>
          <w:sz w:val="22"/>
          <w:szCs w:val="22"/>
          <w:lang w:eastAsia="zh-CN"/>
        </w:rPr>
      </w:pPr>
      <w:r w:rsidRPr="0030358C">
        <w:rPr>
          <w:rFonts w:ascii="Arial" w:eastAsia="Calibri" w:hAnsi="Arial" w:cs="Arial"/>
          <w:b/>
          <w:strike/>
          <w:sz w:val="22"/>
          <w:szCs w:val="22"/>
          <w:lang w:eastAsia="zh-CN"/>
        </w:rPr>
        <w:t>4.2.</w:t>
      </w:r>
      <w:r w:rsidRPr="0030358C">
        <w:rPr>
          <w:rFonts w:ascii="Arial" w:hAnsi="Arial" w:cs="Arial"/>
          <w:b/>
          <w:strike/>
          <w:sz w:val="22"/>
          <w:szCs w:val="22"/>
          <w:lang w:eastAsia="zh-CN"/>
        </w:rPr>
        <w:t xml:space="preserve"> Výroba skla, včetně skleněných vláken</w:t>
      </w:r>
    </w:p>
    <w:tbl>
      <w:tblPr>
        <w:tblW w:w="9600" w:type="dxa"/>
        <w:tblInd w:w="-15" w:type="dxa"/>
        <w:tblLayout w:type="fixed"/>
        <w:tblLook w:val="0000" w:firstRow="0" w:lastRow="0" w:firstColumn="0" w:lastColumn="0" w:noHBand="0" w:noVBand="0"/>
      </w:tblPr>
      <w:tblGrid>
        <w:gridCol w:w="1406"/>
        <w:gridCol w:w="1391"/>
        <w:gridCol w:w="1391"/>
        <w:gridCol w:w="1064"/>
        <w:gridCol w:w="1537"/>
        <w:gridCol w:w="1068"/>
        <w:gridCol w:w="91"/>
        <w:gridCol w:w="1652"/>
      </w:tblGrid>
      <w:tr w:rsidR="00E40657" w14:paraId="0E6D025E" w14:textId="77777777" w:rsidTr="00732453">
        <w:trPr>
          <w:cantSplit/>
          <w:trHeight w:hRule="exact" w:val="343"/>
        </w:trPr>
        <w:tc>
          <w:tcPr>
            <w:tcW w:w="6789" w:type="dxa"/>
            <w:gridSpan w:val="5"/>
            <w:tcBorders>
              <w:top w:val="single" w:sz="4" w:space="0" w:color="000000"/>
              <w:left w:val="single" w:sz="4" w:space="0" w:color="000000"/>
              <w:bottom w:val="single" w:sz="4" w:space="0" w:color="000000"/>
            </w:tcBorders>
            <w:shd w:val="clear" w:color="auto" w:fill="auto"/>
            <w:vAlign w:val="center"/>
          </w:tcPr>
          <w:p w14:paraId="7F715DC6"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lastRenderedPageBreak/>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068" w:type="dxa"/>
            <w:vMerge w:val="restart"/>
            <w:tcBorders>
              <w:top w:val="single" w:sz="4" w:space="0" w:color="000000"/>
              <w:left w:val="single" w:sz="4" w:space="0" w:color="000000"/>
              <w:bottom w:val="single" w:sz="4" w:space="0" w:color="000000"/>
            </w:tcBorders>
            <w:shd w:val="clear" w:color="auto" w:fill="auto"/>
            <w:vAlign w:val="center"/>
          </w:tcPr>
          <w:p w14:paraId="3B276A7E" w14:textId="77777777" w:rsidR="008F52C8" w:rsidRPr="0030358C" w:rsidRDefault="00000000" w:rsidP="00732453">
            <w:pPr>
              <w:keepNext/>
              <w:keepLines/>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O</w:t>
            </w:r>
            <w:r w:rsidRPr="0030358C">
              <w:rPr>
                <w:rFonts w:ascii="Arial" w:hAnsi="Arial" w:cs="Arial"/>
                <w:b/>
                <w:strike/>
                <w:sz w:val="22"/>
                <w:szCs w:val="22"/>
                <w:vertAlign w:val="subscript"/>
                <w:lang w:eastAsia="zh-CN"/>
              </w:rPr>
              <w:t>2R</w:t>
            </w:r>
          </w:p>
          <w:p w14:paraId="722D3D76" w14:textId="77777777" w:rsidR="008F52C8" w:rsidRPr="0030358C" w:rsidRDefault="00000000" w:rsidP="00732453">
            <w:pPr>
              <w:keepNext/>
              <w:keepLines/>
              <w:jc w:val="center"/>
              <w:rPr>
                <w:rFonts w:ascii="Arial" w:hAnsi="Arial" w:cs="Arial"/>
                <w:b/>
                <w:strike/>
                <w:sz w:val="22"/>
                <w:szCs w:val="22"/>
                <w:lang w:eastAsia="zh-CN"/>
              </w:rPr>
            </w:pPr>
            <w:r w:rsidRPr="0030358C">
              <w:rPr>
                <w:rFonts w:ascii="Arial" w:hAnsi="Arial" w:cs="Arial"/>
                <w:b/>
                <w:strike/>
                <w:sz w:val="22"/>
                <w:szCs w:val="22"/>
                <w:lang w:eastAsia="zh-CN"/>
              </w:rPr>
              <w:t>[%]</w:t>
            </w:r>
          </w:p>
        </w:tc>
        <w:tc>
          <w:tcPr>
            <w:tcW w:w="17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9BC1F7"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27CB356C" w14:textId="77777777" w:rsidTr="00732453">
        <w:trPr>
          <w:cantSplit/>
          <w:trHeight w:hRule="exact" w:val="343"/>
        </w:trPr>
        <w:tc>
          <w:tcPr>
            <w:tcW w:w="1406" w:type="dxa"/>
            <w:tcBorders>
              <w:left w:val="single" w:sz="4" w:space="0" w:color="000000"/>
              <w:bottom w:val="single" w:sz="4" w:space="0" w:color="000000"/>
            </w:tcBorders>
            <w:shd w:val="clear" w:color="auto" w:fill="auto"/>
            <w:vAlign w:val="center"/>
          </w:tcPr>
          <w:p w14:paraId="07007744"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391" w:type="dxa"/>
            <w:tcBorders>
              <w:left w:val="single" w:sz="4" w:space="0" w:color="000000"/>
              <w:bottom w:val="single" w:sz="4" w:space="0" w:color="000000"/>
            </w:tcBorders>
            <w:shd w:val="clear" w:color="auto" w:fill="auto"/>
            <w:vAlign w:val="center"/>
          </w:tcPr>
          <w:p w14:paraId="37EC1823"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391" w:type="dxa"/>
            <w:tcBorders>
              <w:left w:val="single" w:sz="4" w:space="0" w:color="000000"/>
              <w:bottom w:val="single" w:sz="4" w:space="0" w:color="000000"/>
            </w:tcBorders>
            <w:shd w:val="clear" w:color="auto" w:fill="auto"/>
            <w:vAlign w:val="center"/>
          </w:tcPr>
          <w:p w14:paraId="7766C589"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064" w:type="dxa"/>
            <w:tcBorders>
              <w:left w:val="single" w:sz="4" w:space="0" w:color="000000"/>
              <w:bottom w:val="single" w:sz="4" w:space="0" w:color="000000"/>
            </w:tcBorders>
            <w:shd w:val="clear" w:color="auto" w:fill="auto"/>
            <w:vAlign w:val="center"/>
          </w:tcPr>
          <w:p w14:paraId="3CB51C45"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1537" w:type="dxa"/>
            <w:tcBorders>
              <w:left w:val="single" w:sz="4" w:space="0" w:color="000000"/>
              <w:bottom w:val="single" w:sz="4" w:space="0" w:color="000000"/>
            </w:tcBorders>
            <w:shd w:val="clear" w:color="auto" w:fill="auto"/>
            <w:vAlign w:val="center"/>
          </w:tcPr>
          <w:p w14:paraId="0B0A5484"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jiné</w:t>
            </w:r>
          </w:p>
        </w:tc>
        <w:tc>
          <w:tcPr>
            <w:tcW w:w="1068" w:type="dxa"/>
            <w:vMerge/>
            <w:tcBorders>
              <w:top w:val="single" w:sz="4" w:space="0" w:color="000000"/>
              <w:left w:val="single" w:sz="4" w:space="0" w:color="000000"/>
              <w:bottom w:val="single" w:sz="4" w:space="0" w:color="000000"/>
            </w:tcBorders>
            <w:shd w:val="clear" w:color="auto" w:fill="auto"/>
            <w:vAlign w:val="center"/>
          </w:tcPr>
          <w:p w14:paraId="26591071" w14:textId="77777777" w:rsidR="008F52C8" w:rsidRPr="0030358C" w:rsidRDefault="008F52C8" w:rsidP="00732453">
            <w:pPr>
              <w:keepNext/>
              <w:keepLines/>
              <w:snapToGrid w:val="0"/>
              <w:rPr>
                <w:rFonts w:ascii="Arial" w:hAnsi="Arial" w:cs="Arial"/>
                <w:b/>
                <w:strike/>
                <w:sz w:val="22"/>
                <w:szCs w:val="22"/>
                <w:lang w:eastAsia="zh-CN"/>
              </w:rPr>
            </w:pPr>
          </w:p>
        </w:tc>
        <w:tc>
          <w:tcPr>
            <w:tcW w:w="17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D87347" w14:textId="77777777" w:rsidR="008F52C8" w:rsidRPr="0030358C" w:rsidRDefault="008F52C8" w:rsidP="00732453">
            <w:pPr>
              <w:keepNext/>
              <w:keepLines/>
              <w:snapToGrid w:val="0"/>
              <w:rPr>
                <w:rFonts w:ascii="Arial" w:hAnsi="Arial" w:cs="Arial"/>
                <w:b/>
                <w:strike/>
                <w:sz w:val="22"/>
                <w:szCs w:val="22"/>
                <w:lang w:eastAsia="zh-CN"/>
              </w:rPr>
            </w:pPr>
          </w:p>
        </w:tc>
      </w:tr>
      <w:tr w:rsidR="00E40657" w14:paraId="13211245" w14:textId="77777777" w:rsidTr="00732453">
        <w:trPr>
          <w:cantSplit/>
          <w:trHeight w:hRule="exact" w:val="1105"/>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9CD46C7" w14:textId="77777777" w:rsidR="008F52C8" w:rsidRPr="0030358C" w:rsidRDefault="00000000" w:rsidP="00732453">
            <w:pPr>
              <w:keepNext/>
              <w:keepLines/>
              <w:snapToGrid w:val="0"/>
              <w:rPr>
                <w:rFonts w:ascii="Arial" w:hAnsi="Arial" w:cs="Arial"/>
                <w:b/>
                <w:strike/>
                <w:sz w:val="22"/>
                <w:szCs w:val="22"/>
                <w:vertAlign w:val="superscript"/>
                <w:lang w:eastAsia="zh-CN"/>
              </w:rPr>
            </w:pPr>
            <w:r w:rsidRPr="0030358C">
              <w:rPr>
                <w:rFonts w:ascii="Arial" w:hAnsi="Arial" w:cs="Arial"/>
                <w:b/>
                <w:bCs/>
                <w:strike/>
                <w:sz w:val="22"/>
                <w:szCs w:val="22"/>
                <w:lang w:eastAsia="zh-CN"/>
              </w:rPr>
              <w:t xml:space="preserve">4.2.1. Výroby skla, vláken, sklářských výrobků, smaltovacích a glazurovacích frit a skla pro bižuterní zpracování o projektované kapacitě tavení vyšší než 150 t/rok </w:t>
            </w:r>
            <w:r w:rsidRPr="0030358C">
              <w:rPr>
                <w:rFonts w:ascii="Arial" w:hAnsi="Arial" w:cs="Arial"/>
                <w:bCs/>
                <w:strike/>
                <w:sz w:val="22"/>
                <w:szCs w:val="22"/>
                <w:lang w:eastAsia="zh-CN"/>
              </w:rPr>
              <w:t>(kód 5.3. dle přílohy č. 2 zákona)</w:t>
            </w:r>
          </w:p>
        </w:tc>
      </w:tr>
      <w:tr w:rsidR="00E40657" w14:paraId="40FFD04D" w14:textId="77777777" w:rsidTr="00732453">
        <w:trPr>
          <w:cantSplit/>
          <w:trHeight w:hRule="exact" w:val="1411"/>
        </w:trPr>
        <w:tc>
          <w:tcPr>
            <w:tcW w:w="1406" w:type="dxa"/>
            <w:tcBorders>
              <w:left w:val="single" w:sz="4" w:space="0" w:color="000000"/>
              <w:bottom w:val="single" w:sz="4" w:space="0" w:color="000000"/>
            </w:tcBorders>
            <w:shd w:val="clear" w:color="auto" w:fill="auto"/>
            <w:vAlign w:val="center"/>
          </w:tcPr>
          <w:p w14:paraId="76C68999" w14:textId="77777777" w:rsidR="008F52C8" w:rsidRPr="0030358C" w:rsidRDefault="008F52C8" w:rsidP="00732453">
            <w:pPr>
              <w:keepNext/>
              <w:keepLines/>
              <w:snapToGrid w:val="0"/>
              <w:jc w:val="center"/>
              <w:rPr>
                <w:rFonts w:ascii="Arial" w:hAnsi="Arial" w:cs="Arial"/>
                <w:bCs/>
                <w:strike/>
                <w:sz w:val="22"/>
                <w:szCs w:val="22"/>
                <w:vertAlign w:val="superscript"/>
                <w:lang w:eastAsia="zh-CN"/>
              </w:rPr>
            </w:pPr>
          </w:p>
          <w:p w14:paraId="3999BD0D"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100</w:t>
            </w:r>
            <w:r w:rsidRPr="0030358C">
              <w:rPr>
                <w:rFonts w:ascii="Arial" w:hAnsi="Arial" w:cs="Arial"/>
                <w:bCs/>
                <w:strike/>
                <w:sz w:val="22"/>
                <w:szCs w:val="22"/>
                <w:vertAlign w:val="superscript"/>
                <w:lang w:eastAsia="zh-CN"/>
              </w:rPr>
              <w:t>1)</w:t>
            </w:r>
          </w:p>
          <w:p w14:paraId="59F668F9"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 xml:space="preserve">     50</w:t>
            </w:r>
            <w:r w:rsidRPr="0030358C">
              <w:rPr>
                <w:rFonts w:ascii="Arial" w:hAnsi="Arial" w:cs="Arial"/>
                <w:bCs/>
                <w:strike/>
                <w:sz w:val="22"/>
                <w:szCs w:val="22"/>
                <w:vertAlign w:val="superscript"/>
                <w:lang w:eastAsia="zh-CN"/>
              </w:rPr>
              <w:t>2), 20)</w:t>
            </w:r>
          </w:p>
        </w:tc>
        <w:tc>
          <w:tcPr>
            <w:tcW w:w="1391" w:type="dxa"/>
            <w:tcBorders>
              <w:left w:val="single" w:sz="4" w:space="0" w:color="000000"/>
              <w:bottom w:val="single" w:sz="4" w:space="0" w:color="000000"/>
            </w:tcBorders>
            <w:shd w:val="clear" w:color="auto" w:fill="auto"/>
            <w:vAlign w:val="center"/>
          </w:tcPr>
          <w:p w14:paraId="5D25FCB6"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500</w:t>
            </w:r>
            <w:r w:rsidRPr="0030358C">
              <w:rPr>
                <w:rFonts w:ascii="Arial" w:hAnsi="Arial" w:cs="Arial"/>
                <w:bCs/>
                <w:strike/>
                <w:sz w:val="22"/>
                <w:szCs w:val="22"/>
                <w:vertAlign w:val="superscript"/>
                <w:lang w:eastAsia="zh-CN"/>
              </w:rPr>
              <w:t>3)</w:t>
            </w:r>
          </w:p>
          <w:p w14:paraId="155CAD4F" w14:textId="77777777" w:rsidR="008F52C8" w:rsidRPr="0030358C" w:rsidRDefault="00000000" w:rsidP="00732453">
            <w:pPr>
              <w:keepNext/>
              <w:keepLines/>
              <w:ind w:left="-108"/>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1600</w:t>
            </w:r>
            <w:r w:rsidRPr="0030358C">
              <w:rPr>
                <w:rFonts w:ascii="Arial" w:hAnsi="Arial" w:cs="Arial"/>
                <w:bCs/>
                <w:strike/>
                <w:sz w:val="22"/>
                <w:szCs w:val="22"/>
                <w:vertAlign w:val="superscript"/>
                <w:lang w:eastAsia="zh-CN"/>
              </w:rPr>
              <w:t>4),20)</w:t>
            </w:r>
          </w:p>
          <w:p w14:paraId="1F71655A" w14:textId="77777777" w:rsidR="008F52C8" w:rsidRPr="0030358C" w:rsidRDefault="008F52C8" w:rsidP="00732453">
            <w:pPr>
              <w:keepNext/>
              <w:keepLines/>
              <w:ind w:left="-108"/>
              <w:rPr>
                <w:rFonts w:ascii="Arial" w:hAnsi="Arial" w:cs="Arial"/>
                <w:bCs/>
                <w:strike/>
                <w:sz w:val="22"/>
                <w:szCs w:val="22"/>
                <w:vertAlign w:val="superscript"/>
                <w:lang w:eastAsia="zh-CN"/>
              </w:rPr>
            </w:pPr>
          </w:p>
        </w:tc>
        <w:tc>
          <w:tcPr>
            <w:tcW w:w="1391" w:type="dxa"/>
            <w:tcBorders>
              <w:left w:val="single" w:sz="4" w:space="0" w:color="000000"/>
              <w:bottom w:val="single" w:sz="4" w:space="0" w:color="000000"/>
            </w:tcBorders>
            <w:shd w:val="clear" w:color="auto" w:fill="auto"/>
            <w:vAlign w:val="center"/>
          </w:tcPr>
          <w:p w14:paraId="5C49E345"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2000</w:t>
            </w:r>
            <w:r w:rsidRPr="0030358C">
              <w:rPr>
                <w:rFonts w:ascii="Arial" w:hAnsi="Arial" w:cs="Arial"/>
                <w:bCs/>
                <w:strike/>
                <w:sz w:val="22"/>
                <w:szCs w:val="22"/>
                <w:vertAlign w:val="superscript"/>
                <w:lang w:eastAsia="zh-CN"/>
              </w:rPr>
              <w:t>5)</w:t>
            </w:r>
          </w:p>
          <w:p w14:paraId="19A0A30A" w14:textId="77777777" w:rsidR="008F52C8" w:rsidRPr="0030358C" w:rsidRDefault="00000000" w:rsidP="00732453">
            <w:pPr>
              <w:keepNext/>
              <w:keepLines/>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1000</w:t>
            </w:r>
            <w:r w:rsidRPr="0030358C">
              <w:rPr>
                <w:rFonts w:ascii="Arial" w:hAnsi="Arial" w:cs="Arial"/>
                <w:bCs/>
                <w:strike/>
                <w:sz w:val="22"/>
                <w:szCs w:val="22"/>
                <w:vertAlign w:val="superscript"/>
                <w:lang w:eastAsia="zh-CN"/>
              </w:rPr>
              <w:t>6)</w:t>
            </w:r>
          </w:p>
          <w:p w14:paraId="429B695C" w14:textId="77777777" w:rsidR="008F52C8" w:rsidRPr="0030358C" w:rsidRDefault="00000000" w:rsidP="00732453">
            <w:pPr>
              <w:keepNext/>
              <w:keepLines/>
              <w:jc w:val="center"/>
              <w:rPr>
                <w:rFonts w:ascii="Arial" w:hAnsi="Arial" w:cs="Arial"/>
                <w:bCs/>
                <w:strike/>
                <w:sz w:val="22"/>
                <w:szCs w:val="22"/>
                <w:lang w:eastAsia="zh-CN"/>
              </w:rPr>
            </w:pPr>
            <w:r w:rsidRPr="0030358C">
              <w:rPr>
                <w:rFonts w:ascii="Arial" w:hAnsi="Arial" w:cs="Arial"/>
                <w:bCs/>
                <w:strike/>
                <w:sz w:val="22"/>
                <w:szCs w:val="22"/>
                <w:lang w:eastAsia="zh-CN"/>
              </w:rPr>
              <w:t xml:space="preserve">    1200</w:t>
            </w:r>
            <w:r w:rsidRPr="0030358C">
              <w:rPr>
                <w:rFonts w:ascii="Arial" w:hAnsi="Arial" w:cs="Arial"/>
                <w:bCs/>
                <w:strike/>
                <w:sz w:val="22"/>
                <w:szCs w:val="22"/>
                <w:vertAlign w:val="superscript"/>
                <w:lang w:eastAsia="zh-CN"/>
              </w:rPr>
              <w:t>7), 8)</w:t>
            </w:r>
          </w:p>
        </w:tc>
        <w:tc>
          <w:tcPr>
            <w:tcW w:w="1064" w:type="dxa"/>
            <w:tcBorders>
              <w:left w:val="single" w:sz="4" w:space="0" w:color="000000"/>
              <w:bottom w:val="single" w:sz="4" w:space="0" w:color="000000"/>
            </w:tcBorders>
            <w:shd w:val="clear" w:color="auto" w:fill="auto"/>
            <w:vAlign w:val="center"/>
          </w:tcPr>
          <w:p w14:paraId="5F25C723"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r w:rsidRPr="0030358C">
              <w:rPr>
                <w:rFonts w:ascii="Arial" w:hAnsi="Arial" w:cs="Arial"/>
                <w:bCs/>
                <w:strike/>
                <w:sz w:val="22"/>
                <w:szCs w:val="22"/>
                <w:vertAlign w:val="superscript"/>
                <w:lang w:eastAsia="zh-CN"/>
              </w:rPr>
              <w:t>9)</w:t>
            </w:r>
          </w:p>
        </w:tc>
        <w:tc>
          <w:tcPr>
            <w:tcW w:w="1537" w:type="dxa"/>
            <w:tcBorders>
              <w:left w:val="single" w:sz="4" w:space="0" w:color="000000"/>
              <w:bottom w:val="single" w:sz="4" w:space="0" w:color="000000"/>
            </w:tcBorders>
            <w:shd w:val="clear" w:color="auto" w:fill="auto"/>
            <w:vAlign w:val="center"/>
          </w:tcPr>
          <w:p w14:paraId="475565F4" w14:textId="77777777" w:rsidR="008F52C8" w:rsidRPr="0030358C" w:rsidRDefault="00000000" w:rsidP="00732453">
            <w:pPr>
              <w:keepNext/>
              <w:keepLines/>
              <w:tabs>
                <w:tab w:val="left" w:pos="382"/>
              </w:tab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w:t>
            </w:r>
            <w:r w:rsidRPr="0030358C">
              <w:rPr>
                <w:rFonts w:ascii="Arial" w:hAnsi="Arial" w:cs="Arial"/>
                <w:bCs/>
                <w:strike/>
                <w:sz w:val="22"/>
                <w:szCs w:val="22"/>
                <w:vertAlign w:val="superscript"/>
                <w:lang w:eastAsia="zh-CN"/>
              </w:rPr>
              <w:t xml:space="preserve">10) </w:t>
            </w:r>
          </w:p>
          <w:p w14:paraId="32350C1F"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w:t>
            </w:r>
            <w:r w:rsidRPr="0030358C">
              <w:rPr>
                <w:rFonts w:ascii="Arial" w:hAnsi="Arial" w:cs="Arial"/>
                <w:bCs/>
                <w:strike/>
                <w:sz w:val="22"/>
                <w:szCs w:val="22"/>
                <w:vertAlign w:val="superscript"/>
                <w:lang w:eastAsia="zh-CN"/>
              </w:rPr>
              <w:t>11)</w:t>
            </w:r>
          </w:p>
          <w:p w14:paraId="381EC9DE"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21)</w:t>
            </w:r>
          </w:p>
          <w:p w14:paraId="103323DE" w14:textId="77777777" w:rsidR="008F52C8" w:rsidRPr="0030358C" w:rsidRDefault="00000000" w:rsidP="00732453">
            <w:pPr>
              <w:keepNext/>
              <w:keepLines/>
              <w:snapToGrid w:val="0"/>
              <w:ind w:left="-135"/>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12)</w:t>
            </w:r>
          </w:p>
          <w:p w14:paraId="14F3A370" w14:textId="77777777" w:rsidR="008F52C8" w:rsidRPr="0030358C" w:rsidRDefault="00000000" w:rsidP="00732453">
            <w:pPr>
              <w:keepNext/>
              <w:keepLines/>
              <w:snapToGrid w:val="0"/>
              <w:ind w:left="-135"/>
              <w:jc w:val="center"/>
              <w:rPr>
                <w:rFonts w:ascii="Arial" w:hAnsi="Arial" w:cs="Arial"/>
                <w:bCs/>
                <w:strike/>
                <w:sz w:val="22"/>
                <w:szCs w:val="22"/>
                <w:lang w:eastAsia="zh-CN"/>
              </w:rPr>
            </w:pPr>
            <w:r w:rsidRPr="0030358C">
              <w:rPr>
                <w:rFonts w:ascii="Arial" w:hAnsi="Arial" w:cs="Arial"/>
                <w:bCs/>
                <w:strike/>
                <w:sz w:val="22"/>
                <w:szCs w:val="22"/>
                <w:lang w:eastAsia="zh-CN"/>
              </w:rPr>
              <w:t>30</w:t>
            </w:r>
            <w:r w:rsidRPr="0030358C">
              <w:rPr>
                <w:rFonts w:ascii="Arial" w:hAnsi="Arial" w:cs="Arial"/>
                <w:bCs/>
                <w:strike/>
                <w:sz w:val="22"/>
                <w:szCs w:val="22"/>
                <w:vertAlign w:val="superscript"/>
                <w:lang w:eastAsia="zh-CN"/>
              </w:rPr>
              <w:t>13)</w:t>
            </w:r>
          </w:p>
        </w:tc>
        <w:tc>
          <w:tcPr>
            <w:tcW w:w="1068" w:type="dxa"/>
            <w:tcBorders>
              <w:left w:val="single" w:sz="4" w:space="0" w:color="000000"/>
              <w:bottom w:val="single" w:sz="4" w:space="0" w:color="000000"/>
            </w:tcBorders>
            <w:shd w:val="clear" w:color="auto" w:fill="auto"/>
            <w:vAlign w:val="center"/>
          </w:tcPr>
          <w:p w14:paraId="61D1C478"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8</w:t>
            </w:r>
            <w:r w:rsidRPr="0030358C">
              <w:rPr>
                <w:rFonts w:ascii="Arial" w:hAnsi="Arial" w:cs="Arial"/>
                <w:bCs/>
                <w:strike/>
                <w:sz w:val="22"/>
                <w:szCs w:val="22"/>
                <w:vertAlign w:val="superscript"/>
                <w:lang w:eastAsia="zh-CN"/>
              </w:rPr>
              <w:t>14)</w:t>
            </w:r>
          </w:p>
          <w:p w14:paraId="476B260E"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13</w:t>
            </w:r>
            <w:r w:rsidRPr="0030358C">
              <w:rPr>
                <w:rFonts w:ascii="Arial" w:hAnsi="Arial" w:cs="Arial"/>
                <w:bCs/>
                <w:strike/>
                <w:sz w:val="22"/>
                <w:szCs w:val="22"/>
                <w:vertAlign w:val="superscript"/>
                <w:lang w:eastAsia="zh-CN"/>
              </w:rPr>
              <w:t>6),15)</w:t>
            </w:r>
          </w:p>
          <w:p w14:paraId="749FC797"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15</w:t>
            </w:r>
            <w:r w:rsidRPr="0030358C">
              <w:rPr>
                <w:rFonts w:ascii="Arial" w:hAnsi="Arial" w:cs="Arial"/>
                <w:bCs/>
                <w:strike/>
                <w:sz w:val="22"/>
                <w:szCs w:val="22"/>
                <w:vertAlign w:val="superscript"/>
                <w:lang w:eastAsia="zh-CN"/>
              </w:rPr>
              <w:t>15), 22)</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B8EA43"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25B174EB" w14:textId="77777777" w:rsidTr="00732453">
        <w:trPr>
          <w:cantSplit/>
          <w:trHeight w:hRule="exact" w:val="1025"/>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0E6EA26" w14:textId="77777777" w:rsidR="008F52C8" w:rsidRPr="0030358C" w:rsidRDefault="00000000" w:rsidP="00732453">
            <w:pPr>
              <w:keepNext/>
              <w:keepLines/>
              <w:snapToGrid w:val="0"/>
              <w:rPr>
                <w:rFonts w:ascii="Arial" w:hAnsi="Arial" w:cs="Arial"/>
                <w:b/>
                <w:strike/>
                <w:sz w:val="22"/>
                <w:szCs w:val="22"/>
                <w:lang w:eastAsia="zh-CN"/>
              </w:rPr>
            </w:pPr>
            <w:r w:rsidRPr="0030358C">
              <w:rPr>
                <w:rFonts w:ascii="Arial" w:hAnsi="Arial" w:cs="Arial"/>
                <w:b/>
                <w:bCs/>
                <w:strike/>
                <w:sz w:val="22"/>
                <w:szCs w:val="22"/>
                <w:lang w:eastAsia="zh-CN"/>
              </w:rPr>
              <w:t xml:space="preserve">4.2.2. Výroby skla, vláken, sklářských výrobků, smaltovacích a glazurovacích frit a skla pro bižuterní zpracování o celkové projektované kapacitě tavení nižší než 150 t/rok včetně </w:t>
            </w:r>
            <w:r w:rsidRPr="0030358C">
              <w:rPr>
                <w:rFonts w:ascii="Arial" w:hAnsi="Arial" w:cs="Arial"/>
                <w:bCs/>
                <w:strike/>
                <w:sz w:val="22"/>
                <w:szCs w:val="22"/>
                <w:lang w:eastAsia="zh-CN"/>
              </w:rPr>
              <w:t>(kód 5.3. dle přílohy č. 2 zákona)</w:t>
            </w:r>
          </w:p>
        </w:tc>
      </w:tr>
      <w:tr w:rsidR="00E40657" w14:paraId="63FD96B0" w14:textId="77777777" w:rsidTr="00732453">
        <w:trPr>
          <w:cantSplit/>
          <w:trHeight w:hRule="exact" w:val="604"/>
        </w:trPr>
        <w:tc>
          <w:tcPr>
            <w:tcW w:w="1406" w:type="dxa"/>
            <w:tcBorders>
              <w:top w:val="single" w:sz="4" w:space="0" w:color="000000"/>
              <w:left w:val="single" w:sz="4" w:space="0" w:color="000000"/>
              <w:bottom w:val="single" w:sz="4" w:space="0" w:color="000000"/>
            </w:tcBorders>
            <w:shd w:val="clear" w:color="auto" w:fill="auto"/>
            <w:vAlign w:val="center"/>
          </w:tcPr>
          <w:p w14:paraId="23DF2F4B"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100</w:t>
            </w:r>
            <w:r w:rsidRPr="0030358C">
              <w:rPr>
                <w:rFonts w:ascii="Arial" w:hAnsi="Arial" w:cs="Arial"/>
                <w:bCs/>
                <w:strike/>
                <w:sz w:val="22"/>
                <w:szCs w:val="22"/>
                <w:vertAlign w:val="superscript"/>
                <w:lang w:eastAsia="zh-CN"/>
              </w:rPr>
              <w:t>1)</w:t>
            </w:r>
          </w:p>
          <w:p w14:paraId="44261481" w14:textId="77777777" w:rsidR="008F52C8" w:rsidRPr="0030358C" w:rsidRDefault="00000000" w:rsidP="00732453">
            <w:pPr>
              <w:keepNext/>
              <w:keepLines/>
              <w:snapToGrid w:val="0"/>
              <w:rPr>
                <w:rFonts w:ascii="Arial" w:hAnsi="Arial" w:cs="Arial"/>
                <w:bCs/>
                <w:strike/>
                <w:sz w:val="22"/>
                <w:szCs w:val="22"/>
                <w:lang w:eastAsia="zh-CN"/>
              </w:rPr>
            </w:pPr>
            <w:r w:rsidRPr="0030358C">
              <w:rPr>
                <w:rFonts w:ascii="Arial" w:hAnsi="Arial" w:cs="Arial"/>
                <w:bCs/>
                <w:strike/>
                <w:sz w:val="22"/>
                <w:szCs w:val="22"/>
                <w:lang w:eastAsia="zh-CN"/>
              </w:rPr>
              <w:t xml:space="preserve">        50</w:t>
            </w:r>
            <w:r w:rsidRPr="0030358C">
              <w:rPr>
                <w:rFonts w:ascii="Arial" w:hAnsi="Arial" w:cs="Arial"/>
                <w:bCs/>
                <w:strike/>
                <w:sz w:val="22"/>
                <w:szCs w:val="22"/>
                <w:vertAlign w:val="superscript"/>
                <w:lang w:eastAsia="zh-CN"/>
              </w:rPr>
              <w:t>2)</w:t>
            </w:r>
          </w:p>
        </w:tc>
        <w:tc>
          <w:tcPr>
            <w:tcW w:w="1391" w:type="dxa"/>
            <w:tcBorders>
              <w:top w:val="single" w:sz="4" w:space="0" w:color="000000"/>
              <w:left w:val="single" w:sz="4" w:space="0" w:color="000000"/>
              <w:bottom w:val="single" w:sz="4" w:space="0" w:color="000000"/>
            </w:tcBorders>
            <w:shd w:val="clear" w:color="auto" w:fill="auto"/>
            <w:vAlign w:val="center"/>
          </w:tcPr>
          <w:p w14:paraId="03ED84EA"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500</w:t>
            </w:r>
            <w:r w:rsidRPr="0030358C">
              <w:rPr>
                <w:rFonts w:ascii="Arial" w:hAnsi="Arial" w:cs="Arial"/>
                <w:bCs/>
                <w:strike/>
                <w:sz w:val="22"/>
                <w:szCs w:val="22"/>
                <w:vertAlign w:val="superscript"/>
                <w:lang w:eastAsia="zh-CN"/>
              </w:rPr>
              <w:t>3)</w:t>
            </w:r>
          </w:p>
          <w:p w14:paraId="4A10B5A3" w14:textId="77777777" w:rsidR="008F52C8" w:rsidRPr="0030358C" w:rsidRDefault="00000000" w:rsidP="00732453">
            <w:pPr>
              <w:keepNext/>
              <w:keepLines/>
              <w:snapToGrid w:val="0"/>
              <w:rPr>
                <w:rFonts w:ascii="Arial" w:hAnsi="Arial" w:cs="Arial"/>
                <w:bCs/>
                <w:strike/>
                <w:sz w:val="22"/>
                <w:szCs w:val="22"/>
                <w:lang w:eastAsia="zh-CN"/>
              </w:rPr>
            </w:pPr>
            <w:r w:rsidRPr="0030358C">
              <w:rPr>
                <w:rFonts w:ascii="Arial" w:hAnsi="Arial" w:cs="Arial"/>
                <w:bCs/>
                <w:strike/>
                <w:sz w:val="22"/>
                <w:szCs w:val="22"/>
                <w:lang w:eastAsia="zh-CN"/>
              </w:rPr>
              <w:t xml:space="preserve">     1600</w:t>
            </w:r>
            <w:r w:rsidRPr="0030358C">
              <w:rPr>
                <w:rFonts w:ascii="Arial" w:hAnsi="Arial" w:cs="Arial"/>
                <w:bCs/>
                <w:strike/>
                <w:sz w:val="22"/>
                <w:szCs w:val="22"/>
                <w:vertAlign w:val="superscript"/>
                <w:lang w:eastAsia="zh-CN"/>
              </w:rPr>
              <w:t>4)</w:t>
            </w:r>
          </w:p>
        </w:tc>
        <w:tc>
          <w:tcPr>
            <w:tcW w:w="1391" w:type="dxa"/>
            <w:tcBorders>
              <w:top w:val="single" w:sz="4" w:space="0" w:color="000000"/>
              <w:left w:val="single" w:sz="4" w:space="0" w:color="000000"/>
              <w:bottom w:val="single" w:sz="4" w:space="0" w:color="000000"/>
            </w:tcBorders>
            <w:shd w:val="clear" w:color="auto" w:fill="auto"/>
            <w:vAlign w:val="center"/>
          </w:tcPr>
          <w:p w14:paraId="7E1503A1"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2000</w:t>
            </w:r>
          </w:p>
        </w:tc>
        <w:tc>
          <w:tcPr>
            <w:tcW w:w="1064" w:type="dxa"/>
            <w:tcBorders>
              <w:top w:val="single" w:sz="4" w:space="0" w:color="000000"/>
              <w:left w:val="single" w:sz="4" w:space="0" w:color="000000"/>
              <w:bottom w:val="single" w:sz="4" w:space="0" w:color="000000"/>
            </w:tcBorders>
            <w:shd w:val="clear" w:color="auto" w:fill="auto"/>
            <w:vAlign w:val="center"/>
          </w:tcPr>
          <w:p w14:paraId="07393A64"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37" w:type="dxa"/>
            <w:tcBorders>
              <w:top w:val="single" w:sz="4" w:space="0" w:color="000000"/>
              <w:left w:val="single" w:sz="4" w:space="0" w:color="000000"/>
              <w:bottom w:val="single" w:sz="4" w:space="0" w:color="000000"/>
            </w:tcBorders>
            <w:shd w:val="clear" w:color="auto" w:fill="auto"/>
            <w:vAlign w:val="center"/>
          </w:tcPr>
          <w:p w14:paraId="3981CE64"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159" w:type="dxa"/>
            <w:gridSpan w:val="2"/>
            <w:tcBorders>
              <w:top w:val="single" w:sz="4" w:space="0" w:color="000000"/>
              <w:left w:val="single" w:sz="4" w:space="0" w:color="000000"/>
              <w:bottom w:val="single" w:sz="4" w:space="0" w:color="000000"/>
            </w:tcBorders>
            <w:shd w:val="clear" w:color="auto" w:fill="auto"/>
            <w:vAlign w:val="center"/>
          </w:tcPr>
          <w:p w14:paraId="43D7B7C8"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13</w:t>
            </w:r>
            <w:r w:rsidRPr="0030358C">
              <w:rPr>
                <w:rFonts w:ascii="Arial" w:hAnsi="Arial" w:cs="Arial"/>
                <w:bCs/>
                <w:strike/>
                <w:sz w:val="22"/>
                <w:szCs w:val="22"/>
                <w:vertAlign w:val="superscript"/>
                <w:lang w:eastAsia="zh-CN"/>
              </w:rPr>
              <w:t>15)</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4B3F"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r w:rsidR="00E40657" w14:paraId="6FEF90FF" w14:textId="77777777" w:rsidTr="00732453">
        <w:trPr>
          <w:cantSplit/>
          <w:trHeight w:hRule="exact" w:val="604"/>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28ABFDF" w14:textId="77777777" w:rsidR="008F52C8" w:rsidRPr="0030358C" w:rsidRDefault="00000000" w:rsidP="00732453">
            <w:pPr>
              <w:keepNext/>
              <w:keepLines/>
              <w:snapToGrid w:val="0"/>
              <w:rPr>
                <w:rFonts w:ascii="Arial" w:hAnsi="Arial" w:cs="Arial"/>
                <w:b/>
                <w:strike/>
                <w:sz w:val="22"/>
                <w:szCs w:val="22"/>
                <w:lang w:eastAsia="zh-CN"/>
              </w:rPr>
            </w:pPr>
            <w:r w:rsidRPr="0030358C">
              <w:rPr>
                <w:rFonts w:ascii="Arial" w:hAnsi="Arial" w:cs="Arial"/>
                <w:b/>
                <w:bCs/>
                <w:strike/>
                <w:sz w:val="22"/>
                <w:szCs w:val="22"/>
                <w:lang w:eastAsia="zh-CN"/>
              </w:rPr>
              <w:t xml:space="preserve">4.2.3. Výroba kompozitních skleněných vláken s použitím organických pojiv </w:t>
            </w:r>
            <w:r w:rsidRPr="0030358C">
              <w:rPr>
                <w:rFonts w:ascii="Arial" w:hAnsi="Arial" w:cs="Arial"/>
                <w:bCs/>
                <w:strike/>
                <w:sz w:val="22"/>
                <w:szCs w:val="22"/>
                <w:lang w:eastAsia="zh-CN"/>
              </w:rPr>
              <w:t>(kód 5.4. dle přílohy č. 2 zákona)</w:t>
            </w:r>
          </w:p>
        </w:tc>
      </w:tr>
      <w:tr w:rsidR="00E40657" w14:paraId="25E2EC2D" w14:textId="77777777" w:rsidTr="00732453">
        <w:trPr>
          <w:cantSplit/>
          <w:trHeight w:hRule="exact" w:val="598"/>
        </w:trPr>
        <w:tc>
          <w:tcPr>
            <w:tcW w:w="1406" w:type="dxa"/>
            <w:tcBorders>
              <w:left w:val="single" w:sz="4" w:space="0" w:color="000000"/>
              <w:bottom w:val="single" w:sz="4" w:space="0" w:color="000000"/>
            </w:tcBorders>
            <w:shd w:val="clear" w:color="auto" w:fill="auto"/>
            <w:vAlign w:val="center"/>
          </w:tcPr>
          <w:p w14:paraId="549A6F50"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16)</w:t>
            </w:r>
          </w:p>
          <w:p w14:paraId="43AD2076"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75</w:t>
            </w:r>
            <w:r w:rsidRPr="0030358C">
              <w:rPr>
                <w:rFonts w:ascii="Arial" w:hAnsi="Arial" w:cs="Arial"/>
                <w:bCs/>
                <w:strike/>
                <w:sz w:val="22"/>
                <w:szCs w:val="22"/>
                <w:vertAlign w:val="superscript"/>
                <w:lang w:eastAsia="zh-CN"/>
              </w:rPr>
              <w:t>17)</w:t>
            </w:r>
          </w:p>
        </w:tc>
        <w:tc>
          <w:tcPr>
            <w:tcW w:w="1391" w:type="dxa"/>
            <w:tcBorders>
              <w:left w:val="single" w:sz="4" w:space="0" w:color="000000"/>
              <w:bottom w:val="single" w:sz="4" w:space="0" w:color="000000"/>
            </w:tcBorders>
            <w:shd w:val="clear" w:color="auto" w:fill="auto"/>
            <w:vAlign w:val="center"/>
          </w:tcPr>
          <w:p w14:paraId="63C324E2"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800</w:t>
            </w:r>
            <w:r w:rsidRPr="0030358C">
              <w:rPr>
                <w:rFonts w:ascii="Arial" w:hAnsi="Arial" w:cs="Arial"/>
                <w:bCs/>
                <w:strike/>
                <w:sz w:val="22"/>
                <w:szCs w:val="22"/>
                <w:vertAlign w:val="superscript"/>
                <w:lang w:eastAsia="zh-CN"/>
              </w:rPr>
              <w:t>3)</w:t>
            </w:r>
          </w:p>
          <w:p w14:paraId="506AE005"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1600</w:t>
            </w:r>
            <w:r w:rsidRPr="0030358C">
              <w:rPr>
                <w:rFonts w:ascii="Arial" w:hAnsi="Arial" w:cs="Arial"/>
                <w:bCs/>
                <w:strike/>
                <w:sz w:val="22"/>
                <w:szCs w:val="22"/>
                <w:vertAlign w:val="superscript"/>
                <w:lang w:eastAsia="zh-CN"/>
              </w:rPr>
              <w:t>4)</w:t>
            </w:r>
          </w:p>
        </w:tc>
        <w:tc>
          <w:tcPr>
            <w:tcW w:w="1391" w:type="dxa"/>
            <w:tcBorders>
              <w:left w:val="single" w:sz="4" w:space="0" w:color="000000"/>
              <w:bottom w:val="single" w:sz="4" w:space="0" w:color="000000"/>
            </w:tcBorders>
            <w:shd w:val="clear" w:color="auto" w:fill="auto"/>
            <w:vAlign w:val="center"/>
          </w:tcPr>
          <w:p w14:paraId="2F210B91"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2000</w:t>
            </w:r>
          </w:p>
        </w:tc>
        <w:tc>
          <w:tcPr>
            <w:tcW w:w="1064" w:type="dxa"/>
            <w:tcBorders>
              <w:left w:val="single" w:sz="4" w:space="0" w:color="000000"/>
              <w:bottom w:val="single" w:sz="4" w:space="0" w:color="000000"/>
            </w:tcBorders>
            <w:shd w:val="clear" w:color="auto" w:fill="auto"/>
            <w:vAlign w:val="center"/>
          </w:tcPr>
          <w:p w14:paraId="21C574CC"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537" w:type="dxa"/>
            <w:tcBorders>
              <w:left w:val="single" w:sz="4" w:space="0" w:color="000000"/>
              <w:bottom w:val="single" w:sz="4" w:space="0" w:color="000000"/>
            </w:tcBorders>
            <w:shd w:val="clear" w:color="auto" w:fill="auto"/>
            <w:vAlign w:val="center"/>
          </w:tcPr>
          <w:p w14:paraId="2F1E75A6"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18)</w:t>
            </w:r>
          </w:p>
        </w:tc>
        <w:tc>
          <w:tcPr>
            <w:tcW w:w="1068" w:type="dxa"/>
            <w:tcBorders>
              <w:left w:val="single" w:sz="4" w:space="0" w:color="000000"/>
              <w:bottom w:val="single" w:sz="4" w:space="0" w:color="000000"/>
            </w:tcBorders>
            <w:shd w:val="clear" w:color="auto" w:fill="auto"/>
            <w:vAlign w:val="center"/>
          </w:tcPr>
          <w:p w14:paraId="3E943C58"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DBCA0B"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r w:rsidR="00E40657" w14:paraId="3451F0CF" w14:textId="77777777" w:rsidTr="00732453">
        <w:trPr>
          <w:cantSplit/>
          <w:trHeight w:hRule="exact" w:val="1015"/>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D8B4E92" w14:textId="77777777" w:rsidR="008F52C8" w:rsidRPr="0030358C" w:rsidRDefault="00000000" w:rsidP="00732453">
            <w:pPr>
              <w:keepNext/>
              <w:keepLines/>
              <w:snapToGrid w:val="0"/>
              <w:rPr>
                <w:rFonts w:ascii="Arial" w:hAnsi="Arial" w:cs="Arial"/>
                <w:b/>
                <w:strike/>
                <w:sz w:val="22"/>
                <w:szCs w:val="22"/>
                <w:lang w:eastAsia="zh-CN"/>
              </w:rPr>
            </w:pPr>
            <w:r w:rsidRPr="0030358C">
              <w:rPr>
                <w:rFonts w:ascii="Arial" w:hAnsi="Arial" w:cs="Arial"/>
                <w:b/>
                <w:bCs/>
                <w:strike/>
                <w:sz w:val="22"/>
                <w:szCs w:val="22"/>
                <w:lang w:eastAsia="zh-CN"/>
              </w:rPr>
              <w:t xml:space="preserve">4.2.4. Zpracování a zušlechťování skla (leštění, malování, mačkání, tavení z polotovarů nebo střepů, výroba bižuterie a jiné) o celkové projektované kapacitě vyšší než 5 t zpracované skleněné suroviny ročně </w:t>
            </w:r>
            <w:r w:rsidRPr="0030358C">
              <w:rPr>
                <w:rFonts w:ascii="Arial" w:hAnsi="Arial" w:cs="Arial"/>
                <w:bCs/>
                <w:strike/>
                <w:sz w:val="22"/>
                <w:szCs w:val="22"/>
                <w:lang w:eastAsia="zh-CN"/>
              </w:rPr>
              <w:t>(kód 5.5. dle přílohy č. 2 zákona)</w:t>
            </w:r>
          </w:p>
        </w:tc>
      </w:tr>
      <w:tr w:rsidR="00E40657" w14:paraId="6760C28D" w14:textId="77777777" w:rsidTr="00732453">
        <w:trPr>
          <w:cantSplit/>
          <w:trHeight w:hRule="exact" w:val="343"/>
        </w:trPr>
        <w:tc>
          <w:tcPr>
            <w:tcW w:w="1406" w:type="dxa"/>
            <w:tcBorders>
              <w:left w:val="single" w:sz="4" w:space="0" w:color="000000"/>
              <w:bottom w:val="single" w:sz="4" w:space="0" w:color="000000"/>
            </w:tcBorders>
            <w:shd w:val="clear" w:color="auto" w:fill="auto"/>
            <w:vAlign w:val="center"/>
          </w:tcPr>
          <w:p w14:paraId="469010C3"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r w:rsidRPr="0030358C">
              <w:rPr>
                <w:rFonts w:ascii="Arial" w:hAnsi="Arial" w:cs="Arial"/>
                <w:bCs/>
                <w:strike/>
                <w:sz w:val="22"/>
                <w:szCs w:val="22"/>
                <w:vertAlign w:val="superscript"/>
                <w:lang w:eastAsia="zh-CN"/>
              </w:rPr>
              <w:t>19)</w:t>
            </w:r>
          </w:p>
        </w:tc>
        <w:tc>
          <w:tcPr>
            <w:tcW w:w="1391" w:type="dxa"/>
            <w:tcBorders>
              <w:left w:val="single" w:sz="4" w:space="0" w:color="000000"/>
              <w:bottom w:val="single" w:sz="4" w:space="0" w:color="000000"/>
            </w:tcBorders>
            <w:shd w:val="clear" w:color="auto" w:fill="auto"/>
            <w:vAlign w:val="center"/>
          </w:tcPr>
          <w:p w14:paraId="1FDFE155"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391" w:type="dxa"/>
            <w:tcBorders>
              <w:left w:val="single" w:sz="4" w:space="0" w:color="000000"/>
              <w:bottom w:val="single" w:sz="4" w:space="0" w:color="000000"/>
            </w:tcBorders>
            <w:shd w:val="clear" w:color="auto" w:fill="auto"/>
            <w:vAlign w:val="center"/>
          </w:tcPr>
          <w:p w14:paraId="6AD44135"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r w:rsidRPr="0030358C">
              <w:rPr>
                <w:rFonts w:ascii="Arial" w:hAnsi="Arial" w:cs="Arial"/>
                <w:bCs/>
                <w:strike/>
                <w:sz w:val="22"/>
                <w:szCs w:val="22"/>
                <w:vertAlign w:val="superscript"/>
                <w:lang w:eastAsia="zh-CN"/>
              </w:rPr>
              <w:t>19)</w:t>
            </w:r>
          </w:p>
        </w:tc>
        <w:tc>
          <w:tcPr>
            <w:tcW w:w="1064" w:type="dxa"/>
            <w:tcBorders>
              <w:left w:val="single" w:sz="4" w:space="0" w:color="000000"/>
              <w:bottom w:val="single" w:sz="4" w:space="0" w:color="000000"/>
            </w:tcBorders>
            <w:shd w:val="clear" w:color="auto" w:fill="auto"/>
            <w:vAlign w:val="center"/>
          </w:tcPr>
          <w:p w14:paraId="6BD68B75"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800</w:t>
            </w:r>
            <w:r w:rsidRPr="0030358C">
              <w:rPr>
                <w:rFonts w:ascii="Arial" w:hAnsi="Arial" w:cs="Arial"/>
                <w:bCs/>
                <w:strike/>
                <w:sz w:val="22"/>
                <w:szCs w:val="22"/>
                <w:vertAlign w:val="superscript"/>
                <w:lang w:eastAsia="zh-CN"/>
              </w:rPr>
              <w:t>19)</w:t>
            </w:r>
          </w:p>
        </w:tc>
        <w:tc>
          <w:tcPr>
            <w:tcW w:w="1537" w:type="dxa"/>
            <w:tcBorders>
              <w:left w:val="single" w:sz="4" w:space="0" w:color="000000"/>
              <w:bottom w:val="single" w:sz="4" w:space="0" w:color="000000"/>
            </w:tcBorders>
            <w:shd w:val="clear" w:color="auto" w:fill="auto"/>
            <w:vAlign w:val="center"/>
          </w:tcPr>
          <w:p w14:paraId="20B0F56D"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vertAlign w:val="superscript"/>
                <w:lang w:eastAsia="zh-CN"/>
              </w:rPr>
              <w:t xml:space="preserve">- </w:t>
            </w:r>
          </w:p>
        </w:tc>
        <w:tc>
          <w:tcPr>
            <w:tcW w:w="1068" w:type="dxa"/>
            <w:tcBorders>
              <w:left w:val="single" w:sz="4" w:space="0" w:color="000000"/>
              <w:bottom w:val="single" w:sz="4" w:space="0" w:color="000000"/>
            </w:tcBorders>
            <w:shd w:val="clear" w:color="auto" w:fill="auto"/>
            <w:vAlign w:val="center"/>
          </w:tcPr>
          <w:p w14:paraId="3FC41C0E"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752D89"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061476A4" w14:textId="77777777" w:rsidR="008F52C8" w:rsidRPr="0030358C" w:rsidRDefault="00000000" w:rsidP="008F52C8">
      <w:pPr>
        <w:spacing w:before="144"/>
        <w:ind w:left="284" w:hanging="284"/>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5A1815C4" w14:textId="77777777" w:rsidR="008F52C8" w:rsidRPr="0030358C" w:rsidRDefault="00000000" w:rsidP="008F52C8">
      <w:pPr>
        <w:numPr>
          <w:ilvl w:val="0"/>
          <w:numId w:val="170"/>
        </w:numPr>
        <w:tabs>
          <w:tab w:val="left" w:pos="-360"/>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při hmotnostním toku nižším než 2,5 kg/h.</w:t>
      </w:r>
    </w:p>
    <w:p w14:paraId="6907F623"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při hmotnostním toku vyšším a rovném 2,5 kg/h.</w:t>
      </w:r>
    </w:p>
    <w:p w14:paraId="717A992B"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při spalování zemního plynu.</w:t>
      </w:r>
    </w:p>
    <w:p w14:paraId="0752FB83"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ostatní paliva.</w:t>
      </w:r>
    </w:p>
    <w:p w14:paraId="158791DB"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regenerační kontinuální tavicí agregáty.</w:t>
      </w:r>
    </w:p>
    <w:p w14:paraId="0CF33A0E"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diskontinuální tavicí agregáty.</w:t>
      </w:r>
    </w:p>
    <w:p w14:paraId="6A06E71A"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rekuperační kontinuální tavicí agregáty.</w:t>
      </w:r>
    </w:p>
    <w:p w14:paraId="25DCBD3E"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Při nitrátovém čeření nesmí příslušná hmotnostní koncentrace oxidů dusíku překročit dvojnásobek uvedených hodnot.</w:t>
      </w:r>
    </w:p>
    <w:p w14:paraId="2054C379"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při hmotnostním toku rovném nebo větším než 5 kg/h.</w:t>
      </w:r>
    </w:p>
    <w:p w14:paraId="6EDBCB87"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olovo, antimon, mangan, vanad, cín, měď (při hmotnostním toku všech těchto látek rovném nebo větším než 0,05kg/h).</w:t>
      </w:r>
    </w:p>
    <w:p w14:paraId="011BDA54"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kobalt, nikl, chrom, arsen, kadmium, selen (při hmotnostním toku všech těchto látek rovném nebo větším než 0,01 kg/h) kromě výroby barevného selenového skla v odvětví plochého skla.</w:t>
      </w:r>
    </w:p>
    <w:p w14:paraId="24938BBA"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HF (při hmotnostním toku rovném nebo větším než 0,05 kg/h).</w:t>
      </w:r>
    </w:p>
    <w:p w14:paraId="4B6435CA"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HCl (při hmotnostním toku rovném nebo větším než 0,05 kg/h).</w:t>
      </w:r>
    </w:p>
    <w:p w14:paraId="5E7055D8"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kontinuální tavicí agregáty.</w:t>
      </w:r>
    </w:p>
    <w:p w14:paraId="169A1E55" w14:textId="77777777" w:rsidR="008F52C8" w:rsidRPr="0030358C" w:rsidRDefault="00000000" w:rsidP="008F52C8">
      <w:pPr>
        <w:numPr>
          <w:ilvl w:val="0"/>
          <w:numId w:val="170"/>
        </w:numPr>
        <w:tabs>
          <w:tab w:val="left" w:pos="426"/>
        </w:tabs>
        <w:suppressAutoHyphens/>
        <w:autoSpaceDE w:val="0"/>
        <w:jc w:val="both"/>
        <w:rPr>
          <w:rFonts w:ascii="Arial" w:hAnsi="Arial" w:cs="Arial"/>
          <w:strike/>
          <w:sz w:val="22"/>
          <w:szCs w:val="22"/>
          <w:lang w:eastAsia="zh-CN"/>
        </w:rPr>
      </w:pPr>
      <w:r w:rsidRPr="0030358C">
        <w:rPr>
          <w:rFonts w:ascii="Arial" w:hAnsi="Arial" w:cs="Arial"/>
          <w:strike/>
          <w:sz w:val="22"/>
          <w:szCs w:val="22"/>
          <w:lang w:eastAsia="zh-CN"/>
        </w:rPr>
        <w:t>Přepočet na O</w:t>
      </w:r>
      <w:r w:rsidRPr="0030358C">
        <w:rPr>
          <w:rFonts w:ascii="Arial" w:hAnsi="Arial" w:cs="Arial"/>
          <w:strike/>
          <w:sz w:val="22"/>
          <w:szCs w:val="22"/>
          <w:vertAlign w:val="subscript"/>
          <w:lang w:eastAsia="zh-CN"/>
        </w:rPr>
        <w:t>2R</w:t>
      </w:r>
      <w:r w:rsidRPr="0030358C">
        <w:rPr>
          <w:rFonts w:ascii="Arial" w:hAnsi="Arial" w:cs="Arial"/>
          <w:strike/>
          <w:sz w:val="22"/>
          <w:szCs w:val="22"/>
          <w:lang w:eastAsia="zh-CN"/>
        </w:rPr>
        <w:t xml:space="preserve"> se neprovádí u diskontinuálních agregátů v době, kdy u nich nedochází ke spalovacímu procesu, a neprovádí se vždy při kyslíkovém tavení, a u pecí s elektrickým otopem. Dále pak se přepočet na O</w:t>
      </w:r>
      <w:r w:rsidRPr="0030358C">
        <w:rPr>
          <w:rFonts w:ascii="Arial" w:hAnsi="Arial" w:cs="Arial"/>
          <w:strike/>
          <w:sz w:val="22"/>
          <w:szCs w:val="22"/>
          <w:vertAlign w:val="subscript"/>
          <w:lang w:eastAsia="zh-CN"/>
        </w:rPr>
        <w:t>2R</w:t>
      </w:r>
      <w:r w:rsidRPr="0030358C">
        <w:rPr>
          <w:rFonts w:ascii="Arial" w:hAnsi="Arial" w:cs="Arial"/>
          <w:strike/>
          <w:sz w:val="22"/>
          <w:szCs w:val="22"/>
          <w:lang w:eastAsia="zh-CN"/>
        </w:rPr>
        <w:t xml:space="preserve"> neprovádí pro ty znečišťující látky, jejichž koncentrace je snižována instalovaným odlučovačem, u kterého je pro chlazení použito mísení spalin se vzduchem.</w:t>
      </w:r>
    </w:p>
    <w:p w14:paraId="318A54B5"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lastRenderedPageBreak/>
        <w:t>V odpadních plynech z odsávání, dopravy, manipulace se vsázkou a ostatních zařízení, která emitují TZL.</w:t>
      </w:r>
    </w:p>
    <w:p w14:paraId="22E07594"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V odpadních plynech z usazování, vytvrzování a sušení vláken s organickými pojivy.</w:t>
      </w:r>
    </w:p>
    <w:p w14:paraId="180B6FBB" w14:textId="77777777" w:rsidR="008F52C8" w:rsidRPr="0030358C" w:rsidRDefault="00000000" w:rsidP="008F52C8">
      <w:pPr>
        <w:numPr>
          <w:ilvl w:val="0"/>
          <w:numId w:val="170"/>
        </w:numPr>
        <w:tabs>
          <w:tab w:val="left" w:pos="426"/>
        </w:tabs>
        <w:suppressAutoHyphens/>
        <w:autoSpaceDE w:val="0"/>
        <w:rPr>
          <w:rFonts w:ascii="Arial" w:hAnsi="Arial" w:cs="Arial"/>
          <w:strike/>
          <w:sz w:val="22"/>
          <w:szCs w:val="22"/>
          <w:lang w:eastAsia="zh-CN"/>
        </w:rPr>
      </w:pPr>
      <w:r w:rsidRPr="0030358C">
        <w:rPr>
          <w:rFonts w:ascii="Arial" w:hAnsi="Arial" w:cs="Arial"/>
          <w:strike/>
          <w:sz w:val="22"/>
          <w:szCs w:val="22"/>
          <w:lang w:eastAsia="zh-CN"/>
        </w:rPr>
        <w:t>Platí pro VOC.</w:t>
      </w:r>
    </w:p>
    <w:p w14:paraId="09CA1EEC" w14:textId="77777777" w:rsidR="008F52C8" w:rsidRPr="0030358C" w:rsidRDefault="00000000" w:rsidP="008F52C8">
      <w:pPr>
        <w:numPr>
          <w:ilvl w:val="0"/>
          <w:numId w:val="170"/>
        </w:numPr>
        <w:tabs>
          <w:tab w:val="left" w:pos="426"/>
        </w:tabs>
        <w:suppressAutoHyphens/>
        <w:autoSpaceDE w:val="0"/>
        <w:rPr>
          <w:rFonts w:ascii="Arial" w:hAnsi="Arial" w:cs="Arial"/>
          <w:bCs/>
          <w:strike/>
          <w:sz w:val="22"/>
          <w:szCs w:val="22"/>
          <w:lang w:eastAsia="zh-CN"/>
        </w:rPr>
      </w:pPr>
      <w:r w:rsidRPr="0030358C">
        <w:rPr>
          <w:rFonts w:ascii="Arial" w:hAnsi="Arial" w:cs="Arial"/>
          <w:bCs/>
          <w:strike/>
          <w:sz w:val="22"/>
          <w:szCs w:val="22"/>
          <w:lang w:eastAsia="zh-CN"/>
        </w:rPr>
        <w:t>Platí pro tavení z polotovarů nebo střepů, při kterém je zdrojem tepla spalování paliv. Emisní limit na tuhé znečišťující látky platí pouze tehdy, je-li spalováno jiné palivo než zemní plyn.</w:t>
      </w:r>
    </w:p>
    <w:p w14:paraId="2A10E9E0" w14:textId="77777777" w:rsidR="008F52C8" w:rsidRPr="0030358C" w:rsidRDefault="00000000" w:rsidP="008F52C8">
      <w:pPr>
        <w:numPr>
          <w:ilvl w:val="0"/>
          <w:numId w:val="170"/>
        </w:numPr>
        <w:tabs>
          <w:tab w:val="left" w:pos="426"/>
        </w:tabs>
        <w:suppressAutoHyphens/>
        <w:autoSpaceDE w:val="0"/>
        <w:rPr>
          <w:rFonts w:ascii="Arial" w:hAnsi="Arial" w:cs="Arial"/>
          <w:bCs/>
          <w:strike/>
          <w:sz w:val="22"/>
          <w:szCs w:val="22"/>
          <w:lang w:eastAsia="zh-CN"/>
        </w:rPr>
      </w:pPr>
      <w:r w:rsidRPr="0030358C">
        <w:rPr>
          <w:rFonts w:ascii="Arial" w:hAnsi="Arial" w:cs="Arial"/>
          <w:bCs/>
          <w:strike/>
          <w:sz w:val="22"/>
          <w:szCs w:val="22"/>
          <w:lang w:eastAsia="zh-CN"/>
        </w:rPr>
        <w:t>Platí pro zdroje, které mají termíny generálních oprav uvedeny v rozhodnutích podle jiného právního předpisu</w:t>
      </w:r>
      <w:r w:rsidRPr="0030358C">
        <w:rPr>
          <w:rFonts w:ascii="Arial" w:hAnsi="Arial" w:cs="Arial"/>
          <w:bCs/>
          <w:strike/>
          <w:sz w:val="22"/>
          <w:szCs w:val="22"/>
          <w:vertAlign w:val="superscript"/>
          <w:lang w:eastAsia="zh-CN"/>
        </w:rPr>
        <w:t>3)</w:t>
      </w:r>
      <w:r w:rsidRPr="0030358C">
        <w:rPr>
          <w:rFonts w:ascii="Arial" w:hAnsi="Arial" w:cs="Arial"/>
          <w:bCs/>
          <w:strike/>
          <w:sz w:val="22"/>
          <w:szCs w:val="22"/>
          <w:lang w:eastAsia="zh-CN"/>
        </w:rPr>
        <w:t>, platí pro provedení generálních oprav.</w:t>
      </w:r>
    </w:p>
    <w:p w14:paraId="65E8FB4F" w14:textId="77777777" w:rsidR="008F52C8" w:rsidRPr="0030358C" w:rsidRDefault="00000000" w:rsidP="008F52C8">
      <w:pPr>
        <w:numPr>
          <w:ilvl w:val="0"/>
          <w:numId w:val="170"/>
        </w:numPr>
        <w:tabs>
          <w:tab w:val="left" w:pos="426"/>
        </w:tabs>
        <w:suppressAutoHyphens/>
        <w:autoSpaceDE w:val="0"/>
        <w:rPr>
          <w:rFonts w:ascii="Arial" w:hAnsi="Arial" w:cs="Arial"/>
          <w:bCs/>
          <w:strike/>
          <w:sz w:val="22"/>
          <w:szCs w:val="22"/>
          <w:lang w:eastAsia="zh-CN"/>
        </w:rPr>
      </w:pPr>
      <w:r w:rsidRPr="0030358C">
        <w:rPr>
          <w:rFonts w:ascii="Arial" w:hAnsi="Arial" w:cs="Arial"/>
          <w:bCs/>
          <w:strike/>
          <w:sz w:val="22"/>
          <w:szCs w:val="22"/>
          <w:lang w:eastAsia="zh-CN"/>
        </w:rPr>
        <w:t>Platí pro selen při výrobě barevného selenového skla v odvětví plochého skla.</w:t>
      </w:r>
    </w:p>
    <w:p w14:paraId="35FDE3BC" w14:textId="77777777" w:rsidR="008F52C8" w:rsidRPr="0030358C" w:rsidRDefault="00000000" w:rsidP="008F52C8">
      <w:pPr>
        <w:numPr>
          <w:ilvl w:val="0"/>
          <w:numId w:val="170"/>
        </w:numPr>
        <w:tabs>
          <w:tab w:val="left" w:pos="426"/>
        </w:tabs>
        <w:suppressAutoHyphens/>
        <w:autoSpaceDE w:val="0"/>
        <w:rPr>
          <w:rFonts w:ascii="Arial" w:hAnsi="Arial" w:cs="Arial"/>
          <w:bCs/>
          <w:strike/>
          <w:sz w:val="22"/>
          <w:szCs w:val="22"/>
          <w:lang w:eastAsia="zh-CN"/>
        </w:rPr>
      </w:pPr>
      <w:r w:rsidRPr="0030358C">
        <w:rPr>
          <w:rFonts w:ascii="Arial" w:hAnsi="Arial" w:cs="Arial"/>
          <w:bCs/>
          <w:strike/>
          <w:sz w:val="22"/>
          <w:szCs w:val="22"/>
          <w:lang w:eastAsia="zh-CN"/>
        </w:rPr>
        <w:t xml:space="preserve">Platí pro pece na tavení frity. </w:t>
      </w:r>
    </w:p>
    <w:p w14:paraId="68167B8F" w14:textId="77777777" w:rsidR="008F52C8" w:rsidRPr="0030358C" w:rsidRDefault="008F52C8" w:rsidP="008F52C8">
      <w:pPr>
        <w:rPr>
          <w:rFonts w:ascii="Arial" w:hAnsi="Arial" w:cs="Arial"/>
          <w:b/>
          <w:bCs/>
          <w:strike/>
          <w:sz w:val="22"/>
          <w:szCs w:val="22"/>
          <w:lang w:eastAsia="zh-CN"/>
        </w:rPr>
      </w:pPr>
    </w:p>
    <w:p w14:paraId="418F1C1A" w14:textId="77777777" w:rsidR="008F52C8" w:rsidRPr="0030358C" w:rsidRDefault="008F52C8" w:rsidP="008F52C8">
      <w:pPr>
        <w:rPr>
          <w:rFonts w:ascii="Arial" w:hAnsi="Arial" w:cs="Arial"/>
          <w:b/>
          <w:bCs/>
          <w:strike/>
          <w:sz w:val="22"/>
          <w:szCs w:val="22"/>
          <w:lang w:eastAsia="zh-CN"/>
        </w:rPr>
      </w:pPr>
    </w:p>
    <w:p w14:paraId="2A35F4A7"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bCs/>
          <w:strike/>
          <w:sz w:val="22"/>
          <w:szCs w:val="22"/>
          <w:lang w:eastAsia="zh-CN"/>
        </w:rPr>
        <w:t xml:space="preserve">4.2.5. Chemické leštění skla </w:t>
      </w:r>
      <w:r w:rsidRPr="0030358C">
        <w:rPr>
          <w:rFonts w:ascii="Arial" w:hAnsi="Arial" w:cs="Arial"/>
          <w:bCs/>
          <w:strike/>
          <w:sz w:val="22"/>
          <w:szCs w:val="22"/>
          <w:lang w:eastAsia="zh-CN"/>
        </w:rPr>
        <w:t>(kód 5.6.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5877"/>
        <w:gridCol w:w="3512"/>
      </w:tblGrid>
      <w:tr w:rsidR="00E40657" w14:paraId="6A32AD29" w14:textId="77777777" w:rsidTr="00732453">
        <w:trPr>
          <w:cantSplit/>
          <w:trHeight w:hRule="exact" w:val="682"/>
        </w:trPr>
        <w:tc>
          <w:tcPr>
            <w:tcW w:w="5877" w:type="dxa"/>
            <w:tcBorders>
              <w:top w:val="single" w:sz="2" w:space="0" w:color="000000"/>
              <w:left w:val="single" w:sz="2" w:space="0" w:color="000000"/>
              <w:bottom w:val="single" w:sz="2" w:space="0" w:color="000000"/>
            </w:tcBorders>
            <w:shd w:val="clear" w:color="auto" w:fill="auto"/>
            <w:vAlign w:val="center"/>
          </w:tcPr>
          <w:p w14:paraId="72F77106"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51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19B7E287"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3E7A0586" w14:textId="77777777" w:rsidR="008F52C8" w:rsidRPr="0030358C" w:rsidRDefault="00000000" w:rsidP="00732453">
            <w:pPr>
              <w:widowControl w:val="0"/>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podmínky</w:t>
            </w:r>
          </w:p>
        </w:tc>
      </w:tr>
      <w:tr w:rsidR="00E40657" w14:paraId="7D611F84" w14:textId="77777777" w:rsidTr="00732453">
        <w:trPr>
          <w:cantSplit/>
          <w:trHeight w:hRule="exact" w:val="331"/>
        </w:trPr>
        <w:tc>
          <w:tcPr>
            <w:tcW w:w="5877" w:type="dxa"/>
            <w:tcBorders>
              <w:top w:val="single" w:sz="2" w:space="0" w:color="000000"/>
              <w:left w:val="single" w:sz="2" w:space="0" w:color="000000"/>
              <w:bottom w:val="single" w:sz="2" w:space="0" w:color="000000"/>
            </w:tcBorders>
            <w:shd w:val="clear" w:color="auto" w:fill="auto"/>
            <w:vAlign w:val="center"/>
          </w:tcPr>
          <w:p w14:paraId="3529E2AD"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HF</w:t>
            </w:r>
          </w:p>
        </w:tc>
        <w:tc>
          <w:tcPr>
            <w:tcW w:w="3512" w:type="dxa"/>
            <w:vMerge/>
            <w:tcBorders>
              <w:top w:val="single" w:sz="2" w:space="0" w:color="000000"/>
              <w:left w:val="single" w:sz="2" w:space="0" w:color="000000"/>
              <w:bottom w:val="single" w:sz="2" w:space="0" w:color="000000"/>
              <w:right w:val="single" w:sz="2" w:space="0" w:color="000000"/>
            </w:tcBorders>
            <w:shd w:val="clear" w:color="auto" w:fill="auto"/>
          </w:tcPr>
          <w:p w14:paraId="22E9C617" w14:textId="77777777" w:rsidR="008F52C8" w:rsidRPr="0030358C" w:rsidRDefault="008F52C8" w:rsidP="00732453">
            <w:pPr>
              <w:widowControl w:val="0"/>
              <w:autoSpaceDE w:val="0"/>
              <w:snapToGrid w:val="0"/>
              <w:jc w:val="both"/>
              <w:rPr>
                <w:rFonts w:ascii="Arial" w:hAnsi="Arial" w:cs="Arial"/>
                <w:b/>
                <w:bCs/>
                <w:strike/>
                <w:sz w:val="22"/>
                <w:szCs w:val="22"/>
                <w:lang w:eastAsia="zh-CN"/>
              </w:rPr>
            </w:pPr>
          </w:p>
        </w:tc>
      </w:tr>
      <w:tr w:rsidR="00E40657" w14:paraId="77A6A621" w14:textId="77777777" w:rsidTr="00732453">
        <w:trPr>
          <w:trHeight w:hRule="exact" w:val="340"/>
        </w:trPr>
        <w:tc>
          <w:tcPr>
            <w:tcW w:w="5877" w:type="dxa"/>
            <w:tcBorders>
              <w:top w:val="single" w:sz="2" w:space="0" w:color="000000"/>
              <w:left w:val="single" w:sz="2" w:space="0" w:color="000000"/>
              <w:bottom w:val="single" w:sz="2" w:space="0" w:color="000000"/>
            </w:tcBorders>
            <w:shd w:val="clear" w:color="auto" w:fill="auto"/>
            <w:vAlign w:val="center"/>
          </w:tcPr>
          <w:p w14:paraId="12030FE1"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35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84E735"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4F4043F0" w14:textId="77777777" w:rsidR="008F52C8" w:rsidRPr="0030358C" w:rsidRDefault="008F52C8" w:rsidP="008F52C8">
      <w:pPr>
        <w:rPr>
          <w:rFonts w:ascii="Arial" w:hAnsi="Arial" w:cs="Arial"/>
          <w:b/>
          <w:bCs/>
          <w:strike/>
          <w:sz w:val="22"/>
          <w:szCs w:val="22"/>
          <w:lang w:eastAsia="zh-CN"/>
        </w:rPr>
      </w:pPr>
    </w:p>
    <w:p w14:paraId="6F7B2314" w14:textId="77777777" w:rsidR="008F52C8" w:rsidRPr="0030358C" w:rsidRDefault="008F52C8" w:rsidP="008F52C8">
      <w:pPr>
        <w:rPr>
          <w:rFonts w:ascii="Arial" w:hAnsi="Arial" w:cs="Arial"/>
          <w:b/>
          <w:bCs/>
          <w:strike/>
          <w:sz w:val="22"/>
          <w:szCs w:val="22"/>
          <w:lang w:eastAsia="zh-CN"/>
        </w:rPr>
      </w:pPr>
    </w:p>
    <w:p w14:paraId="61FDAEC0"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strike/>
          <w:sz w:val="22"/>
          <w:szCs w:val="22"/>
          <w:lang w:eastAsia="zh-CN"/>
        </w:rPr>
      </w:pPr>
      <w:r w:rsidRPr="0030358C">
        <w:rPr>
          <w:rFonts w:ascii="Arial" w:hAnsi="Arial" w:cs="Arial"/>
          <w:b/>
          <w:strike/>
          <w:sz w:val="22"/>
          <w:szCs w:val="22"/>
          <w:lang w:eastAsia="zh-CN"/>
        </w:rPr>
        <w:t>4.3. Tavení nerostných materiálů, včetně výroby nerostných vláken</w:t>
      </w:r>
    </w:p>
    <w:p w14:paraId="5C25D896" w14:textId="77777777" w:rsidR="008F52C8" w:rsidRPr="0030358C" w:rsidRDefault="008F52C8" w:rsidP="008F52C8">
      <w:pPr>
        <w:rPr>
          <w:rFonts w:ascii="Arial" w:hAnsi="Arial" w:cs="Arial"/>
          <w:b/>
          <w:bCs/>
          <w:strike/>
          <w:sz w:val="22"/>
          <w:szCs w:val="22"/>
          <w:lang w:eastAsia="zh-CN"/>
        </w:rPr>
      </w:pPr>
    </w:p>
    <w:p w14:paraId="32F2CE5B" w14:textId="77777777" w:rsidR="008F52C8" w:rsidRPr="0030358C" w:rsidRDefault="008F52C8" w:rsidP="008F52C8">
      <w:pPr>
        <w:rPr>
          <w:rFonts w:ascii="Arial" w:hAnsi="Arial" w:cs="Arial"/>
          <w:b/>
          <w:bCs/>
          <w:strike/>
          <w:sz w:val="22"/>
          <w:szCs w:val="22"/>
          <w:lang w:eastAsia="zh-CN"/>
        </w:rPr>
      </w:pPr>
    </w:p>
    <w:p w14:paraId="27E34710"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 xml:space="preserve">4.3.1. Zpracování magnezitu a výroba bazických žáruvzdorných materiálů, křemence apod. </w:t>
      </w:r>
      <w:r w:rsidRPr="0030358C">
        <w:rPr>
          <w:rFonts w:ascii="Arial" w:hAnsi="Arial" w:cs="Arial"/>
          <w:bCs/>
          <w:strike/>
          <w:sz w:val="22"/>
          <w:szCs w:val="22"/>
          <w:lang w:eastAsia="zh-CN"/>
        </w:rPr>
        <w:t>(kód 5.7.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1612"/>
        <w:gridCol w:w="1616"/>
        <w:gridCol w:w="1616"/>
        <w:gridCol w:w="2198"/>
      </w:tblGrid>
      <w:tr w:rsidR="00E40657" w14:paraId="6FC09A2B" w14:textId="77777777" w:rsidTr="00732453">
        <w:trPr>
          <w:cantSplit/>
          <w:trHeight w:hRule="exact" w:val="341"/>
        </w:trPr>
        <w:tc>
          <w:tcPr>
            <w:tcW w:w="4844" w:type="dxa"/>
            <w:gridSpan w:val="3"/>
            <w:tcBorders>
              <w:top w:val="single" w:sz="2" w:space="0" w:color="000000"/>
              <w:left w:val="single" w:sz="2" w:space="0" w:color="000000"/>
              <w:bottom w:val="single" w:sz="2" w:space="0" w:color="000000"/>
            </w:tcBorders>
            <w:shd w:val="clear" w:color="auto" w:fill="auto"/>
            <w:vAlign w:val="center"/>
          </w:tcPr>
          <w:p w14:paraId="5529E7A9"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198" w:type="dxa"/>
            <w:vMerge w:val="restart"/>
            <w:tcBorders>
              <w:top w:val="single" w:sz="2" w:space="0" w:color="000000"/>
              <w:left w:val="single" w:sz="4" w:space="0" w:color="000000"/>
              <w:right w:val="single" w:sz="2" w:space="0" w:color="000000"/>
            </w:tcBorders>
            <w:shd w:val="clear" w:color="auto" w:fill="auto"/>
            <w:vAlign w:val="center"/>
          </w:tcPr>
          <w:p w14:paraId="43A916BC"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48DA0A0E" w14:textId="77777777" w:rsidR="008F52C8" w:rsidRPr="0030358C" w:rsidRDefault="00000000" w:rsidP="00732453">
            <w:pPr>
              <w:widowControl w:val="0"/>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podmínky</w:t>
            </w:r>
          </w:p>
        </w:tc>
      </w:tr>
      <w:tr w:rsidR="00E40657" w14:paraId="72102BDD" w14:textId="77777777" w:rsidTr="00732453">
        <w:trPr>
          <w:cantSplit/>
          <w:trHeight w:hRule="exact" w:val="331"/>
        </w:trPr>
        <w:tc>
          <w:tcPr>
            <w:tcW w:w="1612" w:type="dxa"/>
            <w:tcBorders>
              <w:top w:val="single" w:sz="2" w:space="0" w:color="000000"/>
              <w:left w:val="single" w:sz="2" w:space="0" w:color="000000"/>
              <w:bottom w:val="single" w:sz="2" w:space="0" w:color="000000"/>
            </w:tcBorders>
            <w:shd w:val="clear" w:color="auto" w:fill="auto"/>
            <w:vAlign w:val="center"/>
          </w:tcPr>
          <w:p w14:paraId="4AE750B7"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1616" w:type="dxa"/>
            <w:tcBorders>
              <w:top w:val="single" w:sz="2" w:space="0" w:color="000000"/>
              <w:left w:val="single" w:sz="2" w:space="0" w:color="000000"/>
              <w:bottom w:val="single" w:sz="2" w:space="0" w:color="000000"/>
            </w:tcBorders>
            <w:shd w:val="clear" w:color="auto" w:fill="auto"/>
            <w:vAlign w:val="center"/>
          </w:tcPr>
          <w:p w14:paraId="2710684E"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SO</w:t>
            </w:r>
            <w:r w:rsidRPr="0030358C">
              <w:rPr>
                <w:rFonts w:ascii="Arial" w:hAnsi="Arial" w:cs="Arial"/>
                <w:b/>
                <w:bCs/>
                <w:strike/>
                <w:sz w:val="22"/>
                <w:szCs w:val="22"/>
                <w:vertAlign w:val="subscript"/>
                <w:lang w:eastAsia="zh-CN"/>
              </w:rPr>
              <w:t>2</w:t>
            </w:r>
          </w:p>
        </w:tc>
        <w:tc>
          <w:tcPr>
            <w:tcW w:w="1616" w:type="dxa"/>
            <w:tcBorders>
              <w:top w:val="single" w:sz="2" w:space="0" w:color="000000"/>
              <w:left w:val="single" w:sz="2" w:space="0" w:color="000000"/>
              <w:bottom w:val="single" w:sz="2" w:space="0" w:color="000000"/>
            </w:tcBorders>
            <w:shd w:val="clear" w:color="auto" w:fill="auto"/>
            <w:vAlign w:val="center"/>
          </w:tcPr>
          <w:p w14:paraId="3B7E3A6C" w14:textId="77777777" w:rsidR="008F52C8" w:rsidRPr="0030358C" w:rsidRDefault="00000000" w:rsidP="00732453">
            <w:pPr>
              <w:widowControl w:val="0"/>
              <w:autoSpaceDE w:val="0"/>
              <w:snapToGrid w:val="0"/>
              <w:jc w:val="center"/>
              <w:rPr>
                <w:rFonts w:ascii="Arial" w:hAnsi="Arial" w:cs="Arial"/>
                <w:b/>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strike/>
                <w:sz w:val="22"/>
                <w:szCs w:val="22"/>
                <w:vertAlign w:val="subscript"/>
                <w:lang w:eastAsia="zh-CN"/>
              </w:rPr>
              <w:t>x</w:t>
            </w:r>
          </w:p>
        </w:tc>
        <w:tc>
          <w:tcPr>
            <w:tcW w:w="2198" w:type="dxa"/>
            <w:vMerge/>
            <w:tcBorders>
              <w:left w:val="single" w:sz="4" w:space="0" w:color="000000"/>
              <w:bottom w:val="single" w:sz="2" w:space="0" w:color="000000"/>
              <w:right w:val="single" w:sz="2" w:space="0" w:color="000000"/>
            </w:tcBorders>
            <w:shd w:val="clear" w:color="auto" w:fill="auto"/>
            <w:vAlign w:val="center"/>
          </w:tcPr>
          <w:p w14:paraId="74942303" w14:textId="77777777" w:rsidR="008F52C8" w:rsidRPr="0030358C" w:rsidRDefault="008F52C8" w:rsidP="00732453">
            <w:pPr>
              <w:widowControl w:val="0"/>
              <w:autoSpaceDE w:val="0"/>
              <w:snapToGrid w:val="0"/>
              <w:jc w:val="center"/>
              <w:rPr>
                <w:rFonts w:ascii="Arial" w:hAnsi="Arial" w:cs="Arial"/>
                <w:b/>
                <w:bCs/>
                <w:strike/>
                <w:sz w:val="22"/>
                <w:szCs w:val="22"/>
                <w:lang w:eastAsia="zh-CN"/>
              </w:rPr>
            </w:pPr>
          </w:p>
        </w:tc>
      </w:tr>
      <w:tr w:rsidR="00E40657" w14:paraId="52211438" w14:textId="77777777" w:rsidTr="00732453">
        <w:trPr>
          <w:trHeight w:hRule="exact" w:val="850"/>
        </w:trPr>
        <w:tc>
          <w:tcPr>
            <w:tcW w:w="1612" w:type="dxa"/>
            <w:tcBorders>
              <w:top w:val="single" w:sz="2" w:space="0" w:color="000000"/>
              <w:left w:val="single" w:sz="2" w:space="0" w:color="000000"/>
              <w:bottom w:val="single" w:sz="2" w:space="0" w:color="000000"/>
            </w:tcBorders>
            <w:shd w:val="clear" w:color="auto" w:fill="auto"/>
            <w:vAlign w:val="center"/>
          </w:tcPr>
          <w:p w14:paraId="716FAE33"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1)</w:t>
            </w:r>
          </w:p>
          <w:p w14:paraId="647AD08A" w14:textId="77777777" w:rsidR="008F52C8" w:rsidRPr="0030358C" w:rsidRDefault="00000000" w:rsidP="00732453">
            <w:pPr>
              <w:widowControl w:val="0"/>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2)</w:t>
            </w:r>
          </w:p>
        </w:tc>
        <w:tc>
          <w:tcPr>
            <w:tcW w:w="1616" w:type="dxa"/>
            <w:tcBorders>
              <w:top w:val="single" w:sz="2" w:space="0" w:color="000000"/>
              <w:left w:val="single" w:sz="2" w:space="0" w:color="000000"/>
              <w:bottom w:val="single" w:sz="2" w:space="0" w:color="000000"/>
            </w:tcBorders>
            <w:shd w:val="clear" w:color="auto" w:fill="auto"/>
            <w:vAlign w:val="center"/>
          </w:tcPr>
          <w:p w14:paraId="569F1B45"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400</w:t>
            </w:r>
            <w:r w:rsidRPr="0030358C">
              <w:rPr>
                <w:rFonts w:ascii="Arial" w:hAnsi="Arial" w:cs="Arial"/>
                <w:bCs/>
                <w:strike/>
                <w:sz w:val="22"/>
                <w:szCs w:val="22"/>
                <w:vertAlign w:val="superscript"/>
                <w:lang w:eastAsia="zh-CN"/>
              </w:rPr>
              <w:t>1)</w:t>
            </w:r>
          </w:p>
        </w:tc>
        <w:tc>
          <w:tcPr>
            <w:tcW w:w="1616" w:type="dxa"/>
            <w:tcBorders>
              <w:top w:val="single" w:sz="2" w:space="0" w:color="000000"/>
              <w:left w:val="single" w:sz="2" w:space="0" w:color="000000"/>
              <w:bottom w:val="single" w:sz="2" w:space="0" w:color="000000"/>
            </w:tcBorders>
            <w:shd w:val="clear" w:color="auto" w:fill="auto"/>
            <w:vAlign w:val="center"/>
          </w:tcPr>
          <w:p w14:paraId="30E5F771"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1000</w:t>
            </w:r>
            <w:r w:rsidRPr="0030358C">
              <w:rPr>
                <w:rFonts w:ascii="Arial" w:hAnsi="Arial" w:cs="Arial"/>
                <w:bCs/>
                <w:strike/>
                <w:sz w:val="22"/>
                <w:szCs w:val="22"/>
                <w:vertAlign w:val="superscript"/>
                <w:lang w:eastAsia="zh-CN"/>
              </w:rPr>
              <w:t>3)</w:t>
            </w:r>
          </w:p>
          <w:p w14:paraId="01526792" w14:textId="77777777" w:rsidR="008F52C8" w:rsidRPr="0030358C" w:rsidRDefault="00000000" w:rsidP="00732453">
            <w:pPr>
              <w:widowControl w:val="0"/>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1500</w:t>
            </w:r>
            <w:r w:rsidRPr="0030358C">
              <w:rPr>
                <w:rFonts w:ascii="Arial" w:hAnsi="Arial" w:cs="Arial"/>
                <w:bCs/>
                <w:strike/>
                <w:sz w:val="22"/>
                <w:szCs w:val="22"/>
                <w:vertAlign w:val="superscript"/>
                <w:lang w:eastAsia="zh-CN"/>
              </w:rPr>
              <w:t>4,5)</w:t>
            </w:r>
          </w:p>
        </w:tc>
        <w:tc>
          <w:tcPr>
            <w:tcW w:w="21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5C0462"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5A118DDF" w14:textId="77777777" w:rsidR="008F52C8" w:rsidRPr="0030358C" w:rsidRDefault="008F52C8" w:rsidP="008F52C8">
      <w:pPr>
        <w:rPr>
          <w:rFonts w:ascii="Arial" w:hAnsi="Arial" w:cs="Arial"/>
          <w:strike/>
          <w:sz w:val="22"/>
          <w:szCs w:val="22"/>
          <w:lang w:eastAsia="zh-CN"/>
        </w:rPr>
      </w:pPr>
    </w:p>
    <w:p w14:paraId="6E7C8292" w14:textId="77777777" w:rsidR="008F52C8" w:rsidRPr="0030358C" w:rsidRDefault="00000000" w:rsidP="008F52C8">
      <w:pPr>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 xml:space="preserve">: </w:t>
      </w:r>
    </w:p>
    <w:p w14:paraId="39A9FDB8" w14:textId="77777777" w:rsidR="008F52C8" w:rsidRPr="0030358C" w:rsidRDefault="00000000" w:rsidP="008F52C8">
      <w:pPr>
        <w:numPr>
          <w:ilvl w:val="0"/>
          <w:numId w:val="112"/>
        </w:numPr>
        <w:suppressAutoHyphens/>
        <w:rPr>
          <w:rFonts w:ascii="Arial" w:hAnsi="Arial" w:cs="Arial"/>
          <w:iCs/>
          <w:strike/>
          <w:sz w:val="22"/>
          <w:szCs w:val="22"/>
          <w:lang w:eastAsia="zh-CN"/>
        </w:rPr>
      </w:pPr>
      <w:r w:rsidRPr="0030358C">
        <w:rPr>
          <w:rFonts w:ascii="Arial" w:hAnsi="Arial" w:cs="Arial"/>
          <w:iCs/>
          <w:strike/>
          <w:sz w:val="22"/>
          <w:szCs w:val="22"/>
          <w:lang w:eastAsia="zh-CN"/>
        </w:rPr>
        <w:t>Platí pro výpal a sušení hmoty.</w:t>
      </w:r>
    </w:p>
    <w:p w14:paraId="49775E39" w14:textId="77777777" w:rsidR="008F52C8" w:rsidRPr="0030358C" w:rsidRDefault="00000000" w:rsidP="008F52C8">
      <w:pPr>
        <w:numPr>
          <w:ilvl w:val="0"/>
          <w:numId w:val="112"/>
        </w:numPr>
        <w:suppressAutoHyphens/>
        <w:rPr>
          <w:rFonts w:ascii="Arial" w:hAnsi="Arial" w:cs="Arial"/>
          <w:iCs/>
          <w:strike/>
          <w:sz w:val="22"/>
          <w:szCs w:val="22"/>
          <w:lang w:eastAsia="zh-CN"/>
        </w:rPr>
      </w:pPr>
      <w:r w:rsidRPr="0030358C">
        <w:rPr>
          <w:rFonts w:ascii="Arial" w:hAnsi="Arial" w:cs="Arial"/>
          <w:iCs/>
          <w:strike/>
          <w:sz w:val="22"/>
          <w:szCs w:val="22"/>
          <w:lang w:eastAsia="zh-CN"/>
        </w:rPr>
        <w:t>Platí pro ostatní operace (manipulace se surovinou, manipulace s výrobkem, atd.)</w:t>
      </w:r>
    </w:p>
    <w:p w14:paraId="03669D82" w14:textId="77777777" w:rsidR="008F52C8" w:rsidRPr="0030358C" w:rsidRDefault="00000000" w:rsidP="008F52C8">
      <w:pPr>
        <w:numPr>
          <w:ilvl w:val="0"/>
          <w:numId w:val="112"/>
        </w:numPr>
        <w:suppressAutoHyphens/>
        <w:rPr>
          <w:rFonts w:ascii="Arial" w:hAnsi="Arial" w:cs="Arial"/>
          <w:iCs/>
          <w:strike/>
          <w:sz w:val="22"/>
          <w:szCs w:val="22"/>
          <w:lang w:eastAsia="zh-CN"/>
        </w:rPr>
      </w:pPr>
      <w:r w:rsidRPr="0030358C">
        <w:rPr>
          <w:rFonts w:ascii="Arial" w:hAnsi="Arial" w:cs="Arial"/>
          <w:iCs/>
          <w:strike/>
          <w:sz w:val="22"/>
          <w:szCs w:val="22"/>
          <w:lang w:eastAsia="zh-CN"/>
        </w:rPr>
        <w:t>Platí při teplotě nižší než 1300°C včetně.</w:t>
      </w:r>
    </w:p>
    <w:p w14:paraId="12B52DD1" w14:textId="77777777" w:rsidR="008F52C8" w:rsidRPr="0030358C" w:rsidRDefault="00000000" w:rsidP="008F52C8">
      <w:pPr>
        <w:numPr>
          <w:ilvl w:val="0"/>
          <w:numId w:val="112"/>
        </w:numPr>
        <w:suppressAutoHyphens/>
        <w:rPr>
          <w:rFonts w:ascii="Arial" w:hAnsi="Arial" w:cs="Arial"/>
          <w:iCs/>
          <w:strike/>
          <w:sz w:val="22"/>
          <w:szCs w:val="22"/>
          <w:lang w:eastAsia="zh-CN"/>
        </w:rPr>
      </w:pPr>
      <w:r w:rsidRPr="0030358C">
        <w:rPr>
          <w:rFonts w:ascii="Arial" w:hAnsi="Arial" w:cs="Arial"/>
          <w:iCs/>
          <w:strike/>
          <w:sz w:val="22"/>
          <w:szCs w:val="22"/>
          <w:lang w:eastAsia="zh-CN"/>
        </w:rPr>
        <w:t>Platí při teplotě vyšší než 1300°C.</w:t>
      </w:r>
    </w:p>
    <w:p w14:paraId="4BAB5722" w14:textId="77777777" w:rsidR="008F52C8" w:rsidRPr="0030358C" w:rsidRDefault="00000000" w:rsidP="008F52C8">
      <w:pPr>
        <w:numPr>
          <w:ilvl w:val="0"/>
          <w:numId w:val="112"/>
        </w:numPr>
        <w:suppressAutoHyphens/>
        <w:rPr>
          <w:rFonts w:ascii="Arial" w:hAnsi="Arial" w:cs="Arial"/>
          <w:iCs/>
          <w:strike/>
          <w:sz w:val="22"/>
          <w:szCs w:val="22"/>
          <w:lang w:eastAsia="zh-CN"/>
        </w:rPr>
      </w:pPr>
      <w:r w:rsidRPr="0030358C">
        <w:rPr>
          <w:rFonts w:ascii="Arial" w:hAnsi="Arial" w:cs="Arial"/>
          <w:iCs/>
          <w:strike/>
          <w:sz w:val="22"/>
          <w:szCs w:val="22"/>
          <w:lang w:eastAsia="zh-CN"/>
        </w:rPr>
        <w:t>Platí pro výpal z hmoty.</w:t>
      </w:r>
    </w:p>
    <w:p w14:paraId="073A93A3" w14:textId="77777777" w:rsidR="008F52C8" w:rsidRPr="0030358C" w:rsidRDefault="008F52C8" w:rsidP="008F52C8">
      <w:pPr>
        <w:rPr>
          <w:rFonts w:ascii="Arial" w:hAnsi="Arial" w:cs="Arial"/>
          <w:b/>
          <w:strike/>
          <w:sz w:val="22"/>
          <w:szCs w:val="22"/>
          <w:lang w:eastAsia="zh-CN"/>
        </w:rPr>
      </w:pPr>
    </w:p>
    <w:p w14:paraId="6D3E9759" w14:textId="77777777" w:rsidR="008F52C8" w:rsidRPr="0030358C" w:rsidRDefault="008F52C8" w:rsidP="008F52C8">
      <w:pPr>
        <w:rPr>
          <w:rFonts w:ascii="Arial" w:hAnsi="Arial" w:cs="Arial"/>
          <w:b/>
          <w:strike/>
          <w:sz w:val="22"/>
          <w:szCs w:val="22"/>
          <w:lang w:eastAsia="zh-CN"/>
        </w:rPr>
      </w:pPr>
    </w:p>
    <w:p w14:paraId="154127F2"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4.3.2. Tavení nerostných materiálů v kupolových pecích </w:t>
      </w:r>
      <w:r w:rsidRPr="0030358C">
        <w:rPr>
          <w:rFonts w:ascii="Arial" w:hAnsi="Arial" w:cs="Arial"/>
          <w:bCs/>
          <w:strike/>
          <w:sz w:val="22"/>
          <w:szCs w:val="22"/>
          <w:lang w:eastAsia="zh-CN"/>
        </w:rPr>
        <w:t>(kód 5.8.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1758"/>
        <w:gridCol w:w="1758"/>
        <w:gridCol w:w="1759"/>
        <w:gridCol w:w="1400"/>
        <w:gridCol w:w="1711"/>
      </w:tblGrid>
      <w:tr w:rsidR="00E40657" w14:paraId="36023F42" w14:textId="77777777" w:rsidTr="00732453">
        <w:trPr>
          <w:cantSplit/>
          <w:trHeight w:hRule="exact" w:val="341"/>
        </w:trPr>
        <w:tc>
          <w:tcPr>
            <w:tcW w:w="6675" w:type="dxa"/>
            <w:gridSpan w:val="4"/>
            <w:tcBorders>
              <w:top w:val="single" w:sz="2" w:space="0" w:color="000000"/>
              <w:left w:val="single" w:sz="2" w:space="0" w:color="000000"/>
              <w:bottom w:val="single" w:sz="2" w:space="0" w:color="000000"/>
            </w:tcBorders>
            <w:shd w:val="clear" w:color="auto" w:fill="auto"/>
            <w:vAlign w:val="center"/>
          </w:tcPr>
          <w:p w14:paraId="7FA63711"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711" w:type="dxa"/>
            <w:vMerge w:val="restart"/>
            <w:tcBorders>
              <w:top w:val="single" w:sz="2" w:space="0" w:color="000000"/>
              <w:left w:val="single" w:sz="2" w:space="0" w:color="000000"/>
              <w:right w:val="single" w:sz="2" w:space="0" w:color="000000"/>
            </w:tcBorders>
            <w:shd w:val="clear" w:color="auto" w:fill="auto"/>
            <w:vAlign w:val="center"/>
          </w:tcPr>
          <w:p w14:paraId="269B844F"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372F8B5D" w14:textId="77777777" w:rsidR="008F52C8" w:rsidRPr="0030358C" w:rsidRDefault="00000000" w:rsidP="00732453">
            <w:pPr>
              <w:widowControl w:val="0"/>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Podmínky</w:t>
            </w:r>
          </w:p>
        </w:tc>
      </w:tr>
      <w:tr w:rsidR="00E40657" w14:paraId="6F120C4D" w14:textId="77777777" w:rsidTr="00732453">
        <w:trPr>
          <w:cantSplit/>
          <w:trHeight w:hRule="exact" w:val="331"/>
        </w:trPr>
        <w:tc>
          <w:tcPr>
            <w:tcW w:w="1758" w:type="dxa"/>
            <w:tcBorders>
              <w:top w:val="single" w:sz="2" w:space="0" w:color="000000"/>
              <w:left w:val="single" w:sz="2" w:space="0" w:color="000000"/>
              <w:bottom w:val="single" w:sz="2" w:space="0" w:color="000000"/>
            </w:tcBorders>
            <w:shd w:val="clear" w:color="auto" w:fill="auto"/>
            <w:vAlign w:val="center"/>
          </w:tcPr>
          <w:p w14:paraId="0F41A3F7"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1758" w:type="dxa"/>
            <w:tcBorders>
              <w:top w:val="single" w:sz="2" w:space="0" w:color="000000"/>
              <w:left w:val="single" w:sz="2" w:space="0" w:color="000000"/>
              <w:bottom w:val="single" w:sz="2" w:space="0" w:color="000000"/>
            </w:tcBorders>
            <w:shd w:val="clear" w:color="auto" w:fill="auto"/>
            <w:vAlign w:val="center"/>
          </w:tcPr>
          <w:p w14:paraId="643BFE2A"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SO</w:t>
            </w:r>
            <w:r w:rsidRPr="0030358C">
              <w:rPr>
                <w:rFonts w:ascii="Arial" w:hAnsi="Arial" w:cs="Arial"/>
                <w:b/>
                <w:bCs/>
                <w:strike/>
                <w:sz w:val="22"/>
                <w:szCs w:val="22"/>
                <w:vertAlign w:val="subscript"/>
                <w:lang w:eastAsia="zh-CN"/>
              </w:rPr>
              <w:t>2</w:t>
            </w:r>
          </w:p>
        </w:tc>
        <w:tc>
          <w:tcPr>
            <w:tcW w:w="1759" w:type="dxa"/>
            <w:tcBorders>
              <w:top w:val="single" w:sz="2" w:space="0" w:color="000000"/>
              <w:left w:val="single" w:sz="2" w:space="0" w:color="000000"/>
              <w:bottom w:val="single" w:sz="2" w:space="0" w:color="000000"/>
            </w:tcBorders>
            <w:shd w:val="clear" w:color="auto" w:fill="auto"/>
            <w:vAlign w:val="center"/>
          </w:tcPr>
          <w:p w14:paraId="6C927D60"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HF</w:t>
            </w:r>
          </w:p>
        </w:tc>
        <w:tc>
          <w:tcPr>
            <w:tcW w:w="1400" w:type="dxa"/>
            <w:tcBorders>
              <w:top w:val="single" w:sz="2" w:space="0" w:color="000000"/>
              <w:left w:val="single" w:sz="2" w:space="0" w:color="000000"/>
              <w:bottom w:val="single" w:sz="2" w:space="0" w:color="000000"/>
            </w:tcBorders>
            <w:shd w:val="clear" w:color="auto" w:fill="auto"/>
            <w:vAlign w:val="center"/>
          </w:tcPr>
          <w:p w14:paraId="4AE0D033"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HCl</w:t>
            </w:r>
          </w:p>
        </w:tc>
        <w:tc>
          <w:tcPr>
            <w:tcW w:w="1711" w:type="dxa"/>
            <w:vMerge/>
            <w:tcBorders>
              <w:left w:val="single" w:sz="2" w:space="0" w:color="000000"/>
              <w:bottom w:val="single" w:sz="2" w:space="0" w:color="000000"/>
              <w:right w:val="single" w:sz="2" w:space="0" w:color="000000"/>
            </w:tcBorders>
            <w:shd w:val="clear" w:color="auto" w:fill="auto"/>
          </w:tcPr>
          <w:p w14:paraId="2DA005FA" w14:textId="77777777" w:rsidR="008F52C8" w:rsidRPr="0030358C" w:rsidRDefault="008F52C8" w:rsidP="00732453">
            <w:pPr>
              <w:widowControl w:val="0"/>
              <w:autoSpaceDE w:val="0"/>
              <w:snapToGrid w:val="0"/>
              <w:jc w:val="both"/>
              <w:rPr>
                <w:rFonts w:ascii="Arial" w:hAnsi="Arial" w:cs="Arial"/>
                <w:b/>
                <w:bCs/>
                <w:strike/>
                <w:sz w:val="22"/>
                <w:szCs w:val="22"/>
                <w:lang w:eastAsia="zh-CN"/>
              </w:rPr>
            </w:pPr>
          </w:p>
        </w:tc>
      </w:tr>
      <w:tr w:rsidR="00E40657" w14:paraId="69458D19" w14:textId="77777777" w:rsidTr="00732453">
        <w:trPr>
          <w:trHeight w:hRule="exact" w:val="580"/>
        </w:trPr>
        <w:tc>
          <w:tcPr>
            <w:tcW w:w="1758" w:type="dxa"/>
            <w:tcBorders>
              <w:top w:val="single" w:sz="2" w:space="0" w:color="000000"/>
              <w:left w:val="single" w:sz="2" w:space="0" w:color="000000"/>
              <w:bottom w:val="single" w:sz="2" w:space="0" w:color="000000"/>
            </w:tcBorders>
            <w:shd w:val="clear" w:color="auto" w:fill="auto"/>
            <w:vAlign w:val="center"/>
          </w:tcPr>
          <w:p w14:paraId="226EE6ED"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758" w:type="dxa"/>
            <w:tcBorders>
              <w:top w:val="single" w:sz="2" w:space="0" w:color="000000"/>
              <w:left w:val="single" w:sz="2" w:space="0" w:color="000000"/>
              <w:bottom w:val="single" w:sz="2" w:space="0" w:color="000000"/>
            </w:tcBorders>
            <w:shd w:val="clear" w:color="auto" w:fill="auto"/>
            <w:vAlign w:val="center"/>
          </w:tcPr>
          <w:p w14:paraId="139DDCCE"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2500</w:t>
            </w:r>
          </w:p>
        </w:tc>
        <w:tc>
          <w:tcPr>
            <w:tcW w:w="1759" w:type="dxa"/>
            <w:tcBorders>
              <w:top w:val="single" w:sz="2" w:space="0" w:color="000000"/>
              <w:left w:val="single" w:sz="2" w:space="0" w:color="000000"/>
              <w:bottom w:val="single" w:sz="2" w:space="0" w:color="000000"/>
            </w:tcBorders>
            <w:shd w:val="clear" w:color="auto" w:fill="auto"/>
            <w:vAlign w:val="center"/>
          </w:tcPr>
          <w:p w14:paraId="2A2C81FC"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p>
        </w:tc>
        <w:tc>
          <w:tcPr>
            <w:tcW w:w="1400" w:type="dxa"/>
            <w:tcBorders>
              <w:top w:val="single" w:sz="2" w:space="0" w:color="000000"/>
              <w:left w:val="single" w:sz="2" w:space="0" w:color="000000"/>
              <w:bottom w:val="single" w:sz="2" w:space="0" w:color="000000"/>
            </w:tcBorders>
            <w:shd w:val="clear" w:color="auto" w:fill="auto"/>
            <w:vAlign w:val="center"/>
          </w:tcPr>
          <w:p w14:paraId="08836E67"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2F0E54"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2C42D718" w14:textId="77777777" w:rsidR="008F52C8" w:rsidRPr="0030358C" w:rsidRDefault="008F52C8" w:rsidP="008F52C8">
      <w:pPr>
        <w:rPr>
          <w:rFonts w:ascii="Arial" w:hAnsi="Arial" w:cs="Arial"/>
          <w:b/>
          <w:bCs/>
          <w:strike/>
          <w:sz w:val="22"/>
          <w:szCs w:val="22"/>
          <w:lang w:eastAsia="zh-CN"/>
        </w:rPr>
      </w:pPr>
    </w:p>
    <w:p w14:paraId="1B42737C" w14:textId="77777777" w:rsidR="008F52C8" w:rsidRPr="0030358C" w:rsidRDefault="008F52C8" w:rsidP="008F52C8">
      <w:pPr>
        <w:rPr>
          <w:rFonts w:ascii="Arial" w:hAnsi="Arial" w:cs="Arial"/>
          <w:b/>
          <w:bCs/>
          <w:strike/>
          <w:sz w:val="22"/>
          <w:szCs w:val="22"/>
          <w:lang w:eastAsia="zh-CN"/>
        </w:rPr>
      </w:pPr>
    </w:p>
    <w:p w14:paraId="5F5525A0"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4.3.3. Výroba kompozitních nerostných vláken s použitím organických pojiv </w:t>
      </w:r>
      <w:r w:rsidRPr="0030358C">
        <w:rPr>
          <w:rFonts w:ascii="Arial" w:hAnsi="Arial" w:cs="Arial"/>
          <w:bCs/>
          <w:strike/>
          <w:sz w:val="22"/>
          <w:szCs w:val="22"/>
          <w:lang w:eastAsia="zh-CN"/>
        </w:rPr>
        <w:t>(kód 5.9.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2945"/>
        <w:gridCol w:w="2947"/>
        <w:gridCol w:w="3497"/>
      </w:tblGrid>
      <w:tr w:rsidR="00E40657" w14:paraId="151D12F4" w14:textId="77777777" w:rsidTr="00732453">
        <w:trPr>
          <w:cantSplit/>
          <w:trHeight w:hRule="exact" w:val="341"/>
        </w:trPr>
        <w:tc>
          <w:tcPr>
            <w:tcW w:w="5892" w:type="dxa"/>
            <w:gridSpan w:val="2"/>
            <w:tcBorders>
              <w:top w:val="single" w:sz="2" w:space="0" w:color="000000"/>
              <w:left w:val="single" w:sz="2" w:space="0" w:color="000000"/>
              <w:bottom w:val="single" w:sz="2" w:space="0" w:color="000000"/>
            </w:tcBorders>
            <w:shd w:val="clear" w:color="auto" w:fill="auto"/>
            <w:vAlign w:val="center"/>
          </w:tcPr>
          <w:p w14:paraId="60915333"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497" w:type="dxa"/>
            <w:vMerge w:val="restart"/>
            <w:tcBorders>
              <w:top w:val="single" w:sz="2" w:space="0" w:color="000000"/>
              <w:left w:val="single" w:sz="2" w:space="0" w:color="000000"/>
              <w:right w:val="single" w:sz="2" w:space="0" w:color="000000"/>
            </w:tcBorders>
            <w:shd w:val="clear" w:color="auto" w:fill="auto"/>
            <w:vAlign w:val="center"/>
          </w:tcPr>
          <w:p w14:paraId="4231B0D5"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0759A50A" w14:textId="77777777" w:rsidR="008F52C8" w:rsidRPr="0030358C" w:rsidRDefault="00000000" w:rsidP="00732453">
            <w:pPr>
              <w:widowControl w:val="0"/>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lastRenderedPageBreak/>
              <w:t>podmínky</w:t>
            </w:r>
          </w:p>
        </w:tc>
      </w:tr>
      <w:tr w:rsidR="00E40657" w14:paraId="5A45660E" w14:textId="77777777" w:rsidTr="00732453">
        <w:trPr>
          <w:cantSplit/>
          <w:trHeight w:hRule="exact" w:val="331"/>
        </w:trPr>
        <w:tc>
          <w:tcPr>
            <w:tcW w:w="2945" w:type="dxa"/>
            <w:tcBorders>
              <w:top w:val="single" w:sz="2" w:space="0" w:color="000000"/>
              <w:left w:val="single" w:sz="2" w:space="0" w:color="000000"/>
              <w:bottom w:val="single" w:sz="2" w:space="0" w:color="000000"/>
            </w:tcBorders>
            <w:shd w:val="clear" w:color="auto" w:fill="auto"/>
            <w:vAlign w:val="center"/>
          </w:tcPr>
          <w:p w14:paraId="176CD576"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lastRenderedPageBreak/>
              <w:t>TZL</w:t>
            </w:r>
          </w:p>
        </w:tc>
        <w:tc>
          <w:tcPr>
            <w:tcW w:w="2947" w:type="dxa"/>
            <w:tcBorders>
              <w:top w:val="single" w:sz="2" w:space="0" w:color="000000"/>
              <w:left w:val="single" w:sz="2" w:space="0" w:color="000000"/>
              <w:bottom w:val="single" w:sz="2" w:space="0" w:color="000000"/>
            </w:tcBorders>
            <w:shd w:val="clear" w:color="auto" w:fill="auto"/>
            <w:vAlign w:val="center"/>
          </w:tcPr>
          <w:p w14:paraId="4545D9E5"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TOC</w:t>
            </w:r>
          </w:p>
        </w:tc>
        <w:tc>
          <w:tcPr>
            <w:tcW w:w="3497" w:type="dxa"/>
            <w:vMerge/>
            <w:tcBorders>
              <w:left w:val="single" w:sz="2" w:space="0" w:color="000000"/>
              <w:bottom w:val="single" w:sz="2" w:space="0" w:color="000000"/>
              <w:right w:val="single" w:sz="2" w:space="0" w:color="000000"/>
            </w:tcBorders>
            <w:shd w:val="clear" w:color="auto" w:fill="auto"/>
          </w:tcPr>
          <w:p w14:paraId="23C511B7" w14:textId="77777777" w:rsidR="008F52C8" w:rsidRPr="0030358C" w:rsidRDefault="008F52C8" w:rsidP="00732453">
            <w:pPr>
              <w:widowControl w:val="0"/>
              <w:autoSpaceDE w:val="0"/>
              <w:snapToGrid w:val="0"/>
              <w:jc w:val="both"/>
              <w:rPr>
                <w:rFonts w:ascii="Arial" w:hAnsi="Arial" w:cs="Arial"/>
                <w:b/>
                <w:bCs/>
                <w:strike/>
                <w:sz w:val="22"/>
                <w:szCs w:val="22"/>
                <w:lang w:eastAsia="zh-CN"/>
              </w:rPr>
            </w:pPr>
          </w:p>
        </w:tc>
      </w:tr>
      <w:tr w:rsidR="00E40657" w14:paraId="72788A54" w14:textId="77777777" w:rsidTr="00732453">
        <w:trPr>
          <w:trHeight w:hRule="exact" w:val="340"/>
        </w:trPr>
        <w:tc>
          <w:tcPr>
            <w:tcW w:w="2945" w:type="dxa"/>
            <w:tcBorders>
              <w:top w:val="single" w:sz="2" w:space="0" w:color="000000"/>
              <w:left w:val="single" w:sz="2" w:space="0" w:color="000000"/>
              <w:bottom w:val="single" w:sz="2" w:space="0" w:color="000000"/>
            </w:tcBorders>
            <w:shd w:val="clear" w:color="auto" w:fill="auto"/>
            <w:vAlign w:val="center"/>
          </w:tcPr>
          <w:p w14:paraId="3369195A"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2947" w:type="dxa"/>
            <w:tcBorders>
              <w:top w:val="single" w:sz="2" w:space="0" w:color="000000"/>
              <w:left w:val="single" w:sz="2" w:space="0" w:color="000000"/>
              <w:bottom w:val="single" w:sz="2" w:space="0" w:color="000000"/>
            </w:tcBorders>
            <w:shd w:val="clear" w:color="auto" w:fill="auto"/>
            <w:vAlign w:val="center"/>
          </w:tcPr>
          <w:p w14:paraId="61FE6B9C"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34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73184F"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155FADA2" w14:textId="77777777" w:rsidR="008F52C8" w:rsidRPr="0030358C" w:rsidRDefault="008F52C8" w:rsidP="008F52C8">
      <w:pPr>
        <w:rPr>
          <w:rFonts w:ascii="Arial" w:hAnsi="Arial" w:cs="Arial"/>
          <w:b/>
          <w:strike/>
          <w:sz w:val="22"/>
          <w:szCs w:val="22"/>
          <w:lang w:eastAsia="zh-CN"/>
        </w:rPr>
      </w:pPr>
    </w:p>
    <w:p w14:paraId="1294CFBC" w14:textId="77777777" w:rsidR="008F52C8" w:rsidRPr="0030358C" w:rsidRDefault="008F52C8" w:rsidP="008F52C8">
      <w:pPr>
        <w:rPr>
          <w:rFonts w:ascii="Arial" w:hAnsi="Arial" w:cs="Arial"/>
          <w:b/>
          <w:strike/>
          <w:sz w:val="22"/>
          <w:szCs w:val="22"/>
          <w:lang w:eastAsia="zh-CN"/>
        </w:rPr>
      </w:pPr>
    </w:p>
    <w:p w14:paraId="71F21564"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4.4. Výroba keramických výrobků</w:t>
      </w:r>
    </w:p>
    <w:p w14:paraId="6F2BA313" w14:textId="77777777" w:rsidR="008F52C8" w:rsidRPr="0030358C" w:rsidRDefault="008F52C8" w:rsidP="008F52C8">
      <w:pPr>
        <w:rPr>
          <w:rFonts w:ascii="Arial" w:hAnsi="Arial" w:cs="Arial"/>
          <w:b/>
          <w:strike/>
          <w:sz w:val="22"/>
          <w:szCs w:val="22"/>
          <w:lang w:eastAsia="zh-CN"/>
        </w:rPr>
      </w:pPr>
    </w:p>
    <w:p w14:paraId="781BF294" w14:textId="77777777" w:rsidR="008F52C8" w:rsidRPr="0030358C" w:rsidRDefault="00000000" w:rsidP="008F52C8">
      <w:pPr>
        <w:keepNext/>
        <w:numPr>
          <w:ilvl w:val="2"/>
          <w:numId w:val="0"/>
        </w:numPr>
        <w:tabs>
          <w:tab w:val="num" w:pos="0"/>
        </w:tabs>
        <w:spacing w:before="60"/>
        <w:ind w:left="720"/>
        <w:jc w:val="both"/>
        <w:outlineLvl w:val="2"/>
        <w:rPr>
          <w:rFonts w:ascii="Arial" w:hAnsi="Arial" w:cs="Arial"/>
          <w:b/>
          <w:strike/>
          <w:sz w:val="22"/>
          <w:szCs w:val="22"/>
          <w:lang w:eastAsia="zh-CN"/>
        </w:rPr>
      </w:pPr>
      <w:r w:rsidRPr="0030358C">
        <w:rPr>
          <w:rFonts w:ascii="Arial" w:hAnsi="Arial" w:cs="Arial"/>
          <w:b/>
          <w:strike/>
          <w:sz w:val="22"/>
          <w:szCs w:val="22"/>
          <w:lang w:eastAsia="zh-CN"/>
        </w:rPr>
        <w:t xml:space="preserve">4.4.1. Výroba keramických výrobků vypalováním, zejména krytinových tašek, cihel, žáruvzdorných tvárnic, obkládaček, kameniny nebo porcelánu o projektované kapacitě větší než 75 t/den </w:t>
      </w:r>
      <w:r w:rsidRPr="0030358C">
        <w:rPr>
          <w:rFonts w:ascii="Arial" w:hAnsi="Arial" w:cs="Arial"/>
          <w:bCs/>
          <w:strike/>
          <w:sz w:val="22"/>
          <w:szCs w:val="22"/>
          <w:lang w:eastAsia="zh-CN"/>
        </w:rPr>
        <w:t>(kód 5.10. dle přílohy č. 2 zákona)</w:t>
      </w:r>
    </w:p>
    <w:tbl>
      <w:tblPr>
        <w:tblW w:w="0" w:type="auto"/>
        <w:tblInd w:w="-15" w:type="dxa"/>
        <w:tblLayout w:type="fixed"/>
        <w:tblLook w:val="0000" w:firstRow="0" w:lastRow="0" w:firstColumn="0" w:lastColumn="0" w:noHBand="0" w:noVBand="0"/>
      </w:tblPr>
      <w:tblGrid>
        <w:gridCol w:w="1459"/>
        <w:gridCol w:w="1459"/>
        <w:gridCol w:w="1462"/>
        <w:gridCol w:w="1458"/>
        <w:gridCol w:w="1466"/>
        <w:gridCol w:w="2296"/>
      </w:tblGrid>
      <w:tr w:rsidR="00E40657" w14:paraId="00657E01" w14:textId="77777777" w:rsidTr="00732453">
        <w:trPr>
          <w:cantSplit/>
          <w:trHeight w:hRule="exact" w:val="340"/>
        </w:trPr>
        <w:tc>
          <w:tcPr>
            <w:tcW w:w="7304" w:type="dxa"/>
            <w:gridSpan w:val="5"/>
            <w:tcBorders>
              <w:top w:val="single" w:sz="4" w:space="0" w:color="000000"/>
              <w:left w:val="single" w:sz="4" w:space="0" w:color="000000"/>
              <w:bottom w:val="single" w:sz="4" w:space="0" w:color="000000"/>
            </w:tcBorders>
            <w:shd w:val="clear" w:color="auto" w:fill="auto"/>
            <w:vAlign w:val="center"/>
          </w:tcPr>
          <w:p w14:paraId="6336208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2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8A0819"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004DA390" w14:textId="77777777" w:rsidTr="00732453">
        <w:trPr>
          <w:cantSplit/>
          <w:trHeight w:hRule="exact" w:val="340"/>
        </w:trPr>
        <w:tc>
          <w:tcPr>
            <w:tcW w:w="1459" w:type="dxa"/>
            <w:tcBorders>
              <w:left w:val="single" w:sz="4" w:space="0" w:color="000000"/>
              <w:bottom w:val="single" w:sz="4" w:space="0" w:color="000000"/>
            </w:tcBorders>
            <w:shd w:val="clear" w:color="auto" w:fill="auto"/>
            <w:vAlign w:val="center"/>
          </w:tcPr>
          <w:p w14:paraId="509F9473" w14:textId="77777777" w:rsidR="008F52C8" w:rsidRPr="0030358C" w:rsidRDefault="00000000" w:rsidP="00732453">
            <w:pPr>
              <w:snapToGrid w:val="0"/>
              <w:spacing w:line="240" w:lineRule="atLeast"/>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1459" w:type="dxa"/>
            <w:tcBorders>
              <w:left w:val="single" w:sz="4" w:space="0" w:color="000000"/>
              <w:bottom w:val="single" w:sz="4" w:space="0" w:color="000000"/>
            </w:tcBorders>
            <w:shd w:val="clear" w:color="auto" w:fill="auto"/>
            <w:vAlign w:val="center"/>
          </w:tcPr>
          <w:p w14:paraId="150EE070" w14:textId="77777777" w:rsidR="008F52C8" w:rsidRPr="0030358C" w:rsidRDefault="00000000" w:rsidP="00732453">
            <w:pPr>
              <w:snapToGrid w:val="0"/>
              <w:spacing w:line="240" w:lineRule="atLeast"/>
              <w:jc w:val="center"/>
              <w:rPr>
                <w:rFonts w:ascii="Arial" w:hAnsi="Arial" w:cs="Arial"/>
                <w:b/>
                <w:strike/>
                <w:sz w:val="22"/>
                <w:szCs w:val="22"/>
                <w:vertAlign w:val="subscript"/>
                <w:lang w:eastAsia="zh-CN"/>
              </w:rPr>
            </w:pPr>
            <w:r w:rsidRPr="0030358C">
              <w:rPr>
                <w:rFonts w:ascii="Arial" w:hAnsi="Arial" w:cs="Arial"/>
                <w:b/>
                <w:bCs/>
                <w:strike/>
                <w:sz w:val="22"/>
                <w:szCs w:val="22"/>
                <w:lang w:eastAsia="zh-CN"/>
              </w:rPr>
              <w:t>SO</w:t>
            </w:r>
            <w:r w:rsidRPr="0030358C">
              <w:rPr>
                <w:rFonts w:ascii="Arial" w:hAnsi="Arial" w:cs="Arial"/>
                <w:b/>
                <w:strike/>
                <w:sz w:val="22"/>
                <w:szCs w:val="22"/>
                <w:vertAlign w:val="subscript"/>
                <w:lang w:eastAsia="zh-CN"/>
              </w:rPr>
              <w:t>2</w:t>
            </w:r>
          </w:p>
        </w:tc>
        <w:tc>
          <w:tcPr>
            <w:tcW w:w="1462" w:type="dxa"/>
            <w:tcBorders>
              <w:left w:val="single" w:sz="4" w:space="0" w:color="000000"/>
              <w:bottom w:val="single" w:sz="4" w:space="0" w:color="000000"/>
            </w:tcBorders>
            <w:shd w:val="clear" w:color="auto" w:fill="auto"/>
            <w:vAlign w:val="center"/>
          </w:tcPr>
          <w:p w14:paraId="76C4F6AF" w14:textId="77777777" w:rsidR="008F52C8" w:rsidRPr="0030358C" w:rsidRDefault="00000000" w:rsidP="00732453">
            <w:pPr>
              <w:snapToGrid w:val="0"/>
              <w:spacing w:line="240" w:lineRule="atLeast"/>
              <w:jc w:val="center"/>
              <w:rPr>
                <w:rFonts w:ascii="Arial" w:hAnsi="Arial" w:cs="Arial"/>
                <w:b/>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strike/>
                <w:sz w:val="22"/>
                <w:szCs w:val="22"/>
                <w:vertAlign w:val="subscript"/>
                <w:lang w:eastAsia="zh-CN"/>
              </w:rPr>
              <w:t>x</w:t>
            </w:r>
          </w:p>
        </w:tc>
        <w:tc>
          <w:tcPr>
            <w:tcW w:w="1458" w:type="dxa"/>
            <w:tcBorders>
              <w:left w:val="single" w:sz="4" w:space="0" w:color="000000"/>
              <w:bottom w:val="single" w:sz="4" w:space="0" w:color="000000"/>
            </w:tcBorders>
            <w:shd w:val="clear" w:color="auto" w:fill="auto"/>
            <w:vAlign w:val="center"/>
          </w:tcPr>
          <w:p w14:paraId="7D389B25" w14:textId="77777777" w:rsidR="008F52C8" w:rsidRPr="0030358C" w:rsidRDefault="00000000" w:rsidP="00732453">
            <w:pPr>
              <w:snapToGrid w:val="0"/>
              <w:spacing w:line="240" w:lineRule="atLeast"/>
              <w:jc w:val="center"/>
              <w:rPr>
                <w:rFonts w:ascii="Arial" w:hAnsi="Arial" w:cs="Arial"/>
                <w:b/>
                <w:bCs/>
                <w:strike/>
                <w:sz w:val="22"/>
                <w:szCs w:val="22"/>
                <w:lang w:eastAsia="zh-CN"/>
              </w:rPr>
            </w:pPr>
            <w:r w:rsidRPr="0030358C">
              <w:rPr>
                <w:rFonts w:ascii="Arial" w:hAnsi="Arial" w:cs="Arial"/>
                <w:b/>
                <w:bCs/>
                <w:strike/>
                <w:sz w:val="22"/>
                <w:szCs w:val="22"/>
                <w:lang w:eastAsia="zh-CN"/>
              </w:rPr>
              <w:t>CO</w:t>
            </w:r>
          </w:p>
        </w:tc>
        <w:tc>
          <w:tcPr>
            <w:tcW w:w="1466" w:type="dxa"/>
            <w:tcBorders>
              <w:left w:val="single" w:sz="4" w:space="0" w:color="000000"/>
              <w:bottom w:val="single" w:sz="4" w:space="0" w:color="000000"/>
            </w:tcBorders>
            <w:shd w:val="clear" w:color="auto" w:fill="auto"/>
            <w:vAlign w:val="center"/>
          </w:tcPr>
          <w:p w14:paraId="7FA4D924" w14:textId="77777777" w:rsidR="008F52C8" w:rsidRPr="0030358C" w:rsidRDefault="00000000" w:rsidP="00732453">
            <w:pPr>
              <w:snapToGrid w:val="0"/>
              <w:spacing w:line="240" w:lineRule="atLeast"/>
              <w:jc w:val="center"/>
              <w:rPr>
                <w:rFonts w:ascii="Arial" w:hAnsi="Arial" w:cs="Arial"/>
                <w:b/>
                <w:strike/>
                <w:sz w:val="22"/>
                <w:szCs w:val="22"/>
                <w:lang w:eastAsia="zh-CN"/>
              </w:rPr>
            </w:pPr>
            <w:r w:rsidRPr="0030358C">
              <w:rPr>
                <w:rFonts w:ascii="Arial" w:hAnsi="Arial" w:cs="Arial"/>
                <w:b/>
                <w:bCs/>
                <w:strike/>
                <w:sz w:val="22"/>
                <w:szCs w:val="22"/>
                <w:lang w:eastAsia="zh-CN"/>
              </w:rPr>
              <w:t>TOC</w:t>
            </w:r>
          </w:p>
        </w:tc>
        <w:tc>
          <w:tcPr>
            <w:tcW w:w="22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2B4046" w14:textId="77777777" w:rsidR="008F52C8" w:rsidRPr="0030358C" w:rsidRDefault="008F52C8" w:rsidP="00732453">
            <w:pPr>
              <w:snapToGrid w:val="0"/>
              <w:rPr>
                <w:rFonts w:ascii="Arial" w:hAnsi="Arial" w:cs="Arial"/>
                <w:b/>
                <w:strike/>
                <w:sz w:val="22"/>
                <w:szCs w:val="22"/>
                <w:lang w:eastAsia="zh-CN"/>
              </w:rPr>
            </w:pPr>
          </w:p>
        </w:tc>
      </w:tr>
      <w:tr w:rsidR="00E40657" w14:paraId="41CDC1BF" w14:textId="77777777" w:rsidTr="00732453">
        <w:trPr>
          <w:trHeight w:hRule="exact" w:val="672"/>
        </w:trPr>
        <w:tc>
          <w:tcPr>
            <w:tcW w:w="1459" w:type="dxa"/>
            <w:tcBorders>
              <w:left w:val="single" w:sz="4" w:space="0" w:color="000000"/>
              <w:bottom w:val="single" w:sz="4" w:space="0" w:color="000000"/>
            </w:tcBorders>
            <w:shd w:val="clear" w:color="auto" w:fill="auto"/>
            <w:vAlign w:val="center"/>
          </w:tcPr>
          <w:p w14:paraId="3D886E9B" w14:textId="77777777" w:rsidR="008F52C8" w:rsidRPr="0030358C" w:rsidRDefault="00000000" w:rsidP="00732453">
            <w:pPr>
              <w:snapToGrid w:val="0"/>
              <w:spacing w:before="40" w:line="240" w:lineRule="atLeast"/>
              <w:jc w:val="center"/>
              <w:rPr>
                <w:rFonts w:ascii="Arial" w:hAnsi="Arial" w:cs="Arial"/>
                <w:bCs/>
                <w:strike/>
                <w:sz w:val="22"/>
                <w:szCs w:val="22"/>
                <w:lang w:eastAsia="zh-CN"/>
              </w:rPr>
            </w:pPr>
            <w:r w:rsidRPr="0030358C">
              <w:rPr>
                <w:rFonts w:ascii="Arial" w:hAnsi="Arial" w:cs="Arial"/>
                <w:bCs/>
                <w:strike/>
                <w:sz w:val="22"/>
                <w:szCs w:val="22"/>
                <w:lang w:eastAsia="zh-CN"/>
              </w:rPr>
              <w:t>150</w:t>
            </w:r>
          </w:p>
          <w:p w14:paraId="3607F8FE" w14:textId="77777777" w:rsidR="008F52C8" w:rsidRPr="0030358C" w:rsidRDefault="00000000" w:rsidP="00732453">
            <w:pPr>
              <w:snapToGrid w:val="0"/>
              <w:spacing w:before="40" w:line="240" w:lineRule="atLeast"/>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75</w:t>
            </w:r>
            <w:r w:rsidRPr="0030358C">
              <w:rPr>
                <w:rFonts w:ascii="Arial" w:hAnsi="Arial" w:cs="Arial"/>
                <w:bCs/>
                <w:strike/>
                <w:sz w:val="22"/>
                <w:szCs w:val="22"/>
                <w:vertAlign w:val="superscript"/>
                <w:lang w:eastAsia="zh-CN"/>
              </w:rPr>
              <w:t>1)</w:t>
            </w:r>
          </w:p>
        </w:tc>
        <w:tc>
          <w:tcPr>
            <w:tcW w:w="1459" w:type="dxa"/>
            <w:tcBorders>
              <w:left w:val="single" w:sz="4" w:space="0" w:color="000000"/>
              <w:bottom w:val="single" w:sz="4" w:space="0" w:color="000000"/>
            </w:tcBorders>
            <w:shd w:val="clear" w:color="auto" w:fill="auto"/>
            <w:vAlign w:val="center"/>
          </w:tcPr>
          <w:p w14:paraId="6AE7F17A" w14:textId="77777777" w:rsidR="008F52C8" w:rsidRPr="0030358C" w:rsidRDefault="00000000" w:rsidP="00732453">
            <w:pPr>
              <w:snapToGrid w:val="0"/>
              <w:spacing w:before="40" w:line="240" w:lineRule="atLeast"/>
              <w:jc w:val="center"/>
              <w:rPr>
                <w:rFonts w:ascii="Arial" w:hAnsi="Arial" w:cs="Arial"/>
                <w:bCs/>
                <w:strike/>
                <w:sz w:val="22"/>
                <w:szCs w:val="22"/>
                <w:lang w:eastAsia="zh-CN"/>
              </w:rPr>
            </w:pPr>
            <w:r w:rsidRPr="0030358C">
              <w:rPr>
                <w:rFonts w:ascii="Arial" w:hAnsi="Arial" w:cs="Arial"/>
                <w:bCs/>
                <w:strike/>
                <w:sz w:val="22"/>
                <w:szCs w:val="22"/>
                <w:lang w:eastAsia="zh-CN"/>
              </w:rPr>
              <w:t> 2500</w:t>
            </w:r>
          </w:p>
          <w:p w14:paraId="5F27C0EA" w14:textId="77777777" w:rsidR="008F52C8" w:rsidRPr="0030358C" w:rsidRDefault="00000000" w:rsidP="00732453">
            <w:pPr>
              <w:snapToGrid w:val="0"/>
              <w:spacing w:before="40" w:line="240" w:lineRule="atLeast"/>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1500</w:t>
            </w:r>
            <w:r w:rsidRPr="0030358C">
              <w:rPr>
                <w:rFonts w:ascii="Arial" w:hAnsi="Arial" w:cs="Arial"/>
                <w:bCs/>
                <w:strike/>
                <w:sz w:val="22"/>
                <w:szCs w:val="22"/>
                <w:vertAlign w:val="superscript"/>
                <w:lang w:eastAsia="zh-CN"/>
              </w:rPr>
              <w:t>1)</w:t>
            </w:r>
          </w:p>
        </w:tc>
        <w:tc>
          <w:tcPr>
            <w:tcW w:w="1462" w:type="dxa"/>
            <w:tcBorders>
              <w:left w:val="single" w:sz="4" w:space="0" w:color="000000"/>
              <w:bottom w:val="single" w:sz="4" w:space="0" w:color="000000"/>
            </w:tcBorders>
            <w:shd w:val="clear" w:color="auto" w:fill="auto"/>
            <w:vAlign w:val="center"/>
          </w:tcPr>
          <w:p w14:paraId="1320CAEB" w14:textId="77777777" w:rsidR="008F52C8" w:rsidRPr="0030358C" w:rsidRDefault="00000000" w:rsidP="00732453">
            <w:pPr>
              <w:snapToGrid w:val="0"/>
              <w:spacing w:before="40" w:line="240" w:lineRule="atLeast"/>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1458" w:type="dxa"/>
            <w:tcBorders>
              <w:left w:val="single" w:sz="4" w:space="0" w:color="000000"/>
              <w:bottom w:val="single" w:sz="4" w:space="0" w:color="000000"/>
            </w:tcBorders>
            <w:shd w:val="clear" w:color="auto" w:fill="auto"/>
            <w:vAlign w:val="center"/>
          </w:tcPr>
          <w:p w14:paraId="6C156126" w14:textId="77777777" w:rsidR="008F52C8" w:rsidRPr="0030358C" w:rsidRDefault="00000000" w:rsidP="00732453">
            <w:pPr>
              <w:snapToGrid w:val="0"/>
              <w:spacing w:before="40" w:line="240" w:lineRule="atLeast"/>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1466" w:type="dxa"/>
            <w:tcBorders>
              <w:left w:val="single" w:sz="4" w:space="0" w:color="000000"/>
              <w:bottom w:val="single" w:sz="4" w:space="0" w:color="000000"/>
            </w:tcBorders>
            <w:shd w:val="clear" w:color="auto" w:fill="auto"/>
            <w:vAlign w:val="center"/>
          </w:tcPr>
          <w:p w14:paraId="0B3CEF76" w14:textId="77777777" w:rsidR="008F52C8" w:rsidRPr="0030358C" w:rsidRDefault="00000000" w:rsidP="00732453">
            <w:pPr>
              <w:snapToGrid w:val="0"/>
              <w:spacing w:before="40" w:line="240" w:lineRule="atLeast"/>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2296" w:type="dxa"/>
            <w:tcBorders>
              <w:left w:val="single" w:sz="4" w:space="0" w:color="000000"/>
              <w:bottom w:val="single" w:sz="4" w:space="0" w:color="000000"/>
              <w:right w:val="single" w:sz="4" w:space="0" w:color="000000"/>
            </w:tcBorders>
            <w:shd w:val="clear" w:color="auto" w:fill="auto"/>
            <w:vAlign w:val="center"/>
          </w:tcPr>
          <w:p w14:paraId="3BBB30B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p w14:paraId="17480AA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1)</w:t>
            </w:r>
          </w:p>
        </w:tc>
      </w:tr>
    </w:tbl>
    <w:p w14:paraId="0D8E99C0" w14:textId="77777777" w:rsidR="008F52C8" w:rsidRPr="0030358C" w:rsidRDefault="00000000" w:rsidP="008F52C8">
      <w:pPr>
        <w:spacing w:before="60"/>
        <w:rPr>
          <w:rFonts w:ascii="Arial" w:hAnsi="Arial" w:cs="Arial"/>
          <w:iCs/>
          <w:strike/>
          <w:sz w:val="22"/>
          <w:szCs w:val="22"/>
          <w:lang w:eastAsia="zh-CN"/>
        </w:rPr>
      </w:pPr>
      <w:r w:rsidRPr="0030358C">
        <w:rPr>
          <w:rFonts w:ascii="Arial" w:hAnsi="Arial" w:cs="Arial"/>
          <w:strike/>
          <w:sz w:val="22"/>
          <w:szCs w:val="22"/>
          <w:lang w:eastAsia="zh-CN"/>
        </w:rPr>
        <w:t>Vysvětlivka</w:t>
      </w:r>
      <w:r w:rsidRPr="0030358C">
        <w:rPr>
          <w:rFonts w:ascii="Arial" w:hAnsi="Arial" w:cs="Arial"/>
          <w:iCs/>
          <w:strike/>
          <w:sz w:val="22"/>
          <w:szCs w:val="22"/>
          <w:lang w:eastAsia="zh-CN"/>
        </w:rPr>
        <w:t>: 1) Platí od 1. ledna 2020.</w:t>
      </w:r>
    </w:p>
    <w:p w14:paraId="32AD1AAA" w14:textId="77777777" w:rsidR="008F52C8" w:rsidRPr="0030358C" w:rsidRDefault="008F52C8" w:rsidP="008F52C8">
      <w:pPr>
        <w:spacing w:before="60"/>
        <w:ind w:left="720"/>
        <w:rPr>
          <w:rFonts w:ascii="Arial" w:hAnsi="Arial" w:cs="Arial"/>
          <w:b/>
          <w:iCs/>
          <w:strike/>
          <w:sz w:val="22"/>
          <w:szCs w:val="22"/>
          <w:lang w:eastAsia="zh-CN"/>
        </w:rPr>
      </w:pPr>
    </w:p>
    <w:p w14:paraId="35E4C346" w14:textId="77777777" w:rsidR="008F52C8" w:rsidRPr="0030358C" w:rsidRDefault="00000000" w:rsidP="008F52C8">
      <w:pPr>
        <w:spacing w:before="60"/>
        <w:jc w:val="both"/>
        <w:rPr>
          <w:rFonts w:ascii="Arial" w:hAnsi="Arial" w:cs="Arial"/>
          <w:bCs/>
          <w:strike/>
          <w:sz w:val="22"/>
          <w:szCs w:val="22"/>
          <w:lang w:eastAsia="zh-CN"/>
        </w:rPr>
      </w:pPr>
      <w:r w:rsidRPr="0030358C">
        <w:rPr>
          <w:rFonts w:ascii="Arial" w:hAnsi="Arial" w:cs="Arial"/>
          <w:b/>
          <w:strike/>
          <w:sz w:val="22"/>
          <w:szCs w:val="22"/>
          <w:lang w:eastAsia="zh-CN"/>
        </w:rPr>
        <w:t>4.5. Kamenolomy, povrchové doly paliv nebo jiných nerostných surovin, zpracování kamene, paliv nebo jiných nerostných surovin (především těžba, vrtání, odstřel, bagrování, třídění, drcení a doprava), výroba nebo zpracování umělého kamene, ušlechtilá kamenická výroba, příprava stavebních hmot a betonu, recyklační linky stavebních hmot, o celkové projektované kapacitě vyšší než 25 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 xml:space="preserve"> za den. </w:t>
      </w:r>
      <w:r w:rsidRPr="0030358C">
        <w:rPr>
          <w:rFonts w:ascii="Arial" w:hAnsi="Arial" w:cs="Arial"/>
          <w:bCs/>
          <w:strike/>
          <w:sz w:val="22"/>
          <w:szCs w:val="22"/>
          <w:lang w:eastAsia="zh-CN"/>
        </w:rPr>
        <w:t>(kód 5.11. dle přílohy č. 2 zákona)</w:t>
      </w:r>
    </w:p>
    <w:p w14:paraId="24243444" w14:textId="77777777" w:rsidR="008F52C8" w:rsidRPr="0030358C" w:rsidRDefault="008F52C8" w:rsidP="008F52C8">
      <w:pPr>
        <w:widowControl w:val="0"/>
        <w:numPr>
          <w:ilvl w:val="0"/>
          <w:numId w:val="73"/>
        </w:numPr>
        <w:suppressAutoHyphens/>
        <w:autoSpaceDE w:val="0"/>
        <w:jc w:val="both"/>
        <w:rPr>
          <w:rFonts w:ascii="Arial" w:hAnsi="Arial" w:cs="Arial"/>
          <w:b/>
          <w:strike/>
          <w:sz w:val="22"/>
          <w:szCs w:val="22"/>
          <w:lang w:eastAsia="zh-CN"/>
        </w:rPr>
      </w:pPr>
    </w:p>
    <w:p w14:paraId="1BF5D465" w14:textId="77777777" w:rsidR="008F52C8" w:rsidRPr="0030358C" w:rsidRDefault="00000000" w:rsidP="008F52C8">
      <w:pPr>
        <w:widowControl w:val="0"/>
        <w:numPr>
          <w:ilvl w:val="0"/>
          <w:numId w:val="73"/>
        </w:numPr>
        <w:suppressAutoHyphens/>
        <w:autoSpaceDE w:val="0"/>
        <w:jc w:val="both"/>
        <w:rPr>
          <w:rFonts w:ascii="Arial" w:hAnsi="Arial" w:cs="Arial"/>
          <w:bCs/>
          <w:strike/>
          <w:sz w:val="22"/>
          <w:szCs w:val="22"/>
          <w:lang w:eastAsia="zh-CN"/>
        </w:rPr>
      </w:pPr>
      <w:r w:rsidRPr="0030358C">
        <w:rPr>
          <w:rFonts w:ascii="Arial" w:hAnsi="Arial" w:cs="Arial"/>
          <w:bCs/>
          <w:strike/>
          <w:sz w:val="22"/>
          <w:szCs w:val="22"/>
          <w:lang w:eastAsia="zh-CN"/>
        </w:rPr>
        <w:t>Technické podmínky provozu:</w:t>
      </w:r>
    </w:p>
    <w:p w14:paraId="40E1E94E" w14:textId="77777777" w:rsidR="008F52C8" w:rsidRPr="0030358C" w:rsidRDefault="00000000" w:rsidP="008F52C8">
      <w:pPr>
        <w:widowControl w:val="0"/>
        <w:numPr>
          <w:ilvl w:val="0"/>
          <w:numId w:val="73"/>
        </w:numPr>
        <w:suppressAutoHyphens/>
        <w:autoSpaceDE w:val="0"/>
        <w:jc w:val="both"/>
        <w:rPr>
          <w:rFonts w:ascii="Arial" w:hAnsi="Arial" w:cs="Arial"/>
          <w:bCs/>
          <w:strike/>
          <w:sz w:val="22"/>
          <w:szCs w:val="22"/>
          <w:lang w:eastAsia="zh-CN"/>
        </w:rPr>
      </w:pPr>
      <w:r w:rsidRPr="0030358C">
        <w:rPr>
          <w:rFonts w:ascii="Arial" w:hAnsi="Arial" w:cs="Arial"/>
          <w:bCs/>
          <w:strike/>
          <w:sz w:val="22"/>
          <w:szCs w:val="22"/>
          <w:lang w:eastAsia="zh-CN"/>
        </w:rPr>
        <w:t>1. Musí být snižovány emise tuhých znečišťujících látek na všech technologických uzlech včetně skladování a přepravy materiálu, kde dochází k emisím tuhých znečišťujících látek do ovzduší. Lze použít například:</w:t>
      </w:r>
    </w:p>
    <w:p w14:paraId="35C01B2C" w14:textId="77777777" w:rsidR="008F52C8" w:rsidRPr="0030358C" w:rsidRDefault="00000000" w:rsidP="008F52C8">
      <w:pPr>
        <w:widowControl w:val="0"/>
        <w:numPr>
          <w:ilvl w:val="0"/>
          <w:numId w:val="178"/>
        </w:numPr>
        <w:tabs>
          <w:tab w:val="left" w:pos="567"/>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zakrytování třídících a drtících zařízení a všech dopravních cest,</w:t>
      </w:r>
    </w:p>
    <w:p w14:paraId="25DF258D" w14:textId="77777777" w:rsidR="008F52C8" w:rsidRPr="0030358C" w:rsidRDefault="00000000" w:rsidP="008F52C8">
      <w:pPr>
        <w:widowControl w:val="0"/>
        <w:numPr>
          <w:ilvl w:val="0"/>
          <w:numId w:val="178"/>
        </w:numPr>
        <w:tabs>
          <w:tab w:val="left" w:pos="567"/>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instalaci zařízení k omezování emisí - odprašovací, mlžící, pěnové, skrápěcí zařízení,</w:t>
      </w:r>
    </w:p>
    <w:p w14:paraId="7CB05F65" w14:textId="77777777" w:rsidR="008F52C8" w:rsidRPr="0030358C" w:rsidRDefault="00000000" w:rsidP="008F52C8">
      <w:pPr>
        <w:widowControl w:val="0"/>
        <w:numPr>
          <w:ilvl w:val="0"/>
          <w:numId w:val="178"/>
        </w:numPr>
        <w:tabs>
          <w:tab w:val="left" w:pos="567"/>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opatření pro skladování prašných materiálů - uzavřené skladovací prostory, umisťování venkovních skládek na závětrnou stranu, jejich skrápění a budování zástěn,</w:t>
      </w:r>
    </w:p>
    <w:p w14:paraId="1548A958" w14:textId="77777777" w:rsidR="008F52C8" w:rsidRPr="0030358C" w:rsidRDefault="00000000" w:rsidP="008F52C8">
      <w:pPr>
        <w:widowControl w:val="0"/>
        <w:numPr>
          <w:ilvl w:val="0"/>
          <w:numId w:val="178"/>
        </w:numPr>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opatření pro přepravu materiálů - pravidelná očista a skrápění komunikací a manipulačních ploch, omezení rychlosti pohybu vozidel v areálu zdroje, zakrývání nákladních prostorů expedujících dopravních prostředků.</w:t>
      </w:r>
    </w:p>
    <w:p w14:paraId="1F954DFE" w14:textId="77777777" w:rsidR="008F52C8" w:rsidRPr="0030358C" w:rsidRDefault="008F52C8" w:rsidP="008F52C8">
      <w:pPr>
        <w:widowControl w:val="0"/>
        <w:tabs>
          <w:tab w:val="left" w:pos="567"/>
        </w:tabs>
        <w:autoSpaceDE w:val="0"/>
        <w:jc w:val="both"/>
        <w:rPr>
          <w:rFonts w:ascii="Arial" w:hAnsi="Arial" w:cs="Arial"/>
          <w:bCs/>
          <w:strike/>
          <w:sz w:val="22"/>
          <w:szCs w:val="22"/>
          <w:lang w:eastAsia="zh-CN"/>
        </w:rPr>
      </w:pPr>
    </w:p>
    <w:p w14:paraId="3DDDC584" w14:textId="77777777" w:rsidR="008F52C8" w:rsidRPr="0030358C" w:rsidRDefault="00000000" w:rsidP="008F52C8">
      <w:pPr>
        <w:widowControl w:val="0"/>
        <w:autoSpaceDE w:val="0"/>
        <w:jc w:val="both"/>
        <w:rPr>
          <w:rFonts w:ascii="Arial" w:hAnsi="Arial" w:cs="Arial"/>
          <w:bCs/>
          <w:strike/>
          <w:sz w:val="22"/>
          <w:szCs w:val="22"/>
          <w:lang w:eastAsia="zh-CN"/>
        </w:rPr>
      </w:pPr>
      <w:r w:rsidRPr="0030358C">
        <w:rPr>
          <w:rFonts w:ascii="Arial" w:hAnsi="Arial" w:cs="Arial"/>
          <w:bCs/>
          <w:strike/>
          <w:sz w:val="22"/>
          <w:szCs w:val="22"/>
          <w:lang w:eastAsia="zh-CN"/>
        </w:rPr>
        <w:t xml:space="preserve">2. Při těžbě a zpracování kameniva s obsahem azbestových vláken dodržovat od 1. 1. 2020 kromě výše uvedených podmínek následující postupy: </w:t>
      </w:r>
    </w:p>
    <w:p w14:paraId="7FEF344A"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používání pouze takových drtících linek, které umožňují instalaci odprašovacích zařízení,</w:t>
      </w:r>
    </w:p>
    <w:p w14:paraId="16B5E4D6"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vrtací zařízení pro přípravu odstřelu musí být vybaveno zařízením pro odsátí a odloučení vrtaného prachu a toto zařízení musí být během vrtacích prací v provozu,</w:t>
      </w:r>
    </w:p>
    <w:p w14:paraId="5B189339"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na dopravních pásech může být dopravováno pouze skrápěné kamenivo, na volných (nezakrytých a neodsávaných) výsypkách z dopravních pásů musí být dodržována maximální výška volného pádu skrápěného kameniva 2 metry a u frakce 0/2 mm výška 1 metr,</w:t>
      </w:r>
    </w:p>
    <w:p w14:paraId="58D4D55C"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prašné úsypy z pásových dopravníků a technologických zařízení nesmí být vraceny zpět do procesu drcení a třídění kameniva,</w:t>
      </w:r>
    </w:p>
    <w:p w14:paraId="780A1A96"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frakce 0/2 mm musí být skladována v silech, popřípadě boxech uzavřených minimálně ze třech stran,</w:t>
      </w:r>
    </w:p>
    <w:p w14:paraId="36AAE979"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Cs/>
          <w:strike/>
          <w:sz w:val="22"/>
          <w:szCs w:val="22"/>
          <w:lang w:eastAsia="zh-CN"/>
        </w:rPr>
      </w:pPr>
      <w:r w:rsidRPr="0030358C">
        <w:rPr>
          <w:rFonts w:ascii="Arial" w:hAnsi="Arial" w:cs="Arial"/>
          <w:bCs/>
          <w:strike/>
          <w:sz w:val="22"/>
          <w:szCs w:val="22"/>
          <w:lang w:eastAsia="zh-CN"/>
        </w:rPr>
        <w:t>nákladní automobily vyjíždějící z areálu kamenolomu musí být před odjezdem očištěny tlakovou vodou nebo otřesem (roštové pásy, štěrková lože).</w:t>
      </w:r>
    </w:p>
    <w:p w14:paraId="55CB9FE5" w14:textId="77777777" w:rsidR="008F52C8" w:rsidRPr="0030358C" w:rsidRDefault="008F52C8" w:rsidP="008F52C8">
      <w:pPr>
        <w:widowControl w:val="0"/>
        <w:autoSpaceDE w:val="0"/>
        <w:jc w:val="both"/>
        <w:rPr>
          <w:rFonts w:ascii="Arial" w:hAnsi="Arial" w:cs="Arial"/>
          <w:bCs/>
          <w:strike/>
          <w:sz w:val="22"/>
          <w:szCs w:val="22"/>
          <w:lang w:eastAsia="zh-CN"/>
        </w:rPr>
      </w:pPr>
    </w:p>
    <w:p w14:paraId="7FC20554" w14:textId="77777777" w:rsidR="008F52C8" w:rsidRPr="0030358C" w:rsidRDefault="00000000" w:rsidP="008F52C8">
      <w:pPr>
        <w:widowControl w:val="0"/>
        <w:autoSpaceDE w:val="0"/>
        <w:jc w:val="both"/>
        <w:rPr>
          <w:rFonts w:ascii="Arial" w:hAnsi="Arial" w:cs="Arial"/>
          <w:bCs/>
          <w:strike/>
          <w:sz w:val="22"/>
          <w:szCs w:val="22"/>
          <w:lang w:eastAsia="zh-CN"/>
        </w:rPr>
      </w:pPr>
      <w:r w:rsidRPr="0030358C">
        <w:rPr>
          <w:rFonts w:ascii="Arial" w:hAnsi="Arial" w:cs="Arial"/>
          <w:bCs/>
          <w:strike/>
          <w:sz w:val="22"/>
          <w:szCs w:val="22"/>
          <w:lang w:eastAsia="zh-CN"/>
        </w:rPr>
        <w:t xml:space="preserve">Provozovatel stacionárního zdroje zjišťuje úroveň znečišťování podle § 6 odst. 1 písm. a) </w:t>
      </w:r>
      <w:r w:rsidRPr="0030358C">
        <w:rPr>
          <w:rFonts w:ascii="Arial" w:hAnsi="Arial" w:cs="Arial"/>
          <w:bCs/>
          <w:strike/>
          <w:sz w:val="22"/>
          <w:szCs w:val="22"/>
          <w:lang w:eastAsia="zh-CN"/>
        </w:rPr>
        <w:lastRenderedPageBreak/>
        <w:t>zákona výpočtem. Tímto ustanovením není dotčena povinnost provádět zjišťování úrovně znečišťování měřením, pokud je tak stanoveno v povolení provozu.</w:t>
      </w:r>
    </w:p>
    <w:p w14:paraId="5153725B" w14:textId="77777777" w:rsidR="008F52C8" w:rsidRPr="0030358C" w:rsidRDefault="008F52C8" w:rsidP="008F52C8">
      <w:pPr>
        <w:widowControl w:val="0"/>
        <w:autoSpaceDE w:val="0"/>
        <w:ind w:left="284"/>
        <w:jc w:val="both"/>
        <w:rPr>
          <w:rFonts w:ascii="Arial" w:hAnsi="Arial" w:cs="Arial"/>
          <w:b/>
          <w:strike/>
          <w:sz w:val="22"/>
          <w:szCs w:val="22"/>
          <w:lang w:eastAsia="zh-CN"/>
        </w:rPr>
      </w:pPr>
    </w:p>
    <w:p w14:paraId="0956FD3B" w14:textId="77777777" w:rsidR="008F52C8" w:rsidRPr="0030358C" w:rsidRDefault="008F52C8" w:rsidP="008F52C8">
      <w:pPr>
        <w:rPr>
          <w:rFonts w:ascii="Arial" w:hAnsi="Arial" w:cs="Arial"/>
          <w:b/>
          <w:strike/>
          <w:sz w:val="22"/>
          <w:szCs w:val="22"/>
          <w:lang w:eastAsia="zh-CN"/>
        </w:rPr>
      </w:pPr>
    </w:p>
    <w:p w14:paraId="693D70AF" w14:textId="77777777" w:rsidR="008F52C8" w:rsidRPr="0030358C" w:rsidRDefault="00000000" w:rsidP="008F52C8">
      <w:pPr>
        <w:keepNext/>
        <w:numPr>
          <w:ilvl w:val="1"/>
          <w:numId w:val="0"/>
        </w:numPr>
        <w:tabs>
          <w:tab w:val="num" w:pos="0"/>
        </w:tabs>
        <w:suppressAutoHyphens/>
        <w:spacing w:before="60"/>
        <w:ind w:left="426" w:hanging="426"/>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4.6. Obalovny živičných směsí a mísírny živic, recyklace živičných povrchů </w:t>
      </w:r>
      <w:r w:rsidRPr="0030358C">
        <w:rPr>
          <w:rFonts w:ascii="Arial" w:hAnsi="Arial" w:cs="Arial"/>
          <w:bCs/>
          <w:strike/>
          <w:sz w:val="22"/>
          <w:szCs w:val="22"/>
          <w:lang w:eastAsia="zh-CN"/>
        </w:rPr>
        <w:t>(kód 5.14. dle přílohy č. 2 zákona)</w:t>
      </w:r>
    </w:p>
    <w:tbl>
      <w:tblPr>
        <w:tblW w:w="0" w:type="auto"/>
        <w:tblInd w:w="-15" w:type="dxa"/>
        <w:tblLayout w:type="fixed"/>
        <w:tblCellMar>
          <w:left w:w="70" w:type="dxa"/>
          <w:right w:w="70" w:type="dxa"/>
        </w:tblCellMar>
        <w:tblLook w:val="0000" w:firstRow="0" w:lastRow="0" w:firstColumn="0" w:lastColumn="0" w:noHBand="0" w:noVBand="0"/>
      </w:tblPr>
      <w:tblGrid>
        <w:gridCol w:w="1907"/>
        <w:gridCol w:w="1906"/>
        <w:gridCol w:w="1842"/>
        <w:gridCol w:w="1707"/>
        <w:gridCol w:w="2162"/>
      </w:tblGrid>
      <w:tr w:rsidR="00E40657" w14:paraId="71C441CB" w14:textId="77777777" w:rsidTr="00732453">
        <w:trPr>
          <w:cantSplit/>
          <w:trHeight w:val="270"/>
        </w:trPr>
        <w:tc>
          <w:tcPr>
            <w:tcW w:w="5655" w:type="dxa"/>
            <w:gridSpan w:val="3"/>
            <w:tcBorders>
              <w:top w:val="single" w:sz="4" w:space="0" w:color="000000"/>
              <w:left w:val="single" w:sz="4" w:space="0" w:color="000000"/>
              <w:bottom w:val="single" w:sz="4" w:space="0" w:color="000000"/>
            </w:tcBorders>
            <w:shd w:val="clear" w:color="auto" w:fill="auto"/>
          </w:tcPr>
          <w:p w14:paraId="7518E8E0"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707" w:type="dxa"/>
            <w:vMerge w:val="restart"/>
            <w:tcBorders>
              <w:top w:val="single" w:sz="4" w:space="0" w:color="000000"/>
              <w:left w:val="single" w:sz="4" w:space="0" w:color="000000"/>
              <w:bottom w:val="single" w:sz="4" w:space="0" w:color="000000"/>
            </w:tcBorders>
            <w:shd w:val="clear" w:color="auto" w:fill="auto"/>
          </w:tcPr>
          <w:p w14:paraId="57AACA84" w14:textId="77777777" w:rsidR="008F52C8" w:rsidRPr="0030358C" w:rsidRDefault="00000000" w:rsidP="00732453">
            <w:pPr>
              <w:keepNext/>
              <w:keepLines/>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O</w:t>
            </w:r>
            <w:r w:rsidRPr="0030358C">
              <w:rPr>
                <w:rFonts w:ascii="Arial" w:hAnsi="Arial" w:cs="Arial"/>
                <w:b/>
                <w:bCs/>
                <w:strike/>
                <w:sz w:val="22"/>
                <w:szCs w:val="22"/>
                <w:vertAlign w:val="subscript"/>
                <w:lang w:eastAsia="zh-CN"/>
              </w:rPr>
              <w:t>2R</w:t>
            </w:r>
            <w:r w:rsidRPr="0030358C">
              <w:rPr>
                <w:rFonts w:ascii="Arial" w:hAnsi="Arial" w:cs="Arial"/>
                <w:b/>
                <w:bCs/>
                <w:strike/>
                <w:sz w:val="22"/>
                <w:szCs w:val="22"/>
                <w:lang w:eastAsia="zh-CN"/>
              </w:rPr>
              <w:t xml:space="preserve"> [%]</w:t>
            </w:r>
          </w:p>
        </w:tc>
        <w:tc>
          <w:tcPr>
            <w:tcW w:w="21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280E95" w14:textId="77777777" w:rsidR="008F52C8" w:rsidRPr="0030358C" w:rsidRDefault="00000000" w:rsidP="00732453">
            <w:pPr>
              <w:keepNext/>
              <w:keepLines/>
              <w:snapToGrid w:val="0"/>
              <w:jc w:val="center"/>
              <w:rPr>
                <w:rFonts w:ascii="Arial" w:hAnsi="Arial" w:cs="Arial"/>
                <w:b/>
                <w:strike/>
                <w:sz w:val="22"/>
                <w:szCs w:val="22"/>
                <w:lang w:eastAsia="cs-CZ"/>
              </w:rPr>
            </w:pPr>
            <w:r w:rsidRPr="0030358C">
              <w:rPr>
                <w:rFonts w:ascii="Arial" w:hAnsi="Arial" w:cs="Arial"/>
                <w:b/>
                <w:strike/>
                <w:sz w:val="22"/>
                <w:szCs w:val="22"/>
                <w:lang w:eastAsia="cs-CZ"/>
              </w:rPr>
              <w:t>Vztažné podmínky</w:t>
            </w:r>
          </w:p>
        </w:tc>
      </w:tr>
      <w:tr w:rsidR="00E40657" w14:paraId="44563E5B" w14:textId="77777777" w:rsidTr="00732453">
        <w:trPr>
          <w:cantSplit/>
          <w:trHeight w:val="270"/>
        </w:trPr>
        <w:tc>
          <w:tcPr>
            <w:tcW w:w="1907" w:type="dxa"/>
            <w:tcBorders>
              <w:top w:val="single" w:sz="4" w:space="0" w:color="000000"/>
              <w:left w:val="single" w:sz="4" w:space="0" w:color="000000"/>
              <w:bottom w:val="single" w:sz="4" w:space="0" w:color="000000"/>
            </w:tcBorders>
            <w:shd w:val="clear" w:color="auto" w:fill="auto"/>
          </w:tcPr>
          <w:p w14:paraId="111CF685" w14:textId="77777777" w:rsidR="008F52C8" w:rsidRPr="0030358C" w:rsidRDefault="00000000" w:rsidP="00732453">
            <w:pPr>
              <w:keepNext/>
              <w:keepLines/>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TZL</w:t>
            </w:r>
          </w:p>
        </w:tc>
        <w:tc>
          <w:tcPr>
            <w:tcW w:w="1906" w:type="dxa"/>
            <w:tcBorders>
              <w:top w:val="single" w:sz="4" w:space="0" w:color="000000"/>
              <w:left w:val="single" w:sz="4" w:space="0" w:color="000000"/>
              <w:bottom w:val="single" w:sz="4" w:space="0" w:color="000000"/>
            </w:tcBorders>
            <w:shd w:val="clear" w:color="auto" w:fill="auto"/>
          </w:tcPr>
          <w:p w14:paraId="1F2A03D7" w14:textId="77777777" w:rsidR="008F52C8" w:rsidRPr="0030358C" w:rsidRDefault="00000000" w:rsidP="00732453">
            <w:pPr>
              <w:keepNext/>
              <w:keepLines/>
              <w:snapToGrid w:val="0"/>
              <w:jc w:val="center"/>
              <w:rPr>
                <w:rFonts w:ascii="Arial" w:hAnsi="Arial" w:cs="Arial"/>
                <w:b/>
                <w:strike/>
                <w:sz w:val="22"/>
                <w:szCs w:val="22"/>
                <w:vertAlign w:val="subscript"/>
                <w:lang w:eastAsia="zh-CN"/>
              </w:rPr>
            </w:pPr>
            <w:r w:rsidRPr="0030358C">
              <w:rPr>
                <w:rFonts w:ascii="Arial" w:hAnsi="Arial" w:cs="Arial"/>
                <w:b/>
                <w:bCs/>
                <w:strike/>
                <w:sz w:val="22"/>
                <w:szCs w:val="22"/>
                <w:lang w:eastAsia="zh-CN"/>
              </w:rPr>
              <w:t>NO</w:t>
            </w:r>
            <w:r w:rsidRPr="0030358C">
              <w:rPr>
                <w:rFonts w:ascii="Arial" w:hAnsi="Arial" w:cs="Arial"/>
                <w:b/>
                <w:strike/>
                <w:sz w:val="22"/>
                <w:szCs w:val="22"/>
                <w:vertAlign w:val="subscript"/>
                <w:lang w:eastAsia="zh-CN"/>
              </w:rPr>
              <w:t>x</w:t>
            </w:r>
          </w:p>
        </w:tc>
        <w:tc>
          <w:tcPr>
            <w:tcW w:w="1842" w:type="dxa"/>
            <w:tcBorders>
              <w:top w:val="single" w:sz="4" w:space="0" w:color="000000"/>
              <w:left w:val="single" w:sz="4" w:space="0" w:color="000000"/>
              <w:bottom w:val="single" w:sz="4" w:space="0" w:color="000000"/>
            </w:tcBorders>
            <w:shd w:val="clear" w:color="auto" w:fill="auto"/>
          </w:tcPr>
          <w:p w14:paraId="29E21970" w14:textId="77777777" w:rsidR="008F52C8" w:rsidRPr="0030358C" w:rsidRDefault="00000000" w:rsidP="00732453">
            <w:pPr>
              <w:keepNext/>
              <w:keepLines/>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CO</w:t>
            </w:r>
          </w:p>
        </w:tc>
        <w:tc>
          <w:tcPr>
            <w:tcW w:w="1707" w:type="dxa"/>
            <w:vMerge/>
            <w:tcBorders>
              <w:top w:val="single" w:sz="4" w:space="0" w:color="000000"/>
              <w:left w:val="single" w:sz="4" w:space="0" w:color="000000"/>
              <w:bottom w:val="single" w:sz="4" w:space="0" w:color="000000"/>
            </w:tcBorders>
            <w:shd w:val="clear" w:color="auto" w:fill="auto"/>
          </w:tcPr>
          <w:p w14:paraId="61F6985B" w14:textId="77777777" w:rsidR="008F52C8" w:rsidRPr="0030358C" w:rsidRDefault="008F52C8" w:rsidP="00732453">
            <w:pPr>
              <w:keepNext/>
              <w:keepLines/>
              <w:snapToGrid w:val="0"/>
              <w:jc w:val="center"/>
              <w:rPr>
                <w:rFonts w:ascii="Arial" w:hAnsi="Arial" w:cs="Arial"/>
                <w:b/>
                <w:bCs/>
                <w:strike/>
                <w:sz w:val="22"/>
                <w:szCs w:val="22"/>
                <w:lang w:eastAsia="zh-CN"/>
              </w:rPr>
            </w:pPr>
          </w:p>
        </w:tc>
        <w:tc>
          <w:tcPr>
            <w:tcW w:w="2162" w:type="dxa"/>
            <w:vMerge/>
            <w:tcBorders>
              <w:top w:val="single" w:sz="4" w:space="0" w:color="000000"/>
              <w:left w:val="single" w:sz="4" w:space="0" w:color="000000"/>
              <w:bottom w:val="single" w:sz="4" w:space="0" w:color="000000"/>
              <w:right w:val="single" w:sz="4" w:space="0" w:color="000000"/>
            </w:tcBorders>
            <w:shd w:val="clear" w:color="auto" w:fill="auto"/>
          </w:tcPr>
          <w:p w14:paraId="4C3FBD84" w14:textId="77777777" w:rsidR="008F52C8" w:rsidRPr="0030358C" w:rsidRDefault="008F52C8" w:rsidP="00732453">
            <w:pPr>
              <w:keepNext/>
              <w:keepLines/>
              <w:snapToGrid w:val="0"/>
              <w:jc w:val="center"/>
              <w:rPr>
                <w:rFonts w:ascii="Arial" w:hAnsi="Arial" w:cs="Arial"/>
                <w:b/>
                <w:bCs/>
                <w:strike/>
                <w:sz w:val="22"/>
                <w:szCs w:val="22"/>
                <w:lang w:eastAsia="zh-CN"/>
              </w:rPr>
            </w:pPr>
          </w:p>
        </w:tc>
      </w:tr>
      <w:tr w:rsidR="00E40657" w14:paraId="21948037" w14:textId="77777777" w:rsidTr="00732453">
        <w:trPr>
          <w:trHeight w:val="285"/>
        </w:trPr>
        <w:tc>
          <w:tcPr>
            <w:tcW w:w="1907" w:type="dxa"/>
            <w:tcBorders>
              <w:top w:val="single" w:sz="4" w:space="0" w:color="000000"/>
              <w:left w:val="single" w:sz="4" w:space="0" w:color="000000"/>
              <w:bottom w:val="single" w:sz="4" w:space="0" w:color="000000"/>
            </w:tcBorders>
            <w:shd w:val="clear" w:color="auto" w:fill="auto"/>
          </w:tcPr>
          <w:p w14:paraId="3BA2F4E3"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1906" w:type="dxa"/>
            <w:tcBorders>
              <w:top w:val="single" w:sz="4" w:space="0" w:color="000000"/>
              <w:left w:val="single" w:sz="4" w:space="0" w:color="000000"/>
              <w:bottom w:val="single" w:sz="4" w:space="0" w:color="000000"/>
            </w:tcBorders>
            <w:shd w:val="clear" w:color="auto" w:fill="auto"/>
          </w:tcPr>
          <w:p w14:paraId="75997B68"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1842" w:type="dxa"/>
            <w:tcBorders>
              <w:top w:val="single" w:sz="4" w:space="0" w:color="000000"/>
              <w:left w:val="single" w:sz="4" w:space="0" w:color="000000"/>
              <w:bottom w:val="single" w:sz="4" w:space="0" w:color="000000"/>
            </w:tcBorders>
            <w:shd w:val="clear" w:color="auto" w:fill="auto"/>
          </w:tcPr>
          <w:p w14:paraId="1C2047E9"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800</w:t>
            </w:r>
          </w:p>
        </w:tc>
        <w:tc>
          <w:tcPr>
            <w:tcW w:w="1707" w:type="dxa"/>
            <w:tcBorders>
              <w:top w:val="single" w:sz="4" w:space="0" w:color="000000"/>
              <w:left w:val="single" w:sz="4" w:space="0" w:color="000000"/>
              <w:bottom w:val="single" w:sz="4" w:space="0" w:color="000000"/>
            </w:tcBorders>
            <w:shd w:val="clear" w:color="auto" w:fill="auto"/>
          </w:tcPr>
          <w:p w14:paraId="1D736454"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17</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EDCA435"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5907744D" w14:textId="77777777" w:rsidR="008F52C8" w:rsidRPr="0030358C" w:rsidRDefault="00000000" w:rsidP="008F52C8">
      <w:pPr>
        <w:spacing w:before="60"/>
        <w:rPr>
          <w:rFonts w:ascii="Arial" w:hAnsi="Arial" w:cs="Arial"/>
          <w:i/>
          <w:strike/>
          <w:sz w:val="22"/>
          <w:szCs w:val="22"/>
          <w:lang w:eastAsia="zh-CN"/>
        </w:rPr>
      </w:pPr>
      <w:r w:rsidRPr="0030358C">
        <w:rPr>
          <w:rFonts w:ascii="Arial" w:hAnsi="Arial" w:cs="Arial"/>
          <w:strike/>
          <w:sz w:val="22"/>
          <w:szCs w:val="22"/>
          <w:lang w:eastAsia="zh-CN"/>
        </w:rPr>
        <w:t>Vysvětlivka</w:t>
      </w:r>
      <w:r w:rsidRPr="0030358C">
        <w:rPr>
          <w:rFonts w:ascii="Arial" w:hAnsi="Arial" w:cs="Arial"/>
          <w:iCs/>
          <w:strike/>
          <w:sz w:val="22"/>
          <w:szCs w:val="22"/>
          <w:lang w:eastAsia="zh-CN"/>
        </w:rPr>
        <w:t>: 1) Platí pouze pro obalovny.</w:t>
      </w:r>
    </w:p>
    <w:p w14:paraId="0E05A244" w14:textId="77777777" w:rsidR="008F52C8" w:rsidRPr="0030358C" w:rsidRDefault="008F52C8" w:rsidP="008F52C8">
      <w:pPr>
        <w:rPr>
          <w:rFonts w:ascii="Arial" w:hAnsi="Arial" w:cs="Arial"/>
          <w:b/>
          <w:i/>
          <w:strike/>
          <w:sz w:val="22"/>
          <w:szCs w:val="22"/>
          <w:lang w:eastAsia="zh-CN"/>
        </w:rPr>
      </w:pPr>
    </w:p>
    <w:p w14:paraId="092EBA96"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60B8C297" w14:textId="77777777" w:rsidR="008F52C8" w:rsidRPr="0030358C" w:rsidRDefault="00000000" w:rsidP="008F52C8">
      <w:pPr>
        <w:jc w:val="both"/>
        <w:rPr>
          <w:rFonts w:ascii="Arial" w:hAnsi="Arial" w:cs="Arial"/>
          <w:bCs/>
          <w:strike/>
          <w:sz w:val="22"/>
          <w:szCs w:val="22"/>
        </w:rPr>
      </w:pPr>
      <w:r w:rsidRPr="0030358C">
        <w:rPr>
          <w:rFonts w:ascii="Arial" w:hAnsi="Arial" w:cs="Arial"/>
          <w:bCs/>
          <w:strike/>
          <w:sz w:val="22"/>
          <w:szCs w:val="22"/>
          <w:lang w:eastAsia="zh-CN"/>
        </w:rPr>
        <w:t xml:space="preserve">Za účelem předcházení emisím znečišťujících látek obtěžujících zápachem a emisím tuhých znečišťujících látek využívat opatření ke snižování emisí těchto látek např. zakrytování všech přepravních cest a dopravníků horké směsi, odsávání odpadních plynů ze zásobníků asfaltu a z míchačky směsi do zařízení k omezování emisí pachových látek, zaplachtování přepravních vozidel, opatření pro skladování prašných materiálů apod. </w:t>
      </w:r>
      <w:r w:rsidRPr="0030358C">
        <w:rPr>
          <w:rFonts w:ascii="Arial" w:hAnsi="Arial" w:cs="Arial"/>
          <w:bCs/>
          <w:strike/>
          <w:sz w:val="22"/>
          <w:szCs w:val="22"/>
        </w:rPr>
        <w:t>Tato technická podmínka bude u mobilních recyklačních zařízení pro asfaltové směsi použita adekvátně dle technických a organizačních možností daného zařízení.</w:t>
      </w:r>
    </w:p>
    <w:p w14:paraId="2B0DFA3E" w14:textId="77777777" w:rsidR="008F52C8" w:rsidRPr="0030358C" w:rsidRDefault="008F52C8" w:rsidP="008F52C8">
      <w:pPr>
        <w:spacing w:before="60"/>
        <w:rPr>
          <w:rFonts w:ascii="Arial" w:hAnsi="Arial" w:cs="Arial"/>
          <w:b/>
          <w:strike/>
          <w:sz w:val="22"/>
          <w:szCs w:val="22"/>
          <w:lang w:eastAsia="zh-CN"/>
        </w:rPr>
      </w:pPr>
    </w:p>
    <w:p w14:paraId="5245D8C4"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5. CHEMICKÝ PRŮMYSL</w:t>
      </w:r>
    </w:p>
    <w:p w14:paraId="5C99B28A" w14:textId="77777777" w:rsidR="008F52C8" w:rsidRPr="0030358C" w:rsidRDefault="008F52C8" w:rsidP="008F52C8">
      <w:pPr>
        <w:spacing w:before="60"/>
        <w:rPr>
          <w:rFonts w:ascii="Arial" w:hAnsi="Arial" w:cs="Arial"/>
          <w:b/>
          <w:strike/>
          <w:sz w:val="22"/>
          <w:szCs w:val="22"/>
          <w:lang w:eastAsia="zh-CN"/>
        </w:rPr>
      </w:pPr>
    </w:p>
    <w:p w14:paraId="0F634216" w14:textId="77777777" w:rsidR="008F52C8" w:rsidRPr="0030358C" w:rsidRDefault="00000000" w:rsidP="008F52C8">
      <w:pPr>
        <w:spacing w:before="60"/>
        <w:rPr>
          <w:rFonts w:ascii="Arial" w:hAnsi="Arial" w:cs="Arial"/>
          <w:b/>
          <w:bCs/>
          <w:strike/>
          <w:sz w:val="22"/>
          <w:szCs w:val="22"/>
          <w:lang w:eastAsia="zh-CN"/>
        </w:rPr>
      </w:pPr>
      <w:r w:rsidRPr="0030358C">
        <w:rPr>
          <w:rFonts w:ascii="Arial" w:hAnsi="Arial" w:cs="Arial"/>
          <w:b/>
          <w:bCs/>
          <w:strike/>
          <w:sz w:val="22"/>
          <w:szCs w:val="22"/>
          <w:lang w:eastAsia="zh-CN"/>
        </w:rPr>
        <w:t>5.1. Výroba a zpracování organických látek a výrobků s jejich obsahem</w:t>
      </w:r>
    </w:p>
    <w:p w14:paraId="6DEAF352" w14:textId="77777777" w:rsidR="008F52C8" w:rsidRPr="0030358C" w:rsidRDefault="008F52C8" w:rsidP="008F52C8">
      <w:pPr>
        <w:spacing w:before="60"/>
        <w:rPr>
          <w:rFonts w:ascii="Arial" w:hAnsi="Arial" w:cs="Arial"/>
          <w:b/>
          <w:strike/>
          <w:sz w:val="22"/>
          <w:szCs w:val="22"/>
          <w:lang w:eastAsia="zh-CN"/>
        </w:rPr>
      </w:pPr>
    </w:p>
    <w:p w14:paraId="69858CDE"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 xml:space="preserve">5.1.1. Výroba 1,2-dichlorethanu a vinylchloridu </w:t>
      </w:r>
      <w:r w:rsidRPr="0030358C">
        <w:rPr>
          <w:rFonts w:ascii="Arial" w:hAnsi="Arial" w:cs="Arial"/>
          <w:bCs/>
          <w:strike/>
          <w:sz w:val="22"/>
          <w:szCs w:val="22"/>
          <w:lang w:eastAsia="zh-CN"/>
        </w:rPr>
        <w:t>(kód 6.1. dle přílohy č. 2 zákona)</w:t>
      </w:r>
    </w:p>
    <w:tbl>
      <w:tblPr>
        <w:tblW w:w="0" w:type="auto"/>
        <w:tblInd w:w="-15" w:type="dxa"/>
        <w:tblLayout w:type="fixed"/>
        <w:tblLook w:val="0000" w:firstRow="0" w:lastRow="0" w:firstColumn="0" w:lastColumn="0" w:noHBand="0" w:noVBand="0"/>
      </w:tblPr>
      <w:tblGrid>
        <w:gridCol w:w="2739"/>
        <w:gridCol w:w="2192"/>
        <w:gridCol w:w="2046"/>
        <w:gridCol w:w="2623"/>
      </w:tblGrid>
      <w:tr w:rsidR="00E40657" w14:paraId="73044568" w14:textId="77777777" w:rsidTr="00732453">
        <w:trPr>
          <w:cantSplit/>
          <w:trHeight w:hRule="exact" w:val="340"/>
        </w:trPr>
        <w:tc>
          <w:tcPr>
            <w:tcW w:w="6977" w:type="dxa"/>
            <w:gridSpan w:val="3"/>
            <w:tcBorders>
              <w:top w:val="single" w:sz="4" w:space="0" w:color="000000"/>
              <w:left w:val="single" w:sz="4" w:space="0" w:color="000000"/>
              <w:bottom w:val="single" w:sz="4" w:space="0" w:color="000000"/>
            </w:tcBorders>
            <w:shd w:val="clear" w:color="auto" w:fill="auto"/>
          </w:tcPr>
          <w:p w14:paraId="437A190F"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6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202A51"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BB9E549" w14:textId="77777777" w:rsidTr="00732453">
        <w:trPr>
          <w:cantSplit/>
          <w:trHeight w:hRule="exact" w:val="340"/>
        </w:trPr>
        <w:tc>
          <w:tcPr>
            <w:tcW w:w="2739" w:type="dxa"/>
            <w:tcBorders>
              <w:top w:val="single" w:sz="4" w:space="0" w:color="000000"/>
              <w:left w:val="single" w:sz="4" w:space="0" w:color="000000"/>
              <w:bottom w:val="single" w:sz="4" w:space="0" w:color="000000"/>
            </w:tcBorders>
            <w:shd w:val="clear" w:color="auto" w:fill="auto"/>
            <w:vAlign w:val="center"/>
          </w:tcPr>
          <w:p w14:paraId="05E79AC6" w14:textId="77777777" w:rsidR="008F52C8" w:rsidRPr="0030358C" w:rsidRDefault="008F52C8" w:rsidP="00732453">
            <w:pPr>
              <w:snapToGrid w:val="0"/>
              <w:spacing w:before="60"/>
              <w:jc w:val="center"/>
              <w:rPr>
                <w:rFonts w:ascii="Arial" w:hAnsi="Arial" w:cs="Arial"/>
                <w:b/>
                <w:strike/>
                <w:sz w:val="22"/>
                <w:szCs w:val="22"/>
                <w:lang w:eastAsia="zh-CN"/>
              </w:rPr>
            </w:pPr>
          </w:p>
        </w:tc>
        <w:tc>
          <w:tcPr>
            <w:tcW w:w="2192" w:type="dxa"/>
            <w:tcBorders>
              <w:top w:val="single" w:sz="4" w:space="0" w:color="000000"/>
              <w:left w:val="single" w:sz="4" w:space="0" w:color="000000"/>
              <w:bottom w:val="single" w:sz="4" w:space="0" w:color="000000"/>
            </w:tcBorders>
            <w:shd w:val="clear" w:color="auto" w:fill="auto"/>
          </w:tcPr>
          <w:p w14:paraId="2129584D"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1,2-dichlorethan</w:t>
            </w:r>
          </w:p>
        </w:tc>
        <w:tc>
          <w:tcPr>
            <w:tcW w:w="2046" w:type="dxa"/>
            <w:tcBorders>
              <w:top w:val="single" w:sz="4" w:space="0" w:color="000000"/>
              <w:left w:val="single" w:sz="4" w:space="0" w:color="000000"/>
              <w:bottom w:val="single" w:sz="4" w:space="0" w:color="000000"/>
            </w:tcBorders>
            <w:shd w:val="clear" w:color="auto" w:fill="auto"/>
            <w:vAlign w:val="center"/>
          </w:tcPr>
          <w:p w14:paraId="4A2D488E"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vinylchlorid</w:t>
            </w:r>
          </w:p>
        </w:tc>
        <w:tc>
          <w:tcPr>
            <w:tcW w:w="26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454D79" w14:textId="77777777" w:rsidR="008F52C8" w:rsidRPr="0030358C" w:rsidRDefault="008F52C8" w:rsidP="00732453">
            <w:pPr>
              <w:snapToGrid w:val="0"/>
              <w:rPr>
                <w:rFonts w:ascii="Arial" w:hAnsi="Arial" w:cs="Arial"/>
                <w:b/>
                <w:strike/>
                <w:sz w:val="22"/>
                <w:szCs w:val="22"/>
                <w:lang w:eastAsia="zh-CN"/>
              </w:rPr>
            </w:pPr>
          </w:p>
        </w:tc>
      </w:tr>
      <w:tr w:rsidR="00E40657" w14:paraId="29D4BDC1" w14:textId="77777777" w:rsidTr="00732453">
        <w:trPr>
          <w:cantSplit/>
          <w:trHeight w:hRule="exact" w:val="340"/>
        </w:trPr>
        <w:tc>
          <w:tcPr>
            <w:tcW w:w="9600" w:type="dxa"/>
            <w:gridSpan w:val="4"/>
            <w:tcBorders>
              <w:top w:val="single" w:sz="4" w:space="0" w:color="000000"/>
              <w:left w:val="single" w:sz="4" w:space="0" w:color="000000"/>
              <w:bottom w:val="single" w:sz="4" w:space="0" w:color="000000"/>
              <w:right w:val="single" w:sz="4" w:space="0" w:color="000000"/>
            </w:tcBorders>
            <w:shd w:val="clear" w:color="auto" w:fill="auto"/>
          </w:tcPr>
          <w:p w14:paraId="559E028D"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Výroba 1,2-dichlorethanu</w:t>
            </w:r>
          </w:p>
        </w:tc>
      </w:tr>
      <w:tr w:rsidR="00E40657" w14:paraId="3B75A5F7" w14:textId="77777777" w:rsidTr="00732453">
        <w:trPr>
          <w:cantSplit/>
          <w:trHeight w:hRule="exact" w:val="340"/>
        </w:trPr>
        <w:tc>
          <w:tcPr>
            <w:tcW w:w="2739" w:type="dxa"/>
            <w:tcBorders>
              <w:top w:val="single" w:sz="4" w:space="0" w:color="000000"/>
              <w:left w:val="single" w:sz="4" w:space="0" w:color="000000"/>
              <w:bottom w:val="single" w:sz="4" w:space="0" w:color="000000"/>
            </w:tcBorders>
            <w:shd w:val="clear" w:color="auto" w:fill="auto"/>
            <w:vAlign w:val="center"/>
          </w:tcPr>
          <w:p w14:paraId="6180697B" w14:textId="77777777" w:rsidR="008F52C8" w:rsidRPr="0030358C" w:rsidRDefault="008F52C8" w:rsidP="00732453">
            <w:pPr>
              <w:snapToGrid w:val="0"/>
              <w:jc w:val="center"/>
              <w:rPr>
                <w:rFonts w:ascii="Arial" w:hAnsi="Arial" w:cs="Arial"/>
                <w:b/>
                <w:strike/>
                <w:sz w:val="22"/>
                <w:szCs w:val="22"/>
                <w:lang w:eastAsia="zh-CN"/>
              </w:rPr>
            </w:pPr>
          </w:p>
        </w:tc>
        <w:tc>
          <w:tcPr>
            <w:tcW w:w="2192" w:type="dxa"/>
            <w:tcBorders>
              <w:top w:val="single" w:sz="4" w:space="0" w:color="000000"/>
              <w:left w:val="single" w:sz="4" w:space="0" w:color="000000"/>
              <w:bottom w:val="single" w:sz="4" w:space="0" w:color="000000"/>
            </w:tcBorders>
            <w:shd w:val="clear" w:color="auto" w:fill="auto"/>
          </w:tcPr>
          <w:p w14:paraId="165B81C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2046" w:type="dxa"/>
            <w:tcBorders>
              <w:top w:val="single" w:sz="4" w:space="0" w:color="000000"/>
              <w:left w:val="single" w:sz="4" w:space="0" w:color="000000"/>
              <w:bottom w:val="single" w:sz="4" w:space="0" w:color="000000"/>
            </w:tcBorders>
            <w:shd w:val="clear" w:color="auto" w:fill="auto"/>
            <w:vAlign w:val="center"/>
          </w:tcPr>
          <w:p w14:paraId="4F8D9C6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72791" w14:textId="77777777" w:rsidR="008F52C8" w:rsidRPr="0030358C" w:rsidRDefault="00000000" w:rsidP="00732453">
            <w:pPr>
              <w:snapToGrid w:val="0"/>
              <w:spacing w:before="6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r w:rsidR="00E40657" w14:paraId="075D52CD" w14:textId="77777777" w:rsidTr="00732453">
        <w:trPr>
          <w:cantSplit/>
          <w:trHeight w:hRule="exact" w:val="340"/>
        </w:trPr>
        <w:tc>
          <w:tcPr>
            <w:tcW w:w="9600" w:type="dxa"/>
            <w:gridSpan w:val="4"/>
            <w:tcBorders>
              <w:top w:val="single" w:sz="4" w:space="0" w:color="000000"/>
              <w:left w:val="single" w:sz="4" w:space="0" w:color="000000"/>
              <w:bottom w:val="single" w:sz="4" w:space="0" w:color="000000"/>
              <w:right w:val="single" w:sz="4" w:space="0" w:color="000000"/>
            </w:tcBorders>
            <w:shd w:val="clear" w:color="auto" w:fill="auto"/>
          </w:tcPr>
          <w:p w14:paraId="2B6CC8BA" w14:textId="77777777" w:rsidR="008F52C8" w:rsidRPr="0030358C" w:rsidRDefault="00000000" w:rsidP="00732453">
            <w:pPr>
              <w:snapToGrid w:val="0"/>
              <w:rPr>
                <w:rFonts w:ascii="Arial" w:hAnsi="Arial" w:cs="Arial"/>
                <w:b/>
                <w:strike/>
                <w:sz w:val="22"/>
                <w:szCs w:val="22"/>
                <w:lang w:eastAsia="zh-CN"/>
              </w:rPr>
            </w:pPr>
            <w:r w:rsidRPr="0030358C">
              <w:rPr>
                <w:rFonts w:ascii="Arial" w:hAnsi="Arial" w:cs="Arial"/>
                <w:b/>
                <w:strike/>
                <w:sz w:val="22"/>
                <w:szCs w:val="22"/>
                <w:lang w:eastAsia="zh-CN"/>
              </w:rPr>
              <w:t>Výroba vinylchloridu</w:t>
            </w:r>
          </w:p>
        </w:tc>
      </w:tr>
      <w:tr w:rsidR="00E40657" w14:paraId="7AD14874" w14:textId="77777777" w:rsidTr="00732453">
        <w:trPr>
          <w:cantSplit/>
          <w:trHeight w:hRule="exact" w:val="340"/>
        </w:trPr>
        <w:tc>
          <w:tcPr>
            <w:tcW w:w="2739" w:type="dxa"/>
            <w:tcBorders>
              <w:top w:val="single" w:sz="4" w:space="0" w:color="000000"/>
              <w:left w:val="single" w:sz="4" w:space="0" w:color="000000"/>
              <w:bottom w:val="single" w:sz="4" w:space="0" w:color="000000"/>
            </w:tcBorders>
            <w:shd w:val="clear" w:color="auto" w:fill="auto"/>
            <w:vAlign w:val="center"/>
          </w:tcPr>
          <w:p w14:paraId="223E4409" w14:textId="77777777" w:rsidR="008F52C8" w:rsidRPr="0030358C" w:rsidRDefault="008F52C8" w:rsidP="00732453">
            <w:pPr>
              <w:snapToGrid w:val="0"/>
              <w:jc w:val="center"/>
              <w:rPr>
                <w:rFonts w:ascii="Arial" w:hAnsi="Arial" w:cs="Arial"/>
                <w:b/>
                <w:strike/>
                <w:sz w:val="22"/>
                <w:szCs w:val="22"/>
                <w:lang w:eastAsia="zh-CN"/>
              </w:rPr>
            </w:pPr>
          </w:p>
        </w:tc>
        <w:tc>
          <w:tcPr>
            <w:tcW w:w="2192" w:type="dxa"/>
            <w:tcBorders>
              <w:top w:val="single" w:sz="4" w:space="0" w:color="000000"/>
              <w:left w:val="single" w:sz="4" w:space="0" w:color="000000"/>
              <w:bottom w:val="single" w:sz="4" w:space="0" w:color="000000"/>
            </w:tcBorders>
            <w:shd w:val="clear" w:color="auto" w:fill="auto"/>
            <w:vAlign w:val="center"/>
          </w:tcPr>
          <w:p w14:paraId="49C4E4A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2046" w:type="dxa"/>
            <w:tcBorders>
              <w:top w:val="single" w:sz="4" w:space="0" w:color="000000"/>
              <w:left w:val="single" w:sz="4" w:space="0" w:color="000000"/>
              <w:bottom w:val="single" w:sz="4" w:space="0" w:color="000000"/>
            </w:tcBorders>
            <w:shd w:val="clear" w:color="auto" w:fill="auto"/>
            <w:vAlign w:val="center"/>
          </w:tcPr>
          <w:p w14:paraId="2184131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E077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49D57D61" w14:textId="77777777" w:rsidR="008F52C8" w:rsidRPr="0030358C" w:rsidRDefault="008F52C8" w:rsidP="008F52C8">
      <w:pPr>
        <w:rPr>
          <w:rFonts w:ascii="Arial" w:hAnsi="Arial" w:cs="Arial"/>
          <w:b/>
          <w:strike/>
          <w:sz w:val="22"/>
          <w:szCs w:val="22"/>
          <w:lang w:eastAsia="zh-CN"/>
        </w:rPr>
      </w:pPr>
    </w:p>
    <w:p w14:paraId="1E37DA2B" w14:textId="77777777" w:rsidR="008F52C8" w:rsidRPr="0030358C" w:rsidRDefault="008F52C8" w:rsidP="008F52C8">
      <w:pPr>
        <w:rPr>
          <w:rFonts w:ascii="Arial" w:hAnsi="Arial" w:cs="Arial"/>
          <w:b/>
          <w:strike/>
          <w:sz w:val="22"/>
          <w:szCs w:val="22"/>
          <w:lang w:eastAsia="zh-CN"/>
        </w:rPr>
      </w:pPr>
    </w:p>
    <w:p w14:paraId="5FB9549F"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5.1.2. Výroba polymerů na bázi polyakrylonitrilu </w:t>
      </w:r>
      <w:r w:rsidRPr="0030358C">
        <w:rPr>
          <w:rFonts w:ascii="Arial" w:hAnsi="Arial" w:cs="Arial"/>
          <w:bCs/>
          <w:strike/>
          <w:sz w:val="22"/>
          <w:szCs w:val="22"/>
          <w:lang w:eastAsia="zh-CN"/>
        </w:rPr>
        <w:t>(kód 6.3. dle přílohy č. 2 zákona)</w:t>
      </w:r>
    </w:p>
    <w:tbl>
      <w:tblPr>
        <w:tblW w:w="0" w:type="auto"/>
        <w:tblInd w:w="-15" w:type="dxa"/>
        <w:tblLayout w:type="fixed"/>
        <w:tblLook w:val="0000" w:firstRow="0" w:lastRow="0" w:firstColumn="0" w:lastColumn="0" w:noHBand="0" w:noVBand="0"/>
      </w:tblPr>
      <w:tblGrid>
        <w:gridCol w:w="5420"/>
        <w:gridCol w:w="1966"/>
        <w:gridCol w:w="2214"/>
      </w:tblGrid>
      <w:tr w:rsidR="00E40657" w14:paraId="099C2067" w14:textId="77777777" w:rsidTr="00732453">
        <w:trPr>
          <w:cantSplit/>
          <w:trHeight w:hRule="exact" w:val="346"/>
        </w:trPr>
        <w:tc>
          <w:tcPr>
            <w:tcW w:w="7386" w:type="dxa"/>
            <w:gridSpan w:val="2"/>
            <w:tcBorders>
              <w:top w:val="single" w:sz="4" w:space="0" w:color="000000"/>
              <w:left w:val="single" w:sz="4" w:space="0" w:color="000000"/>
              <w:bottom w:val="single" w:sz="4" w:space="0" w:color="000000"/>
            </w:tcBorders>
            <w:shd w:val="clear" w:color="auto" w:fill="auto"/>
            <w:vAlign w:val="center"/>
          </w:tcPr>
          <w:p w14:paraId="63F05005"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Emisní limit pro akrylonitril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3ABE1D"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467FBEFE" w14:textId="77777777" w:rsidTr="00732453">
        <w:trPr>
          <w:cantSplit/>
          <w:trHeight w:hRule="exact" w:val="340"/>
        </w:trPr>
        <w:tc>
          <w:tcPr>
            <w:tcW w:w="5420" w:type="dxa"/>
            <w:tcBorders>
              <w:left w:val="single" w:sz="4" w:space="0" w:color="000000"/>
              <w:bottom w:val="single" w:sz="2" w:space="0" w:color="000000"/>
            </w:tcBorders>
            <w:shd w:val="clear" w:color="auto" w:fill="auto"/>
            <w:vAlign w:val="center"/>
          </w:tcPr>
          <w:p w14:paraId="4593B5E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za zařízením na snižování emisí</w:t>
            </w:r>
          </w:p>
        </w:tc>
        <w:tc>
          <w:tcPr>
            <w:tcW w:w="1966" w:type="dxa"/>
            <w:tcBorders>
              <w:left w:val="single" w:sz="4" w:space="0" w:color="000000"/>
              <w:bottom w:val="single" w:sz="2" w:space="0" w:color="000000"/>
            </w:tcBorders>
            <w:shd w:val="clear" w:color="auto" w:fill="auto"/>
            <w:vAlign w:val="center"/>
          </w:tcPr>
          <w:p w14:paraId="4EB7533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ze sušáren</w:t>
            </w:r>
          </w:p>
        </w:tc>
        <w:tc>
          <w:tcPr>
            <w:tcW w:w="22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011496" w14:textId="77777777" w:rsidR="008F52C8" w:rsidRPr="0030358C" w:rsidRDefault="008F52C8" w:rsidP="00732453">
            <w:pPr>
              <w:snapToGrid w:val="0"/>
              <w:rPr>
                <w:rFonts w:ascii="Arial" w:hAnsi="Arial" w:cs="Arial"/>
                <w:b/>
                <w:strike/>
                <w:sz w:val="22"/>
                <w:szCs w:val="22"/>
                <w:lang w:eastAsia="zh-CN"/>
              </w:rPr>
            </w:pPr>
          </w:p>
        </w:tc>
      </w:tr>
      <w:tr w:rsidR="00E40657" w14:paraId="623F436B" w14:textId="77777777" w:rsidTr="00732453">
        <w:trPr>
          <w:cantSplit/>
          <w:trHeight w:hRule="exact" w:val="698"/>
        </w:trPr>
        <w:tc>
          <w:tcPr>
            <w:tcW w:w="5420" w:type="dxa"/>
            <w:tcBorders>
              <w:top w:val="single" w:sz="2" w:space="0" w:color="000000"/>
              <w:left w:val="single" w:sz="2" w:space="0" w:color="000000"/>
              <w:bottom w:val="single" w:sz="2" w:space="0" w:color="000000"/>
            </w:tcBorders>
            <w:shd w:val="clear" w:color="auto" w:fill="auto"/>
            <w:vAlign w:val="center"/>
          </w:tcPr>
          <w:p w14:paraId="2DCF03D2" w14:textId="77777777" w:rsidR="008F52C8" w:rsidRPr="0030358C" w:rsidRDefault="00000000" w:rsidP="00732453">
            <w:pPr>
              <w:snapToGrid w:val="0"/>
              <w:spacing w:before="60"/>
              <w:jc w:val="center"/>
              <w:rPr>
                <w:rFonts w:ascii="Arial" w:hAnsi="Arial" w:cs="Arial"/>
                <w:bCs/>
                <w:strike/>
                <w:sz w:val="22"/>
                <w:szCs w:val="22"/>
                <w:lang w:eastAsia="zh-CN"/>
              </w:rPr>
            </w:pPr>
            <w:r w:rsidRPr="0030358C">
              <w:rPr>
                <w:rFonts w:ascii="Arial" w:hAnsi="Arial" w:cs="Arial"/>
                <w:bCs/>
                <w:strike/>
                <w:sz w:val="22"/>
                <w:szCs w:val="22"/>
                <w:lang w:eastAsia="zh-CN"/>
              </w:rPr>
              <w:t xml:space="preserve"> 0,2</w:t>
            </w:r>
            <w:r w:rsidRPr="0030358C">
              <w:rPr>
                <w:rFonts w:ascii="Arial" w:hAnsi="Arial" w:cs="Arial"/>
                <w:bCs/>
                <w:strike/>
                <w:sz w:val="22"/>
                <w:szCs w:val="22"/>
                <w:vertAlign w:val="superscript"/>
                <w:lang w:eastAsia="zh-CN"/>
              </w:rPr>
              <w:t>1), 2)</w:t>
            </w:r>
            <w:r w:rsidRPr="0030358C">
              <w:rPr>
                <w:rFonts w:ascii="Arial" w:hAnsi="Arial" w:cs="Arial"/>
                <w:bCs/>
                <w:strike/>
                <w:sz w:val="22"/>
                <w:szCs w:val="22"/>
                <w:lang w:eastAsia="zh-CN"/>
              </w:rPr>
              <w:t xml:space="preserve"> </w:t>
            </w:r>
          </w:p>
          <w:p w14:paraId="79D25831" w14:textId="77777777" w:rsidR="008F52C8" w:rsidRPr="0030358C" w:rsidRDefault="00000000" w:rsidP="00732453">
            <w:pPr>
              <w:snapToGrid w:val="0"/>
              <w:spacing w:before="6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5</w:t>
            </w:r>
            <w:r w:rsidRPr="0030358C">
              <w:rPr>
                <w:rFonts w:ascii="Arial" w:hAnsi="Arial" w:cs="Arial"/>
                <w:bCs/>
                <w:strike/>
                <w:sz w:val="22"/>
                <w:szCs w:val="22"/>
                <w:vertAlign w:val="superscript"/>
                <w:lang w:eastAsia="zh-CN"/>
              </w:rPr>
              <w:t>2), 3)</w:t>
            </w:r>
          </w:p>
        </w:tc>
        <w:tc>
          <w:tcPr>
            <w:tcW w:w="1966" w:type="dxa"/>
            <w:tcBorders>
              <w:top w:val="single" w:sz="2" w:space="0" w:color="000000"/>
              <w:left w:val="single" w:sz="2" w:space="0" w:color="000000"/>
              <w:bottom w:val="single" w:sz="2" w:space="0" w:color="000000"/>
            </w:tcBorders>
            <w:shd w:val="clear" w:color="auto" w:fill="auto"/>
            <w:vAlign w:val="center"/>
          </w:tcPr>
          <w:p w14:paraId="158E45E4" w14:textId="77777777" w:rsidR="008F52C8" w:rsidRPr="0030358C" w:rsidRDefault="00000000" w:rsidP="00732453">
            <w:pPr>
              <w:snapToGrid w:val="0"/>
              <w:spacing w:before="60"/>
              <w:jc w:val="center"/>
              <w:rPr>
                <w:rFonts w:ascii="Arial" w:hAnsi="Arial" w:cs="Arial"/>
                <w:bCs/>
                <w:strike/>
                <w:sz w:val="22"/>
                <w:szCs w:val="22"/>
                <w:lang w:eastAsia="zh-CN"/>
              </w:rPr>
            </w:pPr>
            <w:r w:rsidRPr="0030358C">
              <w:rPr>
                <w:rFonts w:ascii="Arial" w:hAnsi="Arial" w:cs="Arial"/>
                <w:bCs/>
                <w:strike/>
                <w:sz w:val="22"/>
                <w:szCs w:val="22"/>
                <w:lang w:eastAsia="zh-CN"/>
              </w:rPr>
              <w:t>-</w:t>
            </w:r>
          </w:p>
        </w:tc>
        <w:tc>
          <w:tcPr>
            <w:tcW w:w="2214" w:type="dxa"/>
            <w:vMerge w:val="restart"/>
            <w:tcBorders>
              <w:top w:val="single" w:sz="4" w:space="0" w:color="000000"/>
              <w:left w:val="single" w:sz="2" w:space="0" w:color="000000"/>
              <w:bottom w:val="single" w:sz="4" w:space="0" w:color="000000"/>
              <w:right w:val="single" w:sz="4" w:space="0" w:color="000000"/>
            </w:tcBorders>
            <w:shd w:val="clear" w:color="auto" w:fill="auto"/>
            <w:vAlign w:val="center"/>
          </w:tcPr>
          <w:p w14:paraId="0E1BF97F" w14:textId="77777777" w:rsidR="008F52C8" w:rsidRPr="0030358C" w:rsidRDefault="00000000" w:rsidP="00732453">
            <w:pPr>
              <w:snapToGrid w:val="0"/>
              <w:spacing w:before="6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r w:rsidR="00E40657" w14:paraId="5C4D537D" w14:textId="77777777" w:rsidTr="00732453">
        <w:trPr>
          <w:cantSplit/>
          <w:trHeight w:hRule="exact" w:val="340"/>
        </w:trPr>
        <w:tc>
          <w:tcPr>
            <w:tcW w:w="5420" w:type="dxa"/>
            <w:tcBorders>
              <w:top w:val="single" w:sz="2" w:space="0" w:color="000000"/>
              <w:left w:val="single" w:sz="2" w:space="0" w:color="000000"/>
              <w:bottom w:val="single" w:sz="2" w:space="0" w:color="000000"/>
            </w:tcBorders>
            <w:shd w:val="clear" w:color="auto" w:fill="auto"/>
            <w:vAlign w:val="center"/>
          </w:tcPr>
          <w:p w14:paraId="300A483F" w14:textId="77777777" w:rsidR="008F52C8" w:rsidRPr="0030358C" w:rsidRDefault="00000000" w:rsidP="00732453">
            <w:pPr>
              <w:snapToGrid w:val="0"/>
              <w:spacing w:before="6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4)</w:t>
            </w:r>
          </w:p>
        </w:tc>
        <w:tc>
          <w:tcPr>
            <w:tcW w:w="1966" w:type="dxa"/>
            <w:tcBorders>
              <w:top w:val="single" w:sz="2" w:space="0" w:color="000000"/>
              <w:left w:val="single" w:sz="2" w:space="0" w:color="000000"/>
              <w:bottom w:val="single" w:sz="2" w:space="0" w:color="000000"/>
            </w:tcBorders>
            <w:shd w:val="clear" w:color="auto" w:fill="auto"/>
            <w:vAlign w:val="center"/>
          </w:tcPr>
          <w:p w14:paraId="158273B4" w14:textId="77777777" w:rsidR="008F52C8" w:rsidRPr="0030358C" w:rsidRDefault="00000000" w:rsidP="00732453">
            <w:pPr>
              <w:snapToGrid w:val="0"/>
              <w:spacing w:before="6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w:t>
            </w:r>
            <w:r w:rsidRPr="0030358C">
              <w:rPr>
                <w:rFonts w:ascii="Arial" w:hAnsi="Arial" w:cs="Arial"/>
                <w:bCs/>
                <w:strike/>
                <w:sz w:val="22"/>
                <w:szCs w:val="22"/>
                <w:vertAlign w:val="superscript"/>
                <w:lang w:eastAsia="zh-CN"/>
              </w:rPr>
              <w:t>4)</w:t>
            </w:r>
          </w:p>
        </w:tc>
        <w:tc>
          <w:tcPr>
            <w:tcW w:w="2214" w:type="dxa"/>
            <w:vMerge/>
            <w:tcBorders>
              <w:top w:val="single" w:sz="4" w:space="0" w:color="000000"/>
              <w:left w:val="single" w:sz="2" w:space="0" w:color="000000"/>
              <w:bottom w:val="single" w:sz="4" w:space="0" w:color="000000"/>
              <w:right w:val="single" w:sz="4" w:space="0" w:color="000000"/>
            </w:tcBorders>
            <w:shd w:val="clear" w:color="auto" w:fill="auto"/>
            <w:vAlign w:val="center"/>
          </w:tcPr>
          <w:p w14:paraId="489D7990" w14:textId="77777777" w:rsidR="008F52C8" w:rsidRPr="0030358C" w:rsidRDefault="008F52C8" w:rsidP="00732453">
            <w:pPr>
              <w:snapToGrid w:val="0"/>
              <w:rPr>
                <w:rFonts w:ascii="Arial" w:hAnsi="Arial" w:cs="Arial"/>
                <w:bCs/>
                <w:strike/>
                <w:sz w:val="22"/>
                <w:szCs w:val="22"/>
                <w:lang w:eastAsia="zh-CN"/>
              </w:rPr>
            </w:pPr>
          </w:p>
        </w:tc>
      </w:tr>
      <w:tr w:rsidR="00E40657" w14:paraId="55D6C4D0" w14:textId="77777777" w:rsidTr="00732453">
        <w:trPr>
          <w:cantSplit/>
          <w:trHeight w:hRule="exact" w:val="726"/>
        </w:trPr>
        <w:tc>
          <w:tcPr>
            <w:tcW w:w="5420" w:type="dxa"/>
            <w:tcBorders>
              <w:top w:val="single" w:sz="2" w:space="0" w:color="000000"/>
              <w:left w:val="single" w:sz="4" w:space="0" w:color="000000"/>
              <w:bottom w:val="single" w:sz="4" w:space="0" w:color="000000"/>
            </w:tcBorders>
            <w:shd w:val="clear" w:color="auto" w:fill="auto"/>
            <w:vAlign w:val="center"/>
          </w:tcPr>
          <w:p w14:paraId="1D88DBDF" w14:textId="77777777" w:rsidR="008F52C8" w:rsidRPr="0030358C" w:rsidRDefault="00000000" w:rsidP="00732453">
            <w:pPr>
              <w:snapToGrid w:val="0"/>
              <w:spacing w:before="6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10</w:t>
            </w:r>
            <w:r w:rsidRPr="0030358C">
              <w:rPr>
                <w:rFonts w:ascii="Arial" w:hAnsi="Arial" w:cs="Arial"/>
                <w:bCs/>
                <w:strike/>
                <w:sz w:val="22"/>
                <w:szCs w:val="22"/>
                <w:vertAlign w:val="superscript"/>
                <w:lang w:eastAsia="zh-CN"/>
              </w:rPr>
              <w:t>5), 6)</w:t>
            </w:r>
          </w:p>
          <w:p w14:paraId="2667BE59" w14:textId="77777777" w:rsidR="008F52C8" w:rsidRPr="0030358C" w:rsidRDefault="00000000" w:rsidP="00732453">
            <w:pPr>
              <w:snapToGrid w:val="0"/>
              <w:spacing w:before="6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35</w:t>
            </w:r>
            <w:r w:rsidRPr="0030358C">
              <w:rPr>
                <w:rFonts w:ascii="Arial" w:hAnsi="Arial" w:cs="Arial"/>
                <w:bCs/>
                <w:strike/>
                <w:sz w:val="22"/>
                <w:szCs w:val="22"/>
                <w:vertAlign w:val="superscript"/>
                <w:lang w:eastAsia="zh-CN"/>
              </w:rPr>
              <w:t>7), 5)</w:t>
            </w:r>
          </w:p>
        </w:tc>
        <w:tc>
          <w:tcPr>
            <w:tcW w:w="1966" w:type="dxa"/>
            <w:tcBorders>
              <w:top w:val="single" w:sz="2" w:space="0" w:color="000000"/>
              <w:left w:val="single" w:sz="4" w:space="0" w:color="000000"/>
              <w:bottom w:val="single" w:sz="4" w:space="0" w:color="000000"/>
            </w:tcBorders>
            <w:shd w:val="clear" w:color="auto" w:fill="auto"/>
            <w:vAlign w:val="center"/>
          </w:tcPr>
          <w:p w14:paraId="74FE28FB" w14:textId="77777777" w:rsidR="008F52C8" w:rsidRPr="0030358C" w:rsidRDefault="00000000" w:rsidP="00732453">
            <w:pPr>
              <w:snapToGrid w:val="0"/>
              <w:spacing w:before="6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25</w:t>
            </w:r>
            <w:r w:rsidRPr="0030358C">
              <w:rPr>
                <w:rFonts w:ascii="Arial" w:hAnsi="Arial" w:cs="Arial"/>
                <w:bCs/>
                <w:strike/>
                <w:sz w:val="22"/>
                <w:szCs w:val="22"/>
                <w:vertAlign w:val="superscript"/>
                <w:lang w:eastAsia="zh-CN"/>
              </w:rPr>
              <w:t>8)</w:t>
            </w:r>
          </w:p>
        </w:tc>
        <w:tc>
          <w:tcPr>
            <w:tcW w:w="22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771E6B" w14:textId="77777777" w:rsidR="008F52C8" w:rsidRPr="0030358C" w:rsidRDefault="008F52C8" w:rsidP="00732453">
            <w:pPr>
              <w:snapToGrid w:val="0"/>
              <w:rPr>
                <w:rFonts w:ascii="Arial" w:hAnsi="Arial" w:cs="Arial"/>
                <w:bCs/>
                <w:strike/>
                <w:sz w:val="22"/>
                <w:szCs w:val="22"/>
                <w:lang w:eastAsia="zh-CN"/>
              </w:rPr>
            </w:pPr>
          </w:p>
        </w:tc>
      </w:tr>
    </w:tbl>
    <w:p w14:paraId="2B494684" w14:textId="77777777" w:rsidR="008F52C8" w:rsidRPr="0030358C" w:rsidRDefault="00000000" w:rsidP="008F52C8">
      <w:pPr>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3522FF75" w14:textId="77777777" w:rsidR="008F52C8" w:rsidRPr="0030358C" w:rsidRDefault="00000000" w:rsidP="008F52C8">
      <w:pPr>
        <w:tabs>
          <w:tab w:val="left" w:pos="284"/>
          <w:tab w:val="left" w:pos="576"/>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1)</w:t>
      </w:r>
      <w:r w:rsidRPr="0030358C">
        <w:rPr>
          <w:rFonts w:ascii="Arial" w:hAnsi="Arial" w:cs="Arial"/>
          <w:iCs/>
          <w:strike/>
          <w:sz w:val="22"/>
          <w:szCs w:val="22"/>
          <w:lang w:eastAsia="zh-CN"/>
        </w:rPr>
        <w:tab/>
        <w:t>Platí pro zařízení na snižování emisí spalováním.</w:t>
      </w:r>
    </w:p>
    <w:p w14:paraId="1AAF0C9D" w14:textId="77777777" w:rsidR="008F52C8" w:rsidRPr="0030358C" w:rsidRDefault="00000000" w:rsidP="008F52C8">
      <w:pPr>
        <w:tabs>
          <w:tab w:val="left" w:pos="284"/>
          <w:tab w:val="left" w:pos="576"/>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2)</w:t>
      </w:r>
      <w:r w:rsidRPr="0030358C">
        <w:rPr>
          <w:rFonts w:ascii="Arial" w:hAnsi="Arial" w:cs="Arial"/>
          <w:iCs/>
          <w:strike/>
          <w:sz w:val="22"/>
          <w:szCs w:val="22"/>
          <w:lang w:eastAsia="zh-CN"/>
        </w:rPr>
        <w:tab/>
        <w:t>Platí pro výrobu vláken.</w:t>
      </w:r>
    </w:p>
    <w:p w14:paraId="4883A619" w14:textId="77777777" w:rsidR="008F52C8" w:rsidRPr="0030358C" w:rsidRDefault="00000000" w:rsidP="008F52C8">
      <w:pPr>
        <w:tabs>
          <w:tab w:val="left" w:pos="284"/>
          <w:tab w:val="left" w:pos="50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3)</w:t>
      </w:r>
      <w:r w:rsidRPr="0030358C">
        <w:rPr>
          <w:rFonts w:ascii="Arial" w:hAnsi="Arial" w:cs="Arial"/>
          <w:iCs/>
          <w:strike/>
          <w:sz w:val="22"/>
          <w:szCs w:val="22"/>
          <w:lang w:eastAsia="zh-CN"/>
        </w:rPr>
        <w:tab/>
        <w:t>Platí na výstupu z ostatních zařízení na snižování emisí.</w:t>
      </w:r>
    </w:p>
    <w:p w14:paraId="7D87D65C" w14:textId="77777777" w:rsidR="008F52C8" w:rsidRPr="0030358C" w:rsidRDefault="00000000" w:rsidP="008F52C8">
      <w:pPr>
        <w:tabs>
          <w:tab w:val="left" w:pos="284"/>
          <w:tab w:val="left" w:pos="50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4)</w:t>
      </w:r>
      <w:r w:rsidRPr="0030358C">
        <w:rPr>
          <w:rFonts w:ascii="Arial" w:hAnsi="Arial" w:cs="Arial"/>
          <w:iCs/>
          <w:strike/>
          <w:sz w:val="22"/>
          <w:szCs w:val="22"/>
          <w:lang w:eastAsia="zh-CN"/>
        </w:rPr>
        <w:tab/>
        <w:t>Platí pro výrobu a zpracování ACN polymerů.</w:t>
      </w:r>
    </w:p>
    <w:p w14:paraId="5F3779FC" w14:textId="77777777" w:rsidR="008F52C8" w:rsidRPr="0030358C" w:rsidRDefault="00000000" w:rsidP="008F52C8">
      <w:pPr>
        <w:tabs>
          <w:tab w:val="left" w:pos="284"/>
          <w:tab w:val="left" w:pos="50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5)</w:t>
      </w:r>
      <w:r w:rsidRPr="0030358C">
        <w:rPr>
          <w:rFonts w:ascii="Arial" w:hAnsi="Arial" w:cs="Arial"/>
          <w:iCs/>
          <w:strike/>
          <w:sz w:val="22"/>
          <w:szCs w:val="22"/>
          <w:lang w:eastAsia="zh-CN"/>
        </w:rPr>
        <w:tab/>
        <w:t>Platí u spřádání vláken.</w:t>
      </w:r>
    </w:p>
    <w:p w14:paraId="6E4FAE68" w14:textId="77777777" w:rsidR="008F52C8" w:rsidRPr="0030358C" w:rsidRDefault="00000000" w:rsidP="008F52C8">
      <w:pPr>
        <w:tabs>
          <w:tab w:val="left" w:pos="284"/>
          <w:tab w:val="left" w:pos="50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lastRenderedPageBreak/>
        <w:t>6)</w:t>
      </w:r>
      <w:r w:rsidRPr="0030358C">
        <w:rPr>
          <w:rFonts w:ascii="Arial" w:hAnsi="Arial" w:cs="Arial"/>
          <w:iCs/>
          <w:strike/>
          <w:sz w:val="22"/>
          <w:szCs w:val="22"/>
          <w:lang w:eastAsia="zh-CN"/>
        </w:rPr>
        <w:tab/>
        <w:t>Platí při mokrém procesu zvlákňování.</w:t>
      </w:r>
    </w:p>
    <w:p w14:paraId="01E2C146" w14:textId="77777777" w:rsidR="008F52C8" w:rsidRPr="0030358C" w:rsidRDefault="00000000" w:rsidP="008F52C8">
      <w:pPr>
        <w:tabs>
          <w:tab w:val="left" w:pos="284"/>
          <w:tab w:val="left" w:pos="50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7)</w:t>
      </w:r>
      <w:r w:rsidRPr="0030358C">
        <w:rPr>
          <w:rFonts w:ascii="Arial" w:hAnsi="Arial" w:cs="Arial"/>
          <w:iCs/>
          <w:strike/>
          <w:sz w:val="22"/>
          <w:szCs w:val="22"/>
          <w:lang w:eastAsia="zh-CN"/>
        </w:rPr>
        <w:tab/>
        <w:t>Platí při suchém procesu zvlákňování.</w:t>
      </w:r>
    </w:p>
    <w:p w14:paraId="731D46B6" w14:textId="77777777" w:rsidR="008F52C8" w:rsidRPr="0030358C" w:rsidRDefault="00000000" w:rsidP="008F52C8">
      <w:pPr>
        <w:jc w:val="both"/>
        <w:rPr>
          <w:rFonts w:ascii="Arial" w:hAnsi="Arial" w:cs="Arial"/>
          <w:iCs/>
          <w:strike/>
          <w:sz w:val="22"/>
          <w:szCs w:val="22"/>
          <w:lang w:eastAsia="zh-CN"/>
        </w:rPr>
      </w:pPr>
      <w:r w:rsidRPr="0030358C">
        <w:rPr>
          <w:rFonts w:ascii="Arial" w:hAnsi="Arial" w:cs="Arial"/>
          <w:iCs/>
          <w:strike/>
          <w:sz w:val="22"/>
          <w:szCs w:val="22"/>
          <w:lang w:eastAsia="zh-CN"/>
        </w:rPr>
        <w:t>8) Platí pro výrobu ABS polymerů (hmot).</w:t>
      </w:r>
    </w:p>
    <w:p w14:paraId="452E9B5F" w14:textId="77777777" w:rsidR="008F52C8" w:rsidRPr="0030358C" w:rsidRDefault="008F52C8" w:rsidP="008F52C8">
      <w:pPr>
        <w:jc w:val="both"/>
        <w:rPr>
          <w:rFonts w:ascii="Arial" w:hAnsi="Arial" w:cs="Arial"/>
          <w:b/>
          <w:strike/>
          <w:sz w:val="22"/>
          <w:szCs w:val="22"/>
          <w:lang w:eastAsia="zh-CN"/>
        </w:rPr>
      </w:pPr>
    </w:p>
    <w:p w14:paraId="280B619B"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57AC45D5"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Cs/>
          <w:strike/>
          <w:sz w:val="22"/>
          <w:szCs w:val="22"/>
          <w:lang w:eastAsia="zh-CN"/>
        </w:rPr>
        <w:t xml:space="preserve">Odvádění všech plynů s obsahem akrylonitrilu při spřádání vláken, plynů z reaktorů, sběrných nádob na suspenze a propíracích filtrů, které obsahují akrylonitril a butadien do zařízení k omezování emisí </w:t>
      </w:r>
    </w:p>
    <w:p w14:paraId="06FFE402" w14:textId="77777777" w:rsidR="008F52C8" w:rsidRPr="0030358C" w:rsidRDefault="008F52C8" w:rsidP="008F52C8">
      <w:pPr>
        <w:keepNext/>
        <w:keepLines/>
        <w:jc w:val="both"/>
        <w:rPr>
          <w:rFonts w:ascii="Arial" w:hAnsi="Arial" w:cs="Arial"/>
          <w:bCs/>
          <w:strike/>
          <w:sz w:val="22"/>
          <w:szCs w:val="22"/>
          <w:lang w:eastAsia="zh-CN"/>
        </w:rPr>
      </w:pPr>
    </w:p>
    <w:p w14:paraId="21DADC39" w14:textId="77777777" w:rsidR="008F52C8" w:rsidRPr="0030358C" w:rsidRDefault="00000000" w:rsidP="008F52C8">
      <w:pPr>
        <w:keepNext/>
        <w:keepLines/>
        <w:rPr>
          <w:rFonts w:ascii="Arial" w:hAnsi="Arial" w:cs="Arial"/>
          <w:b/>
          <w:strike/>
          <w:sz w:val="22"/>
          <w:szCs w:val="22"/>
          <w:lang w:eastAsia="zh-CN"/>
        </w:rPr>
      </w:pPr>
      <w:r w:rsidRPr="0030358C">
        <w:rPr>
          <w:rFonts w:ascii="Arial" w:hAnsi="Arial" w:cs="Arial"/>
          <w:b/>
          <w:strike/>
          <w:sz w:val="22"/>
          <w:szCs w:val="22"/>
          <w:lang w:eastAsia="zh-CN"/>
        </w:rPr>
        <w:t xml:space="preserve">5.1.3. Výroba polyvinylchloridu </w:t>
      </w:r>
      <w:r w:rsidRPr="0030358C">
        <w:rPr>
          <w:rFonts w:ascii="Arial" w:hAnsi="Arial" w:cs="Arial"/>
          <w:bCs/>
          <w:strike/>
          <w:sz w:val="22"/>
          <w:szCs w:val="22"/>
          <w:lang w:eastAsia="zh-CN"/>
        </w:rPr>
        <w:t>(kód 6.4. dle přílohy č. 2 zákona)</w:t>
      </w:r>
    </w:p>
    <w:tbl>
      <w:tblPr>
        <w:tblW w:w="0" w:type="auto"/>
        <w:tblInd w:w="-15" w:type="dxa"/>
        <w:tblLayout w:type="fixed"/>
        <w:tblLook w:val="0000" w:firstRow="0" w:lastRow="0" w:firstColumn="0" w:lastColumn="0" w:noHBand="0" w:noVBand="0"/>
      </w:tblPr>
      <w:tblGrid>
        <w:gridCol w:w="4969"/>
        <w:gridCol w:w="2599"/>
        <w:gridCol w:w="2032"/>
      </w:tblGrid>
      <w:tr w:rsidR="00E40657" w14:paraId="15167DA3" w14:textId="77777777" w:rsidTr="00732453">
        <w:trPr>
          <w:cantSplit/>
          <w:trHeight w:hRule="exact" w:val="495"/>
        </w:trPr>
        <w:tc>
          <w:tcPr>
            <w:tcW w:w="4969" w:type="dxa"/>
            <w:tcBorders>
              <w:top w:val="single" w:sz="4" w:space="0" w:color="000000"/>
              <w:left w:val="single" w:sz="4" w:space="0" w:color="000000"/>
              <w:bottom w:val="single" w:sz="4" w:space="0" w:color="000000"/>
            </w:tcBorders>
            <w:shd w:val="clear" w:color="auto" w:fill="auto"/>
            <w:vAlign w:val="center"/>
          </w:tcPr>
          <w:p w14:paraId="643F32B9"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599" w:type="dxa"/>
            <w:vMerge w:val="restart"/>
            <w:tcBorders>
              <w:top w:val="single" w:sz="4" w:space="0" w:color="000000"/>
              <w:left w:val="single" w:sz="4" w:space="0" w:color="000000"/>
              <w:bottom w:val="single" w:sz="4" w:space="0" w:color="000000"/>
            </w:tcBorders>
            <w:shd w:val="clear" w:color="auto" w:fill="auto"/>
            <w:vAlign w:val="center"/>
          </w:tcPr>
          <w:p w14:paraId="6789D000"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Emisní limit [g/t]</w:t>
            </w: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FD8650"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C9E257F" w14:textId="77777777" w:rsidTr="00732453">
        <w:trPr>
          <w:cantSplit/>
          <w:trHeight w:hRule="exact" w:val="340"/>
        </w:trPr>
        <w:tc>
          <w:tcPr>
            <w:tcW w:w="4969" w:type="dxa"/>
            <w:tcBorders>
              <w:top w:val="single" w:sz="4" w:space="0" w:color="000000"/>
              <w:left w:val="single" w:sz="4" w:space="0" w:color="000000"/>
              <w:bottom w:val="single" w:sz="4" w:space="0" w:color="000000"/>
            </w:tcBorders>
            <w:shd w:val="clear" w:color="auto" w:fill="auto"/>
            <w:vAlign w:val="center"/>
          </w:tcPr>
          <w:p w14:paraId="1ADE9023"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Vinylchlorid</w:t>
            </w:r>
          </w:p>
        </w:tc>
        <w:tc>
          <w:tcPr>
            <w:tcW w:w="2599" w:type="dxa"/>
            <w:vMerge/>
            <w:tcBorders>
              <w:top w:val="single" w:sz="4" w:space="0" w:color="000000"/>
              <w:left w:val="single" w:sz="4" w:space="0" w:color="000000"/>
              <w:bottom w:val="single" w:sz="4" w:space="0" w:color="000000"/>
            </w:tcBorders>
            <w:shd w:val="clear" w:color="auto" w:fill="auto"/>
            <w:vAlign w:val="center"/>
          </w:tcPr>
          <w:p w14:paraId="674C51D9" w14:textId="77777777" w:rsidR="008F52C8" w:rsidRPr="0030358C" w:rsidRDefault="008F52C8" w:rsidP="00732453">
            <w:pPr>
              <w:snapToGrid w:val="0"/>
              <w:rPr>
                <w:rFonts w:ascii="Arial" w:hAnsi="Arial" w:cs="Arial"/>
                <w:b/>
                <w:strike/>
                <w:sz w:val="22"/>
                <w:szCs w:val="22"/>
                <w:lang w:eastAsia="zh-CN"/>
              </w:rPr>
            </w:pPr>
          </w:p>
        </w:tc>
        <w:tc>
          <w:tcPr>
            <w:tcW w:w="20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ECE871" w14:textId="77777777" w:rsidR="008F52C8" w:rsidRPr="0030358C" w:rsidRDefault="008F52C8" w:rsidP="00732453">
            <w:pPr>
              <w:snapToGrid w:val="0"/>
              <w:rPr>
                <w:rFonts w:ascii="Arial" w:hAnsi="Arial" w:cs="Arial"/>
                <w:b/>
                <w:strike/>
                <w:sz w:val="22"/>
                <w:szCs w:val="22"/>
                <w:lang w:eastAsia="zh-CN"/>
              </w:rPr>
            </w:pPr>
          </w:p>
        </w:tc>
      </w:tr>
      <w:tr w:rsidR="00E40657" w14:paraId="7EB969DF" w14:textId="77777777" w:rsidTr="00732453">
        <w:trPr>
          <w:cantSplit/>
          <w:trHeight w:hRule="exact" w:val="642"/>
        </w:trPr>
        <w:tc>
          <w:tcPr>
            <w:tcW w:w="4969" w:type="dxa"/>
            <w:tcBorders>
              <w:top w:val="single" w:sz="4" w:space="0" w:color="000000"/>
              <w:left w:val="single" w:sz="4" w:space="0" w:color="000000"/>
              <w:bottom w:val="single" w:sz="4" w:space="0" w:color="000000"/>
            </w:tcBorders>
            <w:shd w:val="clear" w:color="auto" w:fill="auto"/>
            <w:vAlign w:val="center"/>
          </w:tcPr>
          <w:p w14:paraId="7A11491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p>
        </w:tc>
        <w:tc>
          <w:tcPr>
            <w:tcW w:w="2599" w:type="dxa"/>
            <w:tcBorders>
              <w:top w:val="single" w:sz="4" w:space="0" w:color="000000"/>
              <w:left w:val="single" w:sz="4" w:space="0" w:color="000000"/>
              <w:bottom w:val="single" w:sz="4" w:space="0" w:color="000000"/>
            </w:tcBorders>
            <w:shd w:val="clear" w:color="auto" w:fill="auto"/>
            <w:vAlign w:val="center"/>
          </w:tcPr>
          <w:p w14:paraId="042DA391"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1)</w:t>
            </w:r>
          </w:p>
          <w:p w14:paraId="65E8ABBE"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100</w:t>
            </w:r>
            <w:r w:rsidRPr="0030358C">
              <w:rPr>
                <w:rFonts w:ascii="Arial" w:hAnsi="Arial" w:cs="Arial"/>
                <w:bCs/>
                <w:strike/>
                <w:sz w:val="22"/>
                <w:szCs w:val="22"/>
                <w:vertAlign w:val="superscript"/>
                <w:lang w:eastAsia="zh-CN"/>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18F7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2A1F7F35" w14:textId="77777777" w:rsidR="008F52C8" w:rsidRPr="0030358C" w:rsidRDefault="00000000" w:rsidP="008F52C8">
      <w:pPr>
        <w:widowControl w:val="0"/>
        <w:autoSpaceDE w:val="0"/>
        <w:jc w:val="both"/>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155FDD03" w14:textId="77777777" w:rsidR="008F52C8" w:rsidRPr="0030358C" w:rsidRDefault="00000000" w:rsidP="008F52C8">
      <w:pPr>
        <w:widowControl w:val="0"/>
        <w:tabs>
          <w:tab w:val="left" w:pos="284"/>
        </w:tabs>
        <w:autoSpaceDE w:val="0"/>
        <w:spacing w:line="276" w:lineRule="auto"/>
        <w:jc w:val="both"/>
        <w:rPr>
          <w:rFonts w:ascii="Arial" w:hAnsi="Arial" w:cs="Arial"/>
          <w:iCs/>
          <w:strike/>
          <w:sz w:val="22"/>
          <w:szCs w:val="22"/>
          <w:lang w:eastAsia="zh-CN"/>
        </w:rPr>
      </w:pPr>
      <w:r w:rsidRPr="0030358C">
        <w:rPr>
          <w:rFonts w:ascii="Arial" w:hAnsi="Arial" w:cs="Arial"/>
          <w:iCs/>
          <w:strike/>
          <w:sz w:val="22"/>
          <w:szCs w:val="22"/>
          <w:lang w:eastAsia="zh-CN"/>
        </w:rPr>
        <w:t>1)</w:t>
      </w:r>
      <w:r w:rsidRPr="0030358C">
        <w:rPr>
          <w:rFonts w:ascii="Arial" w:hAnsi="Arial" w:cs="Arial"/>
          <w:iCs/>
          <w:strike/>
          <w:sz w:val="22"/>
          <w:szCs w:val="22"/>
          <w:lang w:eastAsia="zh-CN"/>
        </w:rPr>
        <w:tab/>
        <w:t>Platí pro vinylchlorid u hotového výrobku na jednotku PVC.</w:t>
      </w:r>
    </w:p>
    <w:p w14:paraId="19AE7DE1" w14:textId="77777777" w:rsidR="008F52C8" w:rsidRPr="0030358C" w:rsidRDefault="00000000" w:rsidP="008F52C8">
      <w:pPr>
        <w:widowControl w:val="0"/>
        <w:tabs>
          <w:tab w:val="left" w:pos="284"/>
        </w:tabs>
        <w:autoSpaceDE w:val="0"/>
        <w:spacing w:line="276" w:lineRule="auto"/>
        <w:jc w:val="both"/>
        <w:rPr>
          <w:rFonts w:ascii="Arial" w:hAnsi="Arial" w:cs="Arial"/>
          <w:iCs/>
          <w:strike/>
          <w:sz w:val="22"/>
          <w:szCs w:val="22"/>
          <w:lang w:eastAsia="zh-CN"/>
        </w:rPr>
      </w:pPr>
      <w:r w:rsidRPr="0030358C">
        <w:rPr>
          <w:rFonts w:ascii="Arial" w:hAnsi="Arial" w:cs="Arial"/>
          <w:iCs/>
          <w:strike/>
          <w:sz w:val="22"/>
          <w:szCs w:val="22"/>
          <w:lang w:eastAsia="zh-CN"/>
        </w:rPr>
        <w:t>2)</w:t>
      </w:r>
      <w:r w:rsidRPr="0030358C">
        <w:rPr>
          <w:rFonts w:ascii="Arial" w:hAnsi="Arial" w:cs="Arial"/>
          <w:iCs/>
          <w:strike/>
          <w:sz w:val="22"/>
          <w:szCs w:val="22"/>
          <w:lang w:eastAsia="zh-CN"/>
        </w:rPr>
        <w:tab/>
        <w:t>Platí pro zbytkový obsah vinylchloridu v místě přechodu z uzavřeného systému na úpravu nebo na sušení v otevřeném systému v měsíčním průměru, v suspenzi polymeru na jednotku PVC.</w:t>
      </w:r>
    </w:p>
    <w:p w14:paraId="561FE6A5" w14:textId="77777777" w:rsidR="008F52C8" w:rsidRPr="0030358C" w:rsidRDefault="008F52C8" w:rsidP="008F52C8">
      <w:pPr>
        <w:rPr>
          <w:rFonts w:ascii="Arial" w:hAnsi="Arial" w:cs="Arial"/>
          <w:b/>
          <w:strike/>
          <w:sz w:val="22"/>
          <w:szCs w:val="22"/>
          <w:lang w:eastAsia="zh-CN"/>
        </w:rPr>
      </w:pPr>
    </w:p>
    <w:p w14:paraId="20E033D7" w14:textId="77777777" w:rsidR="008F52C8" w:rsidRPr="0030358C" w:rsidRDefault="008F52C8" w:rsidP="008F52C8">
      <w:pPr>
        <w:rPr>
          <w:rFonts w:ascii="Arial" w:hAnsi="Arial" w:cs="Arial"/>
          <w:b/>
          <w:strike/>
          <w:sz w:val="22"/>
          <w:szCs w:val="22"/>
          <w:lang w:eastAsia="zh-CN"/>
        </w:rPr>
      </w:pPr>
    </w:p>
    <w:p w14:paraId="54318829" w14:textId="77777777" w:rsidR="008F52C8" w:rsidRPr="0030358C" w:rsidRDefault="00000000" w:rsidP="008F52C8">
      <w:pPr>
        <w:autoSpaceDE w:val="0"/>
        <w:jc w:val="both"/>
        <w:rPr>
          <w:rFonts w:ascii="Arial" w:hAnsi="Arial" w:cs="Arial"/>
          <w:bCs/>
          <w:strike/>
          <w:color w:val="000000"/>
          <w:sz w:val="22"/>
          <w:szCs w:val="22"/>
          <w:lang w:eastAsia="zh-CN"/>
        </w:rPr>
      </w:pPr>
      <w:r w:rsidRPr="0030358C">
        <w:rPr>
          <w:rFonts w:ascii="Arial" w:hAnsi="Arial" w:cs="Arial"/>
          <w:b/>
          <w:strike/>
          <w:color w:val="000000"/>
          <w:sz w:val="22"/>
          <w:szCs w:val="22"/>
          <w:lang w:eastAsia="zh-CN"/>
        </w:rPr>
        <w:t>5.1.4.</w:t>
      </w:r>
      <w:r w:rsidRPr="0030358C">
        <w:rPr>
          <w:rFonts w:ascii="Arial" w:eastAsia="EUAlbertina" w:hAnsi="Arial" w:cs="Arial"/>
          <w:b/>
          <w:strike/>
          <w:color w:val="000000"/>
          <w:sz w:val="22"/>
          <w:szCs w:val="22"/>
          <w:lang w:eastAsia="zh-CN"/>
        </w:rPr>
        <w:t xml:space="preserve"> </w:t>
      </w:r>
      <w:r w:rsidRPr="0030358C">
        <w:rPr>
          <w:rFonts w:ascii="Arial" w:hAnsi="Arial" w:cs="Arial"/>
          <w:b/>
          <w:strike/>
          <w:color w:val="000000"/>
          <w:sz w:val="22"/>
          <w:szCs w:val="22"/>
          <w:lang w:eastAsia="zh-CN"/>
        </w:rPr>
        <w:t>Výroba nebo zpracování syntetických polymerů a kompozitů, s výjimkou výroby syntetických polymerů a kompozitů uvedených pod jiným kódem, o celkové projektované kapacitě vyšší než 100 t za rok nebo s celkovou projektovanou spotřebou</w:t>
      </w:r>
      <w:r w:rsidRPr="0030358C">
        <w:rPr>
          <w:rFonts w:ascii="Arial" w:hAnsi="Arial" w:cs="Arial"/>
          <w:b/>
          <w:strike/>
          <w:color w:val="000000"/>
          <w:sz w:val="22"/>
          <w:szCs w:val="22"/>
          <w:vertAlign w:val="superscript"/>
          <w:lang w:eastAsia="zh-CN"/>
        </w:rPr>
        <w:t>5)</w:t>
      </w:r>
      <w:r w:rsidRPr="0030358C">
        <w:rPr>
          <w:rFonts w:ascii="Arial" w:hAnsi="Arial" w:cs="Arial"/>
          <w:b/>
          <w:strike/>
          <w:color w:val="000000"/>
          <w:sz w:val="22"/>
          <w:szCs w:val="22"/>
          <w:lang w:eastAsia="zh-CN"/>
        </w:rPr>
        <w:t xml:space="preserve"> organických rozpouštědel 0,6 t za rok nebo větší; řezání syntetických polymerů laserem nebo odporovým drátem o celkové projektované kapacitě vyšší než 10 tun za rok. </w:t>
      </w:r>
      <w:r w:rsidRPr="0030358C">
        <w:rPr>
          <w:rFonts w:ascii="Arial" w:hAnsi="Arial" w:cs="Arial"/>
          <w:bCs/>
          <w:strike/>
          <w:color w:val="000000"/>
          <w:sz w:val="22"/>
          <w:szCs w:val="22"/>
          <w:lang w:eastAsia="zh-CN"/>
        </w:rPr>
        <w:t>(kód 6.5.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3479"/>
        <w:gridCol w:w="2413"/>
        <w:gridCol w:w="3497"/>
      </w:tblGrid>
      <w:tr w:rsidR="00E40657" w14:paraId="4BDF179D" w14:textId="77777777" w:rsidTr="00732453">
        <w:trPr>
          <w:cantSplit/>
          <w:trHeight w:hRule="exact" w:val="341"/>
        </w:trPr>
        <w:tc>
          <w:tcPr>
            <w:tcW w:w="5892" w:type="dxa"/>
            <w:gridSpan w:val="2"/>
            <w:tcBorders>
              <w:top w:val="single" w:sz="2" w:space="0" w:color="000000"/>
              <w:left w:val="single" w:sz="2" w:space="0" w:color="000000"/>
              <w:bottom w:val="single" w:sz="2" w:space="0" w:color="000000"/>
            </w:tcBorders>
            <w:shd w:val="clear" w:color="auto" w:fill="auto"/>
            <w:vAlign w:val="center"/>
          </w:tcPr>
          <w:p w14:paraId="0B416A8F" w14:textId="77777777" w:rsidR="008F52C8" w:rsidRPr="0030358C" w:rsidRDefault="00000000" w:rsidP="00732453">
            <w:pPr>
              <w:widowControl w:val="0"/>
              <w:autoSpaceDE w:val="0"/>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w:t>
            </w:r>
            <w:r w:rsidRPr="0030358C">
              <w:rPr>
                <w:rFonts w:ascii="Arial" w:hAnsi="Arial" w:cs="Arial"/>
                <w:b/>
                <w:bCs/>
                <w:strike/>
                <w:sz w:val="22"/>
                <w:szCs w:val="22"/>
                <w:lang w:eastAsia="zh-CN"/>
              </w:rPr>
              <w:t>[mg/m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497" w:type="dxa"/>
            <w:vMerge w:val="restart"/>
            <w:tcBorders>
              <w:top w:val="single" w:sz="2" w:space="0" w:color="000000"/>
              <w:left w:val="single" w:sz="2" w:space="0" w:color="000000"/>
              <w:right w:val="single" w:sz="2" w:space="0" w:color="000000"/>
            </w:tcBorders>
            <w:shd w:val="clear" w:color="auto" w:fill="auto"/>
            <w:vAlign w:val="center"/>
          </w:tcPr>
          <w:p w14:paraId="67A1A55F"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3F521AE8" w14:textId="77777777" w:rsidR="008F52C8" w:rsidRPr="0030358C" w:rsidRDefault="00000000" w:rsidP="00732453">
            <w:pPr>
              <w:widowControl w:val="0"/>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podmínky</w:t>
            </w:r>
          </w:p>
        </w:tc>
      </w:tr>
      <w:tr w:rsidR="00E40657" w14:paraId="632111E7" w14:textId="77777777" w:rsidTr="00732453">
        <w:trPr>
          <w:cantSplit/>
          <w:trHeight w:hRule="exact" w:val="331"/>
        </w:trPr>
        <w:tc>
          <w:tcPr>
            <w:tcW w:w="3479" w:type="dxa"/>
            <w:tcBorders>
              <w:top w:val="single" w:sz="2" w:space="0" w:color="000000"/>
              <w:left w:val="single" w:sz="2" w:space="0" w:color="000000"/>
              <w:bottom w:val="single" w:sz="2" w:space="0" w:color="000000"/>
            </w:tcBorders>
            <w:shd w:val="clear" w:color="auto" w:fill="auto"/>
            <w:vAlign w:val="center"/>
          </w:tcPr>
          <w:p w14:paraId="4899BA00" w14:textId="77777777" w:rsidR="008F52C8" w:rsidRPr="0030358C" w:rsidRDefault="00000000" w:rsidP="00732453">
            <w:pPr>
              <w:widowControl w:val="0"/>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TOC</w:t>
            </w:r>
          </w:p>
        </w:tc>
        <w:tc>
          <w:tcPr>
            <w:tcW w:w="2413" w:type="dxa"/>
            <w:tcBorders>
              <w:top w:val="single" w:sz="2" w:space="0" w:color="000000"/>
              <w:left w:val="single" w:sz="2" w:space="0" w:color="000000"/>
              <w:bottom w:val="single" w:sz="2" w:space="0" w:color="000000"/>
            </w:tcBorders>
            <w:shd w:val="clear" w:color="auto" w:fill="auto"/>
            <w:vAlign w:val="center"/>
          </w:tcPr>
          <w:p w14:paraId="4C817548" w14:textId="77777777" w:rsidR="008F52C8" w:rsidRPr="0030358C" w:rsidRDefault="00000000" w:rsidP="00732453">
            <w:pPr>
              <w:widowControl w:val="0"/>
              <w:autoSpaceDE w:val="0"/>
              <w:snapToGrid w:val="0"/>
              <w:jc w:val="center"/>
              <w:rPr>
                <w:rFonts w:ascii="Arial" w:hAnsi="Arial" w:cs="Arial"/>
                <w:b/>
                <w:bCs/>
                <w:strike/>
                <w:sz w:val="22"/>
                <w:szCs w:val="22"/>
                <w:vertAlign w:val="subscript"/>
                <w:lang w:eastAsia="zh-CN"/>
              </w:rPr>
            </w:pPr>
            <w:r w:rsidRPr="0030358C">
              <w:rPr>
                <w:rFonts w:ascii="Arial" w:hAnsi="Arial" w:cs="Arial"/>
                <w:b/>
                <w:bCs/>
                <w:strike/>
                <w:sz w:val="22"/>
                <w:szCs w:val="22"/>
                <w:lang w:eastAsia="zh-CN"/>
              </w:rPr>
              <w:t>NH</w:t>
            </w:r>
            <w:r w:rsidRPr="0030358C">
              <w:rPr>
                <w:rFonts w:ascii="Arial" w:hAnsi="Arial" w:cs="Arial"/>
                <w:b/>
                <w:bCs/>
                <w:strike/>
                <w:sz w:val="22"/>
                <w:szCs w:val="22"/>
                <w:vertAlign w:val="subscript"/>
                <w:lang w:eastAsia="zh-CN"/>
              </w:rPr>
              <w:t>3</w:t>
            </w:r>
          </w:p>
        </w:tc>
        <w:tc>
          <w:tcPr>
            <w:tcW w:w="3497" w:type="dxa"/>
            <w:vMerge/>
            <w:tcBorders>
              <w:left w:val="single" w:sz="2" w:space="0" w:color="000000"/>
              <w:bottom w:val="single" w:sz="2" w:space="0" w:color="000000"/>
              <w:right w:val="single" w:sz="2" w:space="0" w:color="000000"/>
            </w:tcBorders>
            <w:shd w:val="clear" w:color="auto" w:fill="auto"/>
          </w:tcPr>
          <w:p w14:paraId="1D7D187C" w14:textId="77777777" w:rsidR="008F52C8" w:rsidRPr="0030358C" w:rsidRDefault="008F52C8" w:rsidP="00732453">
            <w:pPr>
              <w:widowControl w:val="0"/>
              <w:autoSpaceDE w:val="0"/>
              <w:snapToGrid w:val="0"/>
              <w:jc w:val="both"/>
              <w:rPr>
                <w:rFonts w:ascii="Arial" w:hAnsi="Arial" w:cs="Arial"/>
                <w:b/>
                <w:bCs/>
                <w:strike/>
                <w:sz w:val="22"/>
                <w:szCs w:val="22"/>
                <w:lang w:eastAsia="zh-CN"/>
              </w:rPr>
            </w:pPr>
          </w:p>
        </w:tc>
      </w:tr>
      <w:tr w:rsidR="00E40657" w14:paraId="5D0C7B5A" w14:textId="77777777" w:rsidTr="00732453">
        <w:trPr>
          <w:trHeight w:hRule="exact" w:val="568"/>
        </w:trPr>
        <w:tc>
          <w:tcPr>
            <w:tcW w:w="3479" w:type="dxa"/>
            <w:tcBorders>
              <w:top w:val="single" w:sz="2" w:space="0" w:color="000000"/>
              <w:left w:val="single" w:sz="2" w:space="0" w:color="000000"/>
              <w:bottom w:val="single" w:sz="2" w:space="0" w:color="000000"/>
            </w:tcBorders>
            <w:shd w:val="clear" w:color="auto" w:fill="auto"/>
            <w:vAlign w:val="center"/>
          </w:tcPr>
          <w:p w14:paraId="06B8C85A"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85</w:t>
            </w:r>
            <w:r w:rsidRPr="0030358C">
              <w:rPr>
                <w:rFonts w:ascii="Arial" w:hAnsi="Arial" w:cs="Arial"/>
                <w:bCs/>
                <w:strike/>
                <w:sz w:val="22"/>
                <w:szCs w:val="22"/>
                <w:vertAlign w:val="superscript"/>
                <w:lang w:eastAsia="zh-CN"/>
              </w:rPr>
              <w:t>2)</w:t>
            </w:r>
          </w:p>
          <w:p w14:paraId="79EADAB7" w14:textId="77777777" w:rsidR="008F52C8" w:rsidRPr="0030358C" w:rsidRDefault="00000000" w:rsidP="00732453">
            <w:pPr>
              <w:widowControl w:val="0"/>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3)</w:t>
            </w:r>
          </w:p>
        </w:tc>
        <w:tc>
          <w:tcPr>
            <w:tcW w:w="2413" w:type="dxa"/>
            <w:tcBorders>
              <w:top w:val="single" w:sz="2" w:space="0" w:color="000000"/>
              <w:left w:val="single" w:sz="2" w:space="0" w:color="000000"/>
              <w:bottom w:val="single" w:sz="2" w:space="0" w:color="000000"/>
            </w:tcBorders>
            <w:shd w:val="clear" w:color="auto" w:fill="auto"/>
            <w:vAlign w:val="center"/>
          </w:tcPr>
          <w:p w14:paraId="41D59D42" w14:textId="77777777" w:rsidR="008F52C8" w:rsidRPr="0030358C" w:rsidRDefault="00000000" w:rsidP="00732453">
            <w:pPr>
              <w:widowControl w:val="0"/>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4)</w:t>
            </w:r>
          </w:p>
        </w:tc>
        <w:tc>
          <w:tcPr>
            <w:tcW w:w="34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FED3B4" w14:textId="77777777" w:rsidR="008F52C8" w:rsidRPr="0030358C" w:rsidRDefault="00000000" w:rsidP="00732453">
            <w:pPr>
              <w:widowControl w:val="0"/>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42E5192A" w14:textId="77777777" w:rsidR="008F52C8" w:rsidRPr="0030358C" w:rsidRDefault="00000000" w:rsidP="008F52C8">
      <w:pPr>
        <w:ind w:left="142" w:hanging="142"/>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6A03488E" w14:textId="77777777" w:rsidR="008F52C8" w:rsidRPr="0030358C" w:rsidRDefault="00000000" w:rsidP="008F52C8">
      <w:pPr>
        <w:spacing w:line="276" w:lineRule="auto"/>
        <w:rPr>
          <w:rFonts w:ascii="Arial" w:hAnsi="Arial" w:cs="Arial"/>
          <w:iCs/>
          <w:strike/>
          <w:sz w:val="22"/>
          <w:szCs w:val="22"/>
          <w:lang w:eastAsia="zh-CN"/>
        </w:rPr>
      </w:pPr>
      <w:r w:rsidRPr="0030358C">
        <w:rPr>
          <w:rFonts w:ascii="Arial" w:hAnsi="Arial" w:cs="Arial"/>
          <w:iCs/>
          <w:strike/>
          <w:sz w:val="22"/>
          <w:szCs w:val="22"/>
          <w:lang w:eastAsia="zh-CN"/>
        </w:rPr>
        <w:t>1) Neplatí pro zpracování kapalných epoxidových pryskyřic přímo v místě jejich konečného použití (např. během stavby budov).</w:t>
      </w:r>
    </w:p>
    <w:p w14:paraId="1B0369CC" w14:textId="77777777" w:rsidR="008F52C8" w:rsidRPr="0030358C" w:rsidRDefault="00000000" w:rsidP="008F52C8">
      <w:pPr>
        <w:spacing w:line="276" w:lineRule="auto"/>
        <w:ind w:left="142" w:hanging="142"/>
        <w:rPr>
          <w:rFonts w:ascii="Arial" w:hAnsi="Arial" w:cs="Arial"/>
          <w:iCs/>
          <w:strike/>
          <w:sz w:val="22"/>
          <w:szCs w:val="22"/>
          <w:lang w:eastAsia="zh-CN"/>
        </w:rPr>
      </w:pPr>
      <w:r w:rsidRPr="0030358C">
        <w:rPr>
          <w:rFonts w:ascii="Arial" w:hAnsi="Arial" w:cs="Arial"/>
          <w:iCs/>
          <w:strike/>
          <w:sz w:val="22"/>
          <w:szCs w:val="22"/>
          <w:lang w:eastAsia="zh-CN"/>
        </w:rPr>
        <w:t>2) Platí pro zpracování kapalných epoxidových pryskyřic s aminy.</w:t>
      </w:r>
    </w:p>
    <w:p w14:paraId="6CFE7466" w14:textId="77777777" w:rsidR="008F52C8" w:rsidRPr="0030358C" w:rsidRDefault="00000000" w:rsidP="008F52C8">
      <w:pPr>
        <w:spacing w:line="276" w:lineRule="auto"/>
        <w:rPr>
          <w:rFonts w:ascii="Arial" w:hAnsi="Arial" w:cs="Arial"/>
          <w:iCs/>
          <w:strike/>
          <w:sz w:val="22"/>
          <w:szCs w:val="22"/>
          <w:lang w:eastAsia="zh-CN"/>
        </w:rPr>
      </w:pPr>
      <w:r w:rsidRPr="0030358C">
        <w:rPr>
          <w:rFonts w:ascii="Arial" w:hAnsi="Arial" w:cs="Arial"/>
          <w:iCs/>
          <w:strike/>
          <w:sz w:val="22"/>
          <w:szCs w:val="22"/>
          <w:lang w:eastAsia="zh-CN"/>
        </w:rPr>
        <w:t>3) Platí pro zařízení na výrobu polyuretanových dílců, stavebnin s použitím polyuretanu, nevztahuje se na polyuretan nadouvaný uhlovodíkem (např. pentan).</w:t>
      </w:r>
    </w:p>
    <w:p w14:paraId="78C45D38" w14:textId="77777777" w:rsidR="008F52C8" w:rsidRPr="0030358C" w:rsidRDefault="00000000" w:rsidP="008F52C8">
      <w:pPr>
        <w:spacing w:line="276" w:lineRule="auto"/>
        <w:rPr>
          <w:rFonts w:ascii="Arial" w:hAnsi="Arial" w:cs="Arial"/>
          <w:iCs/>
          <w:strike/>
          <w:sz w:val="22"/>
          <w:szCs w:val="22"/>
          <w:lang w:eastAsia="zh-CN"/>
        </w:rPr>
      </w:pPr>
      <w:r w:rsidRPr="0030358C">
        <w:rPr>
          <w:rFonts w:ascii="Arial" w:hAnsi="Arial" w:cs="Arial"/>
          <w:iCs/>
          <w:strike/>
          <w:sz w:val="22"/>
          <w:szCs w:val="22"/>
          <w:lang w:eastAsia="zh-CN"/>
        </w:rPr>
        <w:t>4) Platí pro zařízení na výrobu předmětů tepelnou úpravou s použitím aminoplastů nebo fenoplastů jako např. furanových, močovinoformaldehydových, fenolových nebo xylenových pryskyřic,</w:t>
      </w:r>
    </w:p>
    <w:p w14:paraId="20392A67" w14:textId="77777777" w:rsidR="008F52C8" w:rsidRPr="0030358C" w:rsidRDefault="00000000" w:rsidP="008F52C8">
      <w:pPr>
        <w:spacing w:line="276" w:lineRule="auto"/>
        <w:rPr>
          <w:rFonts w:ascii="Arial" w:hAnsi="Arial" w:cs="Arial"/>
          <w:i/>
          <w:strike/>
          <w:sz w:val="22"/>
          <w:szCs w:val="22"/>
          <w:lang w:eastAsia="zh-CN"/>
        </w:rPr>
      </w:pPr>
      <w:r w:rsidRPr="0030358C">
        <w:rPr>
          <w:rFonts w:ascii="Arial" w:hAnsi="Arial" w:cs="Arial"/>
          <w:iCs/>
          <w:strike/>
          <w:sz w:val="22"/>
          <w:szCs w:val="22"/>
          <w:lang w:eastAsia="zh-CN"/>
        </w:rPr>
        <w:t>5) Celková projektovaná spotřeba organických rozpouštědel zahrnuje spotřebu přípravků použitých při vlastní výrobní činnosti a rovněž přípravky užívané např. na čištění procesního zařízení či pracovních prostorů.</w:t>
      </w:r>
    </w:p>
    <w:p w14:paraId="4C1C6B0A" w14:textId="77777777" w:rsidR="008F52C8" w:rsidRPr="0030358C" w:rsidRDefault="008F52C8" w:rsidP="008F52C8">
      <w:pPr>
        <w:tabs>
          <w:tab w:val="left" w:pos="0"/>
        </w:tabs>
        <w:spacing w:before="60"/>
        <w:jc w:val="both"/>
        <w:rPr>
          <w:rFonts w:ascii="Arial" w:hAnsi="Arial" w:cs="Arial"/>
          <w:b/>
          <w:i/>
          <w:strike/>
          <w:sz w:val="22"/>
          <w:szCs w:val="22"/>
          <w:lang w:eastAsia="zh-CN"/>
        </w:rPr>
      </w:pPr>
    </w:p>
    <w:p w14:paraId="79432C41" w14:textId="77777777" w:rsidR="008F52C8" w:rsidRPr="0030358C" w:rsidRDefault="00000000" w:rsidP="008F52C8">
      <w:pPr>
        <w:tabs>
          <w:tab w:val="left" w:pos="0"/>
        </w:tabs>
        <w:spacing w:before="60"/>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2105C0B6" w14:textId="77777777" w:rsidR="008F52C8" w:rsidRPr="0030358C" w:rsidRDefault="00000000" w:rsidP="008F52C8">
      <w:pPr>
        <w:tabs>
          <w:tab w:val="left" w:pos="0"/>
        </w:tabs>
        <w:spacing w:before="60"/>
        <w:jc w:val="both"/>
        <w:rPr>
          <w:rFonts w:ascii="Arial" w:hAnsi="Arial" w:cs="Arial"/>
          <w:bCs/>
          <w:strike/>
          <w:sz w:val="22"/>
          <w:szCs w:val="22"/>
          <w:lang w:eastAsia="zh-CN"/>
        </w:rPr>
      </w:pPr>
      <w:r w:rsidRPr="0030358C">
        <w:rPr>
          <w:rFonts w:ascii="Arial" w:hAnsi="Arial" w:cs="Arial"/>
          <w:bCs/>
          <w:strike/>
          <w:sz w:val="22"/>
          <w:szCs w:val="22"/>
          <w:lang w:eastAsia="zh-CN"/>
        </w:rPr>
        <w:t>Za účelem předcházení emisím znečišťujících látek obtěžujících zápachem využívat opatření ke snižování emisí těchto látek, např. svedením emisí organických látek na jednotku termického spalování, na filtr s aktivním uhlím apod.</w:t>
      </w:r>
    </w:p>
    <w:p w14:paraId="74BECCC6" w14:textId="77777777" w:rsidR="008F52C8" w:rsidRPr="0030358C" w:rsidRDefault="008F52C8" w:rsidP="008F52C8">
      <w:pPr>
        <w:tabs>
          <w:tab w:val="left" w:pos="0"/>
        </w:tabs>
        <w:spacing w:before="60"/>
        <w:jc w:val="both"/>
        <w:rPr>
          <w:rFonts w:ascii="Arial" w:hAnsi="Arial" w:cs="Arial"/>
          <w:bCs/>
          <w:strike/>
          <w:sz w:val="22"/>
          <w:szCs w:val="22"/>
          <w:lang w:eastAsia="zh-CN"/>
        </w:rPr>
      </w:pPr>
    </w:p>
    <w:p w14:paraId="56C2ACC8"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lastRenderedPageBreak/>
        <w:t>5.1.5. Výroba a zpracování viskózy</w:t>
      </w:r>
      <w:r w:rsidRPr="0030358C">
        <w:rPr>
          <w:rFonts w:ascii="Arial" w:hAnsi="Arial" w:cs="Arial"/>
          <w:bCs/>
          <w:strike/>
          <w:sz w:val="22"/>
          <w:szCs w:val="22"/>
          <w:lang w:eastAsia="zh-CN"/>
        </w:rPr>
        <w:t xml:space="preserve"> (kód 6.6. dle přílohy č. 2 zákona)</w:t>
      </w:r>
    </w:p>
    <w:tbl>
      <w:tblPr>
        <w:tblW w:w="0" w:type="auto"/>
        <w:tblInd w:w="-15" w:type="dxa"/>
        <w:tblLayout w:type="fixed"/>
        <w:tblLook w:val="0000" w:firstRow="0" w:lastRow="0" w:firstColumn="0" w:lastColumn="0" w:noHBand="0" w:noVBand="0"/>
      </w:tblPr>
      <w:tblGrid>
        <w:gridCol w:w="1934"/>
        <w:gridCol w:w="2548"/>
        <w:gridCol w:w="2542"/>
        <w:gridCol w:w="2576"/>
      </w:tblGrid>
      <w:tr w:rsidR="00E40657" w14:paraId="691A2E09" w14:textId="77777777" w:rsidTr="00732453">
        <w:trPr>
          <w:cantSplit/>
          <w:trHeight w:hRule="exact" w:val="389"/>
        </w:trPr>
        <w:tc>
          <w:tcPr>
            <w:tcW w:w="7024" w:type="dxa"/>
            <w:gridSpan w:val="3"/>
            <w:tcBorders>
              <w:top w:val="single" w:sz="4" w:space="0" w:color="000000"/>
              <w:left w:val="single" w:sz="4" w:space="0" w:color="000000"/>
              <w:bottom w:val="single" w:sz="4" w:space="0" w:color="000000"/>
            </w:tcBorders>
            <w:shd w:val="clear" w:color="auto" w:fill="auto"/>
            <w:vAlign w:val="center"/>
          </w:tcPr>
          <w:p w14:paraId="056B6162"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838F3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2E50772" w14:textId="77777777" w:rsidTr="00732453">
        <w:trPr>
          <w:cantSplit/>
          <w:trHeight w:hRule="exact" w:val="424"/>
        </w:trPr>
        <w:tc>
          <w:tcPr>
            <w:tcW w:w="1934" w:type="dxa"/>
            <w:tcBorders>
              <w:top w:val="single" w:sz="4" w:space="0" w:color="000000"/>
              <w:left w:val="single" w:sz="4" w:space="0" w:color="000000"/>
              <w:bottom w:val="single" w:sz="4" w:space="0" w:color="000000"/>
            </w:tcBorders>
            <w:shd w:val="clear" w:color="auto" w:fill="auto"/>
          </w:tcPr>
          <w:p w14:paraId="2C64EF2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H</w:t>
            </w:r>
            <w:r w:rsidRPr="0030358C">
              <w:rPr>
                <w:rFonts w:ascii="Arial" w:hAnsi="Arial" w:cs="Arial"/>
                <w:b/>
                <w:strike/>
                <w:sz w:val="22"/>
                <w:szCs w:val="22"/>
                <w:vertAlign w:val="subscript"/>
                <w:lang w:eastAsia="zh-CN"/>
              </w:rPr>
              <w:t>2</w:t>
            </w:r>
            <w:r w:rsidRPr="0030358C">
              <w:rPr>
                <w:rFonts w:ascii="Arial" w:hAnsi="Arial" w:cs="Arial"/>
                <w:b/>
                <w:strike/>
                <w:sz w:val="22"/>
                <w:szCs w:val="22"/>
                <w:lang w:eastAsia="zh-CN"/>
              </w:rPr>
              <w:t>S</w:t>
            </w:r>
          </w:p>
        </w:tc>
        <w:tc>
          <w:tcPr>
            <w:tcW w:w="2548" w:type="dxa"/>
            <w:tcBorders>
              <w:top w:val="single" w:sz="4" w:space="0" w:color="000000"/>
              <w:left w:val="single" w:sz="4" w:space="0" w:color="000000"/>
              <w:bottom w:val="single" w:sz="4" w:space="0" w:color="000000"/>
            </w:tcBorders>
            <w:shd w:val="clear" w:color="auto" w:fill="auto"/>
            <w:vAlign w:val="center"/>
          </w:tcPr>
          <w:p w14:paraId="37387E5F"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CS</w:t>
            </w:r>
            <w:r w:rsidRPr="0030358C">
              <w:rPr>
                <w:rFonts w:ascii="Arial" w:hAnsi="Arial" w:cs="Arial"/>
                <w:b/>
                <w:strike/>
                <w:sz w:val="22"/>
                <w:szCs w:val="22"/>
                <w:vertAlign w:val="subscript"/>
                <w:lang w:eastAsia="zh-CN"/>
              </w:rPr>
              <w:t>2</w:t>
            </w:r>
          </w:p>
        </w:tc>
        <w:tc>
          <w:tcPr>
            <w:tcW w:w="2542" w:type="dxa"/>
            <w:tcBorders>
              <w:top w:val="single" w:sz="4" w:space="0" w:color="000000"/>
              <w:left w:val="single" w:sz="4" w:space="0" w:color="000000"/>
              <w:bottom w:val="single" w:sz="4" w:space="0" w:color="000000"/>
            </w:tcBorders>
            <w:shd w:val="clear" w:color="auto" w:fill="auto"/>
            <w:vAlign w:val="center"/>
          </w:tcPr>
          <w:p w14:paraId="0D54C101"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H</w:t>
            </w:r>
            <w:r w:rsidRPr="0030358C">
              <w:rPr>
                <w:rFonts w:ascii="Arial" w:hAnsi="Arial" w:cs="Arial"/>
                <w:b/>
                <w:strike/>
                <w:sz w:val="22"/>
                <w:szCs w:val="22"/>
                <w:vertAlign w:val="subscript"/>
                <w:lang w:eastAsia="zh-CN"/>
              </w:rPr>
              <w:t>2</w:t>
            </w:r>
            <w:r w:rsidRPr="0030358C">
              <w:rPr>
                <w:rFonts w:ascii="Arial" w:hAnsi="Arial" w:cs="Arial"/>
                <w:b/>
                <w:strike/>
                <w:sz w:val="22"/>
                <w:szCs w:val="22"/>
                <w:lang w:eastAsia="zh-CN"/>
              </w:rPr>
              <w:t>S a CS</w:t>
            </w:r>
            <w:r w:rsidRPr="0030358C">
              <w:rPr>
                <w:rFonts w:ascii="Arial" w:hAnsi="Arial" w:cs="Arial"/>
                <w:b/>
                <w:strike/>
                <w:sz w:val="22"/>
                <w:szCs w:val="22"/>
                <w:vertAlign w:val="subscript"/>
                <w:lang w:eastAsia="zh-CN"/>
              </w:rPr>
              <w:t>2</w:t>
            </w:r>
            <w:r w:rsidRPr="0030358C">
              <w:rPr>
                <w:rFonts w:ascii="Arial" w:hAnsi="Arial" w:cs="Arial"/>
                <w:b/>
                <w:strike/>
                <w:sz w:val="22"/>
                <w:szCs w:val="22"/>
                <w:lang w:eastAsia="zh-CN"/>
              </w:rPr>
              <w:t xml:space="preserve"> celkem</w:t>
            </w:r>
          </w:p>
        </w:tc>
        <w:tc>
          <w:tcPr>
            <w:tcW w:w="2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D0993" w14:textId="77777777" w:rsidR="008F52C8" w:rsidRPr="0030358C" w:rsidRDefault="008F52C8" w:rsidP="00732453">
            <w:pPr>
              <w:snapToGrid w:val="0"/>
              <w:jc w:val="center"/>
              <w:rPr>
                <w:rFonts w:ascii="Arial" w:hAnsi="Arial" w:cs="Arial"/>
                <w:b/>
                <w:strike/>
                <w:sz w:val="22"/>
                <w:szCs w:val="22"/>
                <w:lang w:eastAsia="zh-CN"/>
              </w:rPr>
            </w:pPr>
          </w:p>
        </w:tc>
      </w:tr>
      <w:tr w:rsidR="00E40657" w14:paraId="385ED319" w14:textId="77777777" w:rsidTr="00732453">
        <w:trPr>
          <w:trHeight w:hRule="exact" w:val="724"/>
        </w:trPr>
        <w:tc>
          <w:tcPr>
            <w:tcW w:w="1934" w:type="dxa"/>
            <w:tcBorders>
              <w:top w:val="single" w:sz="4" w:space="0" w:color="000000"/>
              <w:left w:val="single" w:sz="4" w:space="0" w:color="000000"/>
              <w:bottom w:val="single" w:sz="4" w:space="0" w:color="000000"/>
            </w:tcBorders>
            <w:shd w:val="clear" w:color="auto" w:fill="auto"/>
          </w:tcPr>
          <w:p w14:paraId="075B7F5A"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p>
          <w:p w14:paraId="5C31587D" w14:textId="77777777" w:rsidR="008F52C8" w:rsidRPr="0030358C" w:rsidRDefault="00000000" w:rsidP="00732453">
            <w:pPr>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1)</w:t>
            </w:r>
          </w:p>
        </w:tc>
        <w:tc>
          <w:tcPr>
            <w:tcW w:w="2548" w:type="dxa"/>
            <w:tcBorders>
              <w:top w:val="single" w:sz="4" w:space="0" w:color="000000"/>
              <w:left w:val="single" w:sz="4" w:space="0" w:color="000000"/>
              <w:bottom w:val="single" w:sz="4" w:space="0" w:color="000000"/>
            </w:tcBorders>
            <w:shd w:val="clear" w:color="auto" w:fill="auto"/>
            <w:vAlign w:val="center"/>
          </w:tcPr>
          <w:p w14:paraId="6C1CA77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p>
          <w:p w14:paraId="2251B4A9" w14:textId="77777777" w:rsidR="008F52C8" w:rsidRPr="0030358C" w:rsidRDefault="00000000" w:rsidP="00732453">
            <w:pPr>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400</w:t>
            </w:r>
            <w:r w:rsidRPr="0030358C">
              <w:rPr>
                <w:rFonts w:ascii="Arial" w:hAnsi="Arial" w:cs="Arial"/>
                <w:bCs/>
                <w:strike/>
                <w:sz w:val="22"/>
                <w:szCs w:val="22"/>
                <w:vertAlign w:val="superscript"/>
                <w:lang w:eastAsia="zh-CN"/>
              </w:rPr>
              <w:t>1)</w:t>
            </w:r>
          </w:p>
        </w:tc>
        <w:tc>
          <w:tcPr>
            <w:tcW w:w="2542" w:type="dxa"/>
            <w:tcBorders>
              <w:top w:val="single" w:sz="4" w:space="0" w:color="000000"/>
              <w:left w:val="single" w:sz="4" w:space="0" w:color="000000"/>
              <w:bottom w:val="single" w:sz="4" w:space="0" w:color="000000"/>
            </w:tcBorders>
            <w:shd w:val="clear" w:color="auto" w:fill="auto"/>
            <w:vAlign w:val="center"/>
          </w:tcPr>
          <w:p w14:paraId="338C79DB"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200</w:t>
            </w:r>
            <w:r w:rsidRPr="0030358C">
              <w:rPr>
                <w:rFonts w:ascii="Arial" w:hAnsi="Arial" w:cs="Arial"/>
                <w:bCs/>
                <w:strike/>
                <w:sz w:val="22"/>
                <w:szCs w:val="22"/>
                <w:vertAlign w:val="superscript"/>
                <w:lang w:eastAsia="zh-CN"/>
              </w:rPr>
              <w:t>2)</w:t>
            </w:r>
          </w:p>
        </w:tc>
        <w:tc>
          <w:tcPr>
            <w:tcW w:w="2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BA4D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28D53283" w14:textId="77777777" w:rsidR="008F52C8" w:rsidRPr="0030358C" w:rsidRDefault="00000000" w:rsidP="008F52C8">
      <w:pPr>
        <w:spacing w:before="85"/>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15FF898F" w14:textId="77777777" w:rsidR="008F52C8" w:rsidRPr="0030358C" w:rsidRDefault="00000000" w:rsidP="008F52C8">
      <w:pPr>
        <w:spacing w:before="28"/>
        <w:ind w:left="68"/>
        <w:rPr>
          <w:rFonts w:ascii="Arial" w:hAnsi="Arial" w:cs="Arial"/>
          <w:iCs/>
          <w:strike/>
          <w:sz w:val="22"/>
          <w:szCs w:val="22"/>
          <w:lang w:eastAsia="zh-CN"/>
        </w:rPr>
      </w:pPr>
      <w:r w:rsidRPr="0030358C">
        <w:rPr>
          <w:rFonts w:ascii="Arial" w:hAnsi="Arial" w:cs="Arial"/>
          <w:iCs/>
          <w:strike/>
          <w:sz w:val="22"/>
          <w:szCs w:val="22"/>
          <w:lang w:eastAsia="zh-CN"/>
        </w:rPr>
        <w:t>1) Platí pro výrobu kordového hedvábí.</w:t>
      </w:r>
    </w:p>
    <w:p w14:paraId="074CEEBF" w14:textId="77777777" w:rsidR="008F52C8" w:rsidRPr="0030358C" w:rsidRDefault="00000000" w:rsidP="008F52C8">
      <w:pPr>
        <w:ind w:left="68"/>
        <w:rPr>
          <w:rFonts w:ascii="Arial" w:hAnsi="Arial" w:cs="Arial"/>
          <w:iCs/>
          <w:strike/>
          <w:sz w:val="22"/>
          <w:szCs w:val="22"/>
          <w:lang w:eastAsia="zh-CN"/>
        </w:rPr>
      </w:pPr>
      <w:r w:rsidRPr="0030358C">
        <w:rPr>
          <w:rFonts w:ascii="Arial" w:hAnsi="Arial" w:cs="Arial"/>
          <w:iCs/>
          <w:strike/>
          <w:sz w:val="22"/>
          <w:szCs w:val="22"/>
          <w:lang w:eastAsia="zh-CN"/>
        </w:rPr>
        <w:t>2) Platí pro výrobu střiže a textilního hedvábí.</w:t>
      </w:r>
    </w:p>
    <w:p w14:paraId="2D6FC6EA" w14:textId="77777777" w:rsidR="008F52C8" w:rsidRPr="0030358C" w:rsidRDefault="008F52C8" w:rsidP="008F52C8">
      <w:pPr>
        <w:tabs>
          <w:tab w:val="left" w:pos="284"/>
        </w:tabs>
        <w:spacing w:before="28"/>
        <w:jc w:val="both"/>
        <w:rPr>
          <w:rFonts w:ascii="Arial" w:hAnsi="Arial" w:cs="Arial"/>
          <w:b/>
          <w:i/>
          <w:strike/>
          <w:sz w:val="22"/>
          <w:szCs w:val="22"/>
          <w:lang w:eastAsia="zh-CN"/>
        </w:rPr>
      </w:pPr>
    </w:p>
    <w:p w14:paraId="342EDB52" w14:textId="77777777" w:rsidR="008F52C8" w:rsidRPr="0030358C" w:rsidRDefault="00000000" w:rsidP="008F52C8">
      <w:pPr>
        <w:tabs>
          <w:tab w:val="left" w:pos="284"/>
        </w:tabs>
        <w:spacing w:before="28"/>
        <w:jc w:val="both"/>
        <w:rPr>
          <w:rFonts w:ascii="Arial" w:hAnsi="Arial" w:cs="Arial"/>
          <w:bCs/>
          <w:strike/>
          <w:sz w:val="22"/>
          <w:szCs w:val="22"/>
          <w:lang w:eastAsia="zh-CN"/>
        </w:rPr>
      </w:pPr>
      <w:r w:rsidRPr="0030358C">
        <w:rPr>
          <w:rFonts w:ascii="Arial" w:hAnsi="Arial" w:cs="Arial"/>
          <w:bCs/>
          <w:strike/>
          <w:sz w:val="22"/>
          <w:szCs w:val="22"/>
          <w:lang w:eastAsia="zh-CN"/>
        </w:rPr>
        <w:t>Technické podmínky provozu:</w:t>
      </w:r>
    </w:p>
    <w:p w14:paraId="04A0AA3D" w14:textId="77777777" w:rsidR="008F52C8" w:rsidRPr="0030358C" w:rsidRDefault="00000000" w:rsidP="008F52C8">
      <w:pPr>
        <w:numPr>
          <w:ilvl w:val="0"/>
          <w:numId w:val="171"/>
        </w:numPr>
        <w:tabs>
          <w:tab w:val="left" w:pos="284"/>
        </w:tabs>
        <w:suppressAutoHyphens/>
        <w:spacing w:before="28"/>
        <w:jc w:val="both"/>
        <w:rPr>
          <w:rFonts w:ascii="Arial" w:hAnsi="Arial" w:cs="Arial"/>
          <w:bCs/>
          <w:strike/>
          <w:sz w:val="22"/>
          <w:szCs w:val="22"/>
          <w:lang w:eastAsia="zh-CN"/>
        </w:rPr>
      </w:pPr>
      <w:r w:rsidRPr="0030358C">
        <w:rPr>
          <w:rFonts w:ascii="Arial" w:hAnsi="Arial" w:cs="Arial"/>
          <w:bCs/>
          <w:strike/>
          <w:sz w:val="22"/>
          <w:szCs w:val="22"/>
          <w:lang w:eastAsia="zh-CN"/>
        </w:rPr>
        <w:t>Měrná výrobní emise sirouhlíku ve výrobě střiže a textilního hedvábí je 200 000 g/t.</w:t>
      </w:r>
    </w:p>
    <w:p w14:paraId="22AFAAA6" w14:textId="77777777" w:rsidR="008F52C8" w:rsidRPr="0030358C" w:rsidRDefault="00000000" w:rsidP="008F52C8">
      <w:pPr>
        <w:numPr>
          <w:ilvl w:val="0"/>
          <w:numId w:val="171"/>
        </w:numPr>
        <w:tabs>
          <w:tab w:val="left" w:pos="284"/>
        </w:tabs>
        <w:suppressAutoHyphens/>
        <w:jc w:val="both"/>
        <w:rPr>
          <w:rFonts w:ascii="Arial" w:hAnsi="Arial" w:cs="Arial"/>
          <w:bCs/>
          <w:strike/>
          <w:sz w:val="22"/>
          <w:szCs w:val="22"/>
          <w:lang w:eastAsia="zh-CN"/>
        </w:rPr>
      </w:pPr>
      <w:r w:rsidRPr="0030358C">
        <w:rPr>
          <w:rFonts w:ascii="Arial" w:hAnsi="Arial" w:cs="Arial"/>
          <w:bCs/>
          <w:strike/>
          <w:sz w:val="22"/>
          <w:szCs w:val="22"/>
          <w:lang w:eastAsia="zh-CN"/>
        </w:rPr>
        <w:t xml:space="preserve">Odvádění odpadních plynů z výroby viskózy, přípravy zvlákňovacích lázní a podle technických možností i z ostatních operací do zařízení k omezování emisí, uzavření zvlákňovacích strojů při kontinuálním způsobu zvlákňování, odsávání vznikajících plynů a jejich odvedení do zařízení k omezování emisí, např. do katalytické spalovací jednotky.  </w:t>
      </w:r>
    </w:p>
    <w:p w14:paraId="48325688" w14:textId="77777777" w:rsidR="008F52C8" w:rsidRPr="0030358C" w:rsidRDefault="008F52C8" w:rsidP="008F52C8">
      <w:pPr>
        <w:spacing w:before="60"/>
        <w:rPr>
          <w:rFonts w:ascii="Arial" w:hAnsi="Arial" w:cs="Arial"/>
          <w:b/>
          <w:strike/>
          <w:sz w:val="22"/>
          <w:szCs w:val="22"/>
          <w:lang w:eastAsia="zh-CN"/>
        </w:rPr>
      </w:pPr>
    </w:p>
    <w:p w14:paraId="4E2E6A09" w14:textId="77777777" w:rsidR="008F52C8" w:rsidRPr="0030358C" w:rsidRDefault="00000000" w:rsidP="008F52C8">
      <w:pPr>
        <w:keepNext/>
        <w:keepLines/>
        <w:spacing w:before="62" w:after="57"/>
        <w:rPr>
          <w:rFonts w:ascii="Arial" w:hAnsi="Arial" w:cs="Arial"/>
          <w:b/>
          <w:strike/>
          <w:sz w:val="22"/>
          <w:szCs w:val="22"/>
          <w:lang w:eastAsia="zh-CN"/>
        </w:rPr>
      </w:pPr>
      <w:r w:rsidRPr="0030358C">
        <w:rPr>
          <w:rFonts w:ascii="Arial" w:hAnsi="Arial" w:cs="Arial"/>
          <w:b/>
          <w:strike/>
          <w:sz w:val="22"/>
          <w:szCs w:val="22"/>
          <w:lang w:eastAsia="zh-CN"/>
        </w:rPr>
        <w:t xml:space="preserve">5.1.6.  Výroba gumárenských pomocných přípravků </w:t>
      </w:r>
      <w:r w:rsidRPr="0030358C">
        <w:rPr>
          <w:rFonts w:ascii="Arial" w:hAnsi="Arial" w:cs="Arial"/>
          <w:bCs/>
          <w:strike/>
          <w:sz w:val="22"/>
          <w:szCs w:val="22"/>
          <w:lang w:eastAsia="zh-CN"/>
        </w:rPr>
        <w:t>(kód 6.7. dle přílohy č. 2 zákona)</w:t>
      </w:r>
    </w:p>
    <w:tbl>
      <w:tblPr>
        <w:tblW w:w="0" w:type="auto"/>
        <w:tblInd w:w="-15" w:type="dxa"/>
        <w:tblLayout w:type="fixed"/>
        <w:tblLook w:val="0000" w:firstRow="0" w:lastRow="0" w:firstColumn="0" w:lastColumn="0" w:noHBand="0" w:noVBand="0"/>
      </w:tblPr>
      <w:tblGrid>
        <w:gridCol w:w="2197"/>
        <w:gridCol w:w="2237"/>
        <w:gridCol w:w="2232"/>
        <w:gridCol w:w="2934"/>
      </w:tblGrid>
      <w:tr w:rsidR="00E40657" w14:paraId="14E2DC3A" w14:textId="77777777" w:rsidTr="00732453">
        <w:trPr>
          <w:cantSplit/>
          <w:trHeight w:hRule="exact" w:val="366"/>
        </w:trPr>
        <w:tc>
          <w:tcPr>
            <w:tcW w:w="4434" w:type="dxa"/>
            <w:gridSpan w:val="2"/>
            <w:tcBorders>
              <w:top w:val="single" w:sz="4" w:space="0" w:color="000000"/>
              <w:left w:val="single" w:sz="4" w:space="0" w:color="000000"/>
              <w:bottom w:val="single" w:sz="4" w:space="0" w:color="000000"/>
            </w:tcBorders>
            <w:shd w:val="clear" w:color="auto" w:fill="auto"/>
            <w:vAlign w:val="center"/>
          </w:tcPr>
          <w:p w14:paraId="65A6B1CF"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232" w:type="dxa"/>
            <w:vMerge w:val="restart"/>
            <w:tcBorders>
              <w:top w:val="single" w:sz="4" w:space="0" w:color="000000"/>
              <w:left w:val="single" w:sz="4" w:space="0" w:color="000000"/>
              <w:bottom w:val="single" w:sz="4" w:space="0" w:color="000000"/>
            </w:tcBorders>
            <w:shd w:val="clear" w:color="auto" w:fill="auto"/>
            <w:vAlign w:val="center"/>
          </w:tcPr>
          <w:p w14:paraId="47004A89"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O</w:t>
            </w:r>
            <w:r w:rsidRPr="0030358C">
              <w:rPr>
                <w:rFonts w:ascii="Arial" w:hAnsi="Arial" w:cs="Arial"/>
                <w:b/>
                <w:strike/>
                <w:sz w:val="22"/>
                <w:szCs w:val="22"/>
                <w:vertAlign w:val="subscript"/>
                <w:lang w:eastAsia="zh-CN"/>
              </w:rPr>
              <w:t>2R</w:t>
            </w:r>
            <w:r w:rsidRPr="0030358C">
              <w:rPr>
                <w:rFonts w:ascii="Arial" w:hAnsi="Arial" w:cs="Arial"/>
                <w:b/>
                <w:strike/>
                <w:sz w:val="22"/>
                <w:szCs w:val="22"/>
                <w:lang w:eastAsia="zh-CN"/>
              </w:rPr>
              <w:t xml:space="preserve"> [%]</w:t>
            </w:r>
          </w:p>
        </w:tc>
        <w:tc>
          <w:tcPr>
            <w:tcW w:w="29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838AB"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2F76CBEE" w14:textId="77777777" w:rsidTr="00732453">
        <w:trPr>
          <w:cantSplit/>
          <w:trHeight w:hRule="exact" w:val="366"/>
        </w:trPr>
        <w:tc>
          <w:tcPr>
            <w:tcW w:w="2197" w:type="dxa"/>
            <w:tcBorders>
              <w:top w:val="single" w:sz="4" w:space="0" w:color="000000"/>
              <w:left w:val="single" w:sz="4" w:space="0" w:color="000000"/>
              <w:bottom w:val="single" w:sz="4" w:space="0" w:color="000000"/>
            </w:tcBorders>
            <w:shd w:val="clear" w:color="auto" w:fill="auto"/>
            <w:vAlign w:val="center"/>
          </w:tcPr>
          <w:p w14:paraId="5E276A52"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2237" w:type="dxa"/>
            <w:tcBorders>
              <w:top w:val="single" w:sz="4" w:space="0" w:color="000000"/>
              <w:left w:val="single" w:sz="4" w:space="0" w:color="000000"/>
              <w:bottom w:val="single" w:sz="4" w:space="0" w:color="000000"/>
            </w:tcBorders>
            <w:shd w:val="clear" w:color="auto" w:fill="auto"/>
            <w:vAlign w:val="center"/>
          </w:tcPr>
          <w:p w14:paraId="2926B00B" w14:textId="77777777" w:rsidR="008F52C8" w:rsidRPr="0030358C" w:rsidRDefault="00000000" w:rsidP="00732453">
            <w:pPr>
              <w:keepNext/>
              <w:keepLines/>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2232" w:type="dxa"/>
            <w:vMerge/>
            <w:tcBorders>
              <w:top w:val="single" w:sz="4" w:space="0" w:color="000000"/>
              <w:left w:val="single" w:sz="4" w:space="0" w:color="000000"/>
              <w:bottom w:val="single" w:sz="4" w:space="0" w:color="000000"/>
            </w:tcBorders>
            <w:shd w:val="clear" w:color="auto" w:fill="auto"/>
            <w:vAlign w:val="center"/>
          </w:tcPr>
          <w:p w14:paraId="4C3C712F" w14:textId="77777777" w:rsidR="008F52C8" w:rsidRPr="0030358C" w:rsidRDefault="008F52C8" w:rsidP="00732453">
            <w:pPr>
              <w:keepNext/>
              <w:keepLines/>
              <w:snapToGrid w:val="0"/>
              <w:rPr>
                <w:rFonts w:ascii="Arial" w:hAnsi="Arial" w:cs="Arial"/>
                <w:b/>
                <w:strike/>
                <w:sz w:val="22"/>
                <w:szCs w:val="22"/>
                <w:lang w:eastAsia="zh-CN"/>
              </w:rPr>
            </w:pPr>
          </w:p>
        </w:tc>
        <w:tc>
          <w:tcPr>
            <w:tcW w:w="29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CEF416" w14:textId="77777777" w:rsidR="008F52C8" w:rsidRPr="0030358C" w:rsidRDefault="008F52C8" w:rsidP="00732453">
            <w:pPr>
              <w:keepNext/>
              <w:keepLines/>
              <w:snapToGrid w:val="0"/>
              <w:rPr>
                <w:rFonts w:ascii="Arial" w:hAnsi="Arial" w:cs="Arial"/>
                <w:b/>
                <w:strike/>
                <w:sz w:val="22"/>
                <w:szCs w:val="22"/>
                <w:lang w:eastAsia="zh-CN"/>
              </w:rPr>
            </w:pPr>
          </w:p>
        </w:tc>
      </w:tr>
      <w:tr w:rsidR="00E40657" w14:paraId="27C8F678" w14:textId="77777777" w:rsidTr="00732453">
        <w:trPr>
          <w:trHeight w:hRule="exact" w:val="366"/>
        </w:trPr>
        <w:tc>
          <w:tcPr>
            <w:tcW w:w="2197" w:type="dxa"/>
            <w:tcBorders>
              <w:top w:val="single" w:sz="4" w:space="0" w:color="000000"/>
              <w:left w:val="single" w:sz="4" w:space="0" w:color="000000"/>
              <w:bottom w:val="single" w:sz="4" w:space="0" w:color="000000"/>
            </w:tcBorders>
            <w:shd w:val="clear" w:color="auto" w:fill="auto"/>
            <w:vAlign w:val="center"/>
          </w:tcPr>
          <w:p w14:paraId="7B7A3E6D"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20</w:t>
            </w:r>
          </w:p>
        </w:tc>
        <w:tc>
          <w:tcPr>
            <w:tcW w:w="2237" w:type="dxa"/>
            <w:tcBorders>
              <w:top w:val="single" w:sz="4" w:space="0" w:color="000000"/>
              <w:left w:val="single" w:sz="4" w:space="0" w:color="000000"/>
              <w:bottom w:val="single" w:sz="4" w:space="0" w:color="000000"/>
            </w:tcBorders>
            <w:shd w:val="clear" w:color="auto" w:fill="auto"/>
            <w:vAlign w:val="center"/>
          </w:tcPr>
          <w:p w14:paraId="1BB9DB0E"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700</w:t>
            </w:r>
            <w:r w:rsidRPr="0030358C">
              <w:rPr>
                <w:rFonts w:ascii="Arial" w:hAnsi="Arial" w:cs="Arial"/>
                <w:bCs/>
                <w:strike/>
                <w:sz w:val="22"/>
                <w:szCs w:val="22"/>
                <w:vertAlign w:val="superscript"/>
                <w:lang w:eastAsia="zh-CN"/>
              </w:rPr>
              <w:t>1),2)</w:t>
            </w:r>
          </w:p>
        </w:tc>
        <w:tc>
          <w:tcPr>
            <w:tcW w:w="2232" w:type="dxa"/>
            <w:tcBorders>
              <w:top w:val="single" w:sz="4" w:space="0" w:color="000000"/>
              <w:left w:val="single" w:sz="4" w:space="0" w:color="000000"/>
              <w:bottom w:val="single" w:sz="4" w:space="0" w:color="000000"/>
            </w:tcBorders>
            <w:shd w:val="clear" w:color="auto" w:fill="auto"/>
            <w:vAlign w:val="center"/>
          </w:tcPr>
          <w:p w14:paraId="44155A83"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11</w:t>
            </w:r>
            <w:r w:rsidRPr="0030358C">
              <w:rPr>
                <w:rFonts w:ascii="Arial" w:hAnsi="Arial" w:cs="Arial"/>
                <w:bCs/>
                <w:strike/>
                <w:sz w:val="22"/>
                <w:szCs w:val="22"/>
                <w:vertAlign w:val="superscript"/>
                <w:lang w:eastAsia="zh-CN"/>
              </w:rPr>
              <w:t>2)</w:t>
            </w:r>
          </w:p>
        </w:tc>
        <w:tc>
          <w:tcPr>
            <w:tcW w:w="2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E36CD"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tc>
      </w:tr>
    </w:tbl>
    <w:p w14:paraId="63A42293" w14:textId="77777777" w:rsidR="008F52C8" w:rsidRPr="0030358C" w:rsidRDefault="00000000" w:rsidP="008F52C8">
      <w:pPr>
        <w:keepNext/>
        <w:keepLines/>
        <w:spacing w:before="120"/>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2ACF4F19"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iCs/>
          <w:strike/>
          <w:sz w:val="22"/>
          <w:szCs w:val="22"/>
          <w:lang w:eastAsia="zh-CN"/>
        </w:rPr>
        <w:t xml:space="preserve">1) Platí, pokud jsou odpadní plyny spalovány jiným způsobem než na fléře. </w:t>
      </w:r>
    </w:p>
    <w:p w14:paraId="6E1A48EC"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iCs/>
          <w:strike/>
          <w:sz w:val="22"/>
          <w:szCs w:val="22"/>
          <w:lang w:eastAsia="zh-CN"/>
        </w:rPr>
        <w:t>2) Neplatí pro technologická zařízení výroby sazí.</w:t>
      </w:r>
    </w:p>
    <w:p w14:paraId="016C7395" w14:textId="77777777" w:rsidR="008F52C8" w:rsidRPr="0030358C" w:rsidRDefault="008F52C8" w:rsidP="008F52C8">
      <w:pPr>
        <w:keepNext/>
        <w:keepLines/>
        <w:jc w:val="both"/>
        <w:rPr>
          <w:rFonts w:ascii="Arial" w:hAnsi="Arial" w:cs="Arial"/>
          <w:b/>
          <w:i/>
          <w:strike/>
          <w:sz w:val="22"/>
          <w:szCs w:val="22"/>
          <w:lang w:eastAsia="zh-CN"/>
        </w:rPr>
      </w:pPr>
    </w:p>
    <w:p w14:paraId="389AD9B2" w14:textId="77777777" w:rsidR="008F52C8" w:rsidRPr="0030358C" w:rsidRDefault="00000000" w:rsidP="008F52C8">
      <w:pPr>
        <w:keepNext/>
        <w:keepLines/>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279E4ED8" w14:textId="77777777" w:rsidR="008F52C8" w:rsidRPr="0030358C" w:rsidRDefault="00000000" w:rsidP="008F52C8">
      <w:pPr>
        <w:keepNext/>
        <w:keepLines/>
        <w:spacing w:after="120"/>
        <w:rPr>
          <w:rFonts w:ascii="Arial" w:hAnsi="Arial" w:cs="Arial"/>
          <w:bCs/>
          <w:strike/>
          <w:sz w:val="22"/>
          <w:szCs w:val="22"/>
          <w:lang w:eastAsia="zh-CN"/>
        </w:rPr>
      </w:pPr>
      <w:r w:rsidRPr="0030358C">
        <w:rPr>
          <w:rFonts w:ascii="Arial" w:hAnsi="Arial" w:cs="Arial"/>
          <w:bCs/>
          <w:strike/>
          <w:sz w:val="22"/>
          <w:szCs w:val="22"/>
          <w:lang w:eastAsia="zh-CN"/>
        </w:rPr>
        <w:t>Výroba sazí musí být vybavena kontinuálně provozovaným zařízením dodatečného spalování odpadních plynů.</w:t>
      </w:r>
    </w:p>
    <w:p w14:paraId="7F4376DA" w14:textId="77777777" w:rsidR="008F52C8" w:rsidRPr="0030358C" w:rsidRDefault="008F52C8" w:rsidP="008F52C8">
      <w:pPr>
        <w:rPr>
          <w:rFonts w:ascii="Arial" w:hAnsi="Arial" w:cs="Arial"/>
          <w:b/>
          <w:strike/>
          <w:sz w:val="22"/>
          <w:szCs w:val="22"/>
          <w:lang w:eastAsia="zh-CN"/>
        </w:rPr>
      </w:pPr>
    </w:p>
    <w:p w14:paraId="5A3386D9" w14:textId="77777777" w:rsidR="008F52C8" w:rsidRPr="0030358C" w:rsidRDefault="00000000" w:rsidP="008F52C8">
      <w:pPr>
        <w:keepNext/>
        <w:keepLines/>
        <w:jc w:val="both"/>
        <w:rPr>
          <w:rFonts w:ascii="Arial" w:hAnsi="Arial" w:cs="Arial"/>
          <w:b/>
          <w:strike/>
          <w:sz w:val="22"/>
          <w:szCs w:val="22"/>
          <w:lang w:eastAsia="zh-CN"/>
        </w:rPr>
      </w:pPr>
      <w:r w:rsidRPr="0030358C">
        <w:rPr>
          <w:rFonts w:ascii="Arial" w:hAnsi="Arial" w:cs="Arial"/>
          <w:b/>
          <w:strike/>
          <w:sz w:val="22"/>
          <w:szCs w:val="22"/>
          <w:lang w:eastAsia="zh-CN"/>
        </w:rPr>
        <w:t xml:space="preserve">5.1.7. Výroba expandovaného polystyrenu </w:t>
      </w:r>
      <w:r w:rsidRPr="0030358C">
        <w:rPr>
          <w:rFonts w:ascii="Arial" w:hAnsi="Arial" w:cs="Arial"/>
          <w:bCs/>
          <w:strike/>
          <w:sz w:val="22"/>
          <w:szCs w:val="22"/>
          <w:lang w:eastAsia="zh-CN"/>
        </w:rPr>
        <w:t>(kód 6.9. dle přílohy č. 2 zákona)</w:t>
      </w:r>
    </w:p>
    <w:p w14:paraId="05C92434" w14:textId="77777777" w:rsidR="008F52C8" w:rsidRPr="0030358C" w:rsidRDefault="008F52C8" w:rsidP="008F52C8">
      <w:pPr>
        <w:keepNext/>
        <w:keepLines/>
        <w:jc w:val="both"/>
        <w:rPr>
          <w:rFonts w:ascii="Arial" w:hAnsi="Arial" w:cs="Arial"/>
          <w:b/>
          <w:strike/>
          <w:sz w:val="22"/>
          <w:szCs w:val="22"/>
          <w:lang w:eastAsia="zh-CN"/>
        </w:rPr>
      </w:pPr>
    </w:p>
    <w:p w14:paraId="107E8B8D" w14:textId="77777777" w:rsidR="008F52C8" w:rsidRPr="0030358C" w:rsidRDefault="00000000" w:rsidP="008F52C8">
      <w:pPr>
        <w:spacing w:before="28"/>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61BC5D96" w14:textId="77777777" w:rsidR="008F52C8" w:rsidRPr="0030358C" w:rsidRDefault="00000000" w:rsidP="008F52C8">
      <w:pPr>
        <w:spacing w:before="28"/>
        <w:jc w:val="both"/>
        <w:rPr>
          <w:rFonts w:ascii="Arial" w:hAnsi="Arial" w:cs="Arial"/>
          <w:bCs/>
          <w:strike/>
          <w:sz w:val="22"/>
          <w:szCs w:val="22"/>
          <w:lang w:eastAsia="zh-CN"/>
        </w:rPr>
      </w:pPr>
      <w:r w:rsidRPr="0030358C">
        <w:rPr>
          <w:rFonts w:ascii="Arial" w:hAnsi="Arial" w:cs="Arial"/>
          <w:bCs/>
          <w:strike/>
          <w:sz w:val="22"/>
          <w:szCs w:val="22"/>
          <w:lang w:eastAsia="zh-CN"/>
        </w:rPr>
        <w:t>Při výrobě expandovaného polystyrenu používat minimálně 50 % podílu surovin obsahujících nejvýše 5 % pentanu.</w:t>
      </w:r>
    </w:p>
    <w:p w14:paraId="125F3AA2" w14:textId="77777777" w:rsidR="008F52C8" w:rsidRPr="0030358C" w:rsidRDefault="008F52C8" w:rsidP="008F52C8">
      <w:pPr>
        <w:rPr>
          <w:rFonts w:ascii="Arial" w:hAnsi="Arial" w:cs="Arial"/>
          <w:b/>
          <w:strike/>
          <w:sz w:val="22"/>
          <w:szCs w:val="22"/>
          <w:lang w:eastAsia="zh-CN"/>
        </w:rPr>
      </w:pPr>
    </w:p>
    <w:p w14:paraId="6A5904FB" w14:textId="77777777" w:rsidR="008F52C8" w:rsidRPr="0030358C" w:rsidRDefault="008F52C8" w:rsidP="008F52C8">
      <w:pPr>
        <w:rPr>
          <w:rFonts w:ascii="Arial" w:hAnsi="Arial" w:cs="Arial"/>
          <w:b/>
          <w:strike/>
          <w:sz w:val="22"/>
          <w:szCs w:val="22"/>
          <w:lang w:eastAsia="zh-CN"/>
        </w:rPr>
      </w:pPr>
    </w:p>
    <w:p w14:paraId="742110DC" w14:textId="77777777" w:rsidR="008F52C8" w:rsidRPr="0030358C" w:rsidRDefault="00000000" w:rsidP="008F52C8">
      <w:pPr>
        <w:keepNext/>
        <w:keepLines/>
        <w:jc w:val="both"/>
        <w:rPr>
          <w:rFonts w:ascii="Arial" w:hAnsi="Arial" w:cs="Arial"/>
          <w:b/>
          <w:strike/>
          <w:sz w:val="22"/>
          <w:szCs w:val="22"/>
          <w:lang w:eastAsia="zh-CN"/>
        </w:rPr>
      </w:pPr>
      <w:r w:rsidRPr="0030358C">
        <w:rPr>
          <w:rFonts w:ascii="Arial" w:hAnsi="Arial" w:cs="Arial"/>
          <w:b/>
          <w:strike/>
          <w:sz w:val="22"/>
          <w:szCs w:val="22"/>
          <w:lang w:eastAsia="zh-CN"/>
        </w:rPr>
        <w:t xml:space="preserve">5.1.8. Výroba acetylenu mokrou metodou </w:t>
      </w:r>
      <w:r w:rsidRPr="0030358C">
        <w:rPr>
          <w:rFonts w:ascii="Arial" w:hAnsi="Arial" w:cs="Arial"/>
          <w:bCs/>
          <w:strike/>
          <w:sz w:val="22"/>
          <w:szCs w:val="22"/>
          <w:lang w:eastAsia="zh-CN"/>
        </w:rPr>
        <w:t>(kód 6.10. dle přílohy č. 2 zákona)</w:t>
      </w:r>
    </w:p>
    <w:tbl>
      <w:tblPr>
        <w:tblW w:w="0" w:type="auto"/>
        <w:tblInd w:w="-15" w:type="dxa"/>
        <w:tblLayout w:type="fixed"/>
        <w:tblLook w:val="0000" w:firstRow="0" w:lastRow="0" w:firstColumn="0" w:lastColumn="0" w:noHBand="0" w:noVBand="0"/>
      </w:tblPr>
      <w:tblGrid>
        <w:gridCol w:w="5451"/>
        <w:gridCol w:w="4149"/>
      </w:tblGrid>
      <w:tr w:rsidR="00E40657" w14:paraId="51ED98FC" w14:textId="77777777" w:rsidTr="00732453">
        <w:trPr>
          <w:cantSplit/>
          <w:trHeight w:val="238"/>
        </w:trPr>
        <w:tc>
          <w:tcPr>
            <w:tcW w:w="5451" w:type="dxa"/>
            <w:tcBorders>
              <w:top w:val="single" w:sz="4" w:space="0" w:color="000000"/>
              <w:left w:val="single" w:sz="4" w:space="0" w:color="000000"/>
              <w:bottom w:val="single" w:sz="4" w:space="0" w:color="000000"/>
            </w:tcBorders>
            <w:shd w:val="clear" w:color="auto" w:fill="auto"/>
            <w:vAlign w:val="center"/>
          </w:tcPr>
          <w:p w14:paraId="3390B58B"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149" w:type="dxa"/>
            <w:vMerge w:val="restart"/>
            <w:tcBorders>
              <w:top w:val="single" w:sz="4" w:space="0" w:color="000000"/>
              <w:left w:val="single" w:sz="4" w:space="0" w:color="000000"/>
              <w:right w:val="single" w:sz="4" w:space="0" w:color="000000"/>
            </w:tcBorders>
            <w:shd w:val="clear" w:color="auto" w:fill="auto"/>
            <w:vAlign w:val="center"/>
          </w:tcPr>
          <w:p w14:paraId="51916572"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5C7CAFF8" w14:textId="77777777" w:rsidTr="00732453">
        <w:trPr>
          <w:cantSplit/>
          <w:trHeight w:hRule="exact" w:val="473"/>
        </w:trPr>
        <w:tc>
          <w:tcPr>
            <w:tcW w:w="5451" w:type="dxa"/>
            <w:tcBorders>
              <w:top w:val="single" w:sz="4" w:space="0" w:color="000000"/>
              <w:left w:val="single" w:sz="4" w:space="0" w:color="000000"/>
              <w:bottom w:val="single" w:sz="4" w:space="0" w:color="000000"/>
            </w:tcBorders>
            <w:shd w:val="clear" w:color="auto" w:fill="auto"/>
            <w:vAlign w:val="center"/>
          </w:tcPr>
          <w:p w14:paraId="2312DBD5"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t>TOC</w:t>
            </w:r>
          </w:p>
          <w:p w14:paraId="25883D84" w14:textId="77777777" w:rsidR="008F52C8" w:rsidRPr="0030358C" w:rsidRDefault="008F52C8" w:rsidP="00732453">
            <w:pPr>
              <w:snapToGrid w:val="0"/>
              <w:spacing w:before="60"/>
              <w:jc w:val="center"/>
              <w:rPr>
                <w:rFonts w:ascii="Arial" w:hAnsi="Arial" w:cs="Arial"/>
                <w:b/>
                <w:strike/>
                <w:sz w:val="22"/>
                <w:szCs w:val="22"/>
                <w:lang w:eastAsia="zh-CN"/>
              </w:rPr>
            </w:pPr>
          </w:p>
        </w:tc>
        <w:tc>
          <w:tcPr>
            <w:tcW w:w="4149" w:type="dxa"/>
            <w:vMerge/>
            <w:tcBorders>
              <w:left w:val="single" w:sz="4" w:space="0" w:color="000000"/>
              <w:bottom w:val="single" w:sz="4" w:space="0" w:color="000000"/>
              <w:right w:val="single" w:sz="4" w:space="0" w:color="000000"/>
            </w:tcBorders>
            <w:shd w:val="clear" w:color="auto" w:fill="auto"/>
            <w:vAlign w:val="center"/>
          </w:tcPr>
          <w:p w14:paraId="76ACC133" w14:textId="77777777" w:rsidR="008F52C8" w:rsidRPr="0030358C" w:rsidRDefault="008F52C8" w:rsidP="00732453">
            <w:pPr>
              <w:snapToGrid w:val="0"/>
              <w:jc w:val="center"/>
              <w:rPr>
                <w:rFonts w:ascii="Arial" w:hAnsi="Arial" w:cs="Arial"/>
                <w:b/>
                <w:bCs/>
                <w:strike/>
                <w:sz w:val="22"/>
                <w:szCs w:val="22"/>
                <w:lang w:eastAsia="zh-CN"/>
              </w:rPr>
            </w:pPr>
          </w:p>
        </w:tc>
      </w:tr>
      <w:tr w:rsidR="00E40657" w14:paraId="5BFEAFFA" w14:textId="77777777" w:rsidTr="00732453">
        <w:trPr>
          <w:trHeight w:hRule="exact" w:val="340"/>
        </w:trPr>
        <w:tc>
          <w:tcPr>
            <w:tcW w:w="5451" w:type="dxa"/>
            <w:tcBorders>
              <w:left w:val="single" w:sz="4" w:space="0" w:color="000000"/>
              <w:bottom w:val="single" w:sz="4" w:space="0" w:color="000000"/>
            </w:tcBorders>
            <w:shd w:val="clear" w:color="auto" w:fill="auto"/>
            <w:vAlign w:val="center"/>
          </w:tcPr>
          <w:p w14:paraId="3677B36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200</w:t>
            </w:r>
          </w:p>
        </w:tc>
        <w:tc>
          <w:tcPr>
            <w:tcW w:w="4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A6F5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tc>
      </w:tr>
    </w:tbl>
    <w:p w14:paraId="54B1F352" w14:textId="77777777" w:rsidR="008F52C8" w:rsidRPr="0030358C" w:rsidRDefault="008F52C8" w:rsidP="008F52C8">
      <w:pPr>
        <w:rPr>
          <w:rFonts w:ascii="Arial" w:hAnsi="Arial" w:cs="Arial"/>
          <w:b/>
          <w:strike/>
          <w:sz w:val="22"/>
          <w:szCs w:val="22"/>
          <w:lang w:eastAsia="zh-CN"/>
        </w:rPr>
      </w:pPr>
    </w:p>
    <w:p w14:paraId="49D06109"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strike/>
          <w:sz w:val="22"/>
          <w:szCs w:val="22"/>
          <w:lang w:eastAsia="zh-CN"/>
        </w:rPr>
      </w:pPr>
      <w:r w:rsidRPr="0030358C">
        <w:rPr>
          <w:rFonts w:ascii="Arial" w:hAnsi="Arial" w:cs="Arial"/>
          <w:b/>
          <w:strike/>
          <w:sz w:val="22"/>
          <w:szCs w:val="22"/>
          <w:lang w:eastAsia="zh-CN"/>
        </w:rPr>
        <w:t>5.2. Výroba anorganických látek</w:t>
      </w:r>
    </w:p>
    <w:p w14:paraId="5A2784B6" w14:textId="77777777" w:rsidR="008F52C8" w:rsidRPr="0030358C" w:rsidRDefault="008F52C8" w:rsidP="008F52C8">
      <w:pPr>
        <w:rPr>
          <w:rFonts w:ascii="Arial" w:hAnsi="Arial" w:cs="Arial"/>
          <w:b/>
          <w:strike/>
          <w:sz w:val="22"/>
          <w:szCs w:val="22"/>
          <w:lang w:eastAsia="zh-CN"/>
        </w:rPr>
      </w:pPr>
    </w:p>
    <w:p w14:paraId="391B3048"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5.2.1. Výroba chloru </w:t>
      </w:r>
      <w:r w:rsidRPr="0030358C">
        <w:rPr>
          <w:rFonts w:ascii="Arial" w:hAnsi="Arial" w:cs="Arial"/>
          <w:bCs/>
          <w:strike/>
          <w:sz w:val="22"/>
          <w:szCs w:val="22"/>
          <w:lang w:eastAsia="zh-CN"/>
        </w:rPr>
        <w:t>(kód 6.11. dle přílohy č. 2 zákona)</w:t>
      </w:r>
    </w:p>
    <w:p w14:paraId="6317FECA" w14:textId="77777777" w:rsidR="008F52C8" w:rsidRPr="0030358C" w:rsidRDefault="00000000" w:rsidP="008F52C8">
      <w:pPr>
        <w:rPr>
          <w:rFonts w:ascii="Arial" w:hAnsi="Arial" w:cs="Arial"/>
          <w:b/>
          <w:strike/>
          <w:sz w:val="22"/>
          <w:szCs w:val="22"/>
          <w:lang w:eastAsia="zh-CN"/>
        </w:rPr>
      </w:pPr>
      <w:r w:rsidRPr="0030358C">
        <w:rPr>
          <w:rFonts w:ascii="Arial" w:hAnsi="Arial" w:cs="Arial"/>
          <w:b/>
          <w:strike/>
          <w:sz w:val="22"/>
          <w:szCs w:val="22"/>
          <w:lang w:eastAsia="zh-CN"/>
        </w:rPr>
        <w:t>Odpadní plyn z elektrolýzy a katalytické oxidace</w:t>
      </w:r>
    </w:p>
    <w:tbl>
      <w:tblPr>
        <w:tblW w:w="9621" w:type="dxa"/>
        <w:tblInd w:w="-15" w:type="dxa"/>
        <w:tblLayout w:type="fixed"/>
        <w:tblLook w:val="0000" w:firstRow="0" w:lastRow="0" w:firstColumn="0" w:lastColumn="0" w:noHBand="0" w:noVBand="0"/>
      </w:tblPr>
      <w:tblGrid>
        <w:gridCol w:w="4801"/>
        <w:gridCol w:w="4820"/>
      </w:tblGrid>
      <w:tr w:rsidR="00E40657" w14:paraId="5F152E32" w14:textId="77777777" w:rsidTr="00732453">
        <w:trPr>
          <w:cantSplit/>
          <w:trHeight w:hRule="exact" w:val="654"/>
        </w:trPr>
        <w:tc>
          <w:tcPr>
            <w:tcW w:w="4801" w:type="dxa"/>
            <w:tcBorders>
              <w:top w:val="single" w:sz="4" w:space="0" w:color="000000"/>
              <w:left w:val="single" w:sz="4" w:space="0" w:color="000000"/>
              <w:bottom w:val="single" w:sz="4" w:space="0" w:color="000000"/>
            </w:tcBorders>
            <w:shd w:val="clear" w:color="auto" w:fill="auto"/>
            <w:vAlign w:val="center"/>
          </w:tcPr>
          <w:p w14:paraId="2A9673E9" w14:textId="77777777" w:rsidR="008F52C8" w:rsidRPr="0030358C" w:rsidRDefault="00000000" w:rsidP="00732453">
            <w:pPr>
              <w:snapToGrid w:val="0"/>
              <w:spacing w:before="60"/>
              <w:jc w:val="center"/>
              <w:rPr>
                <w:rFonts w:ascii="Arial" w:hAnsi="Arial" w:cs="Arial"/>
                <w:b/>
                <w:strike/>
                <w:sz w:val="22"/>
                <w:szCs w:val="22"/>
                <w:lang w:eastAsia="zh-CN"/>
              </w:rPr>
            </w:pPr>
            <w:r w:rsidRPr="0030358C">
              <w:rPr>
                <w:rFonts w:ascii="Arial" w:hAnsi="Arial" w:cs="Arial"/>
                <w:b/>
                <w:strike/>
                <w:sz w:val="22"/>
                <w:szCs w:val="22"/>
                <w:lang w:eastAsia="zh-CN"/>
              </w:rPr>
              <w:lastRenderedPageBreak/>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E9740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0F6C06F" w14:textId="77777777" w:rsidTr="00732453">
        <w:trPr>
          <w:cantSplit/>
          <w:trHeight w:hRule="exact" w:val="428"/>
        </w:trPr>
        <w:tc>
          <w:tcPr>
            <w:tcW w:w="4801" w:type="dxa"/>
            <w:tcBorders>
              <w:top w:val="single" w:sz="4" w:space="0" w:color="000000"/>
              <w:left w:val="single" w:sz="4" w:space="0" w:color="000000"/>
              <w:bottom w:val="single" w:sz="4" w:space="0" w:color="000000"/>
            </w:tcBorders>
            <w:shd w:val="clear" w:color="auto" w:fill="auto"/>
            <w:vAlign w:val="center"/>
          </w:tcPr>
          <w:p w14:paraId="4A9A2575"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Cl</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BC58F" w14:textId="77777777" w:rsidR="008F52C8" w:rsidRPr="0030358C" w:rsidRDefault="008F52C8" w:rsidP="00732453">
            <w:pPr>
              <w:snapToGrid w:val="0"/>
              <w:rPr>
                <w:rFonts w:ascii="Arial" w:hAnsi="Arial" w:cs="Arial"/>
                <w:b/>
                <w:strike/>
                <w:sz w:val="22"/>
                <w:szCs w:val="22"/>
                <w:lang w:eastAsia="zh-CN"/>
              </w:rPr>
            </w:pPr>
          </w:p>
        </w:tc>
      </w:tr>
      <w:tr w:rsidR="00E40657" w14:paraId="5AFC5584" w14:textId="77777777" w:rsidTr="00732453">
        <w:trPr>
          <w:trHeight w:hRule="exact" w:val="609"/>
        </w:trPr>
        <w:tc>
          <w:tcPr>
            <w:tcW w:w="4801" w:type="dxa"/>
            <w:tcBorders>
              <w:top w:val="single" w:sz="4" w:space="0" w:color="000000"/>
              <w:left w:val="single" w:sz="4" w:space="0" w:color="000000"/>
              <w:bottom w:val="single" w:sz="4" w:space="0" w:color="000000"/>
            </w:tcBorders>
            <w:shd w:val="clear" w:color="auto" w:fill="auto"/>
            <w:vAlign w:val="center"/>
          </w:tcPr>
          <w:p w14:paraId="45415916"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3771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1D699095" w14:textId="77777777" w:rsidR="008F52C8" w:rsidRPr="0030358C" w:rsidRDefault="008F52C8" w:rsidP="008F52C8">
      <w:pPr>
        <w:spacing w:before="60"/>
        <w:rPr>
          <w:rFonts w:ascii="Arial" w:hAnsi="Arial" w:cs="Arial"/>
          <w:b/>
          <w:strike/>
          <w:sz w:val="22"/>
          <w:szCs w:val="22"/>
          <w:lang w:eastAsia="zh-CN"/>
        </w:rPr>
      </w:pPr>
    </w:p>
    <w:p w14:paraId="75DC5F9E" w14:textId="77777777" w:rsidR="008F52C8" w:rsidRPr="0030358C" w:rsidRDefault="008F52C8" w:rsidP="008F52C8">
      <w:pPr>
        <w:spacing w:before="60"/>
        <w:rPr>
          <w:rFonts w:ascii="Arial" w:hAnsi="Arial" w:cs="Arial"/>
          <w:b/>
          <w:strike/>
          <w:sz w:val="22"/>
          <w:szCs w:val="22"/>
          <w:lang w:eastAsia="zh-CN"/>
        </w:rPr>
      </w:pPr>
    </w:p>
    <w:p w14:paraId="224D3925"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5.2.2. Výroba kyseliny chlorovodíkové </w:t>
      </w:r>
      <w:r w:rsidRPr="0030358C">
        <w:rPr>
          <w:rFonts w:ascii="Arial" w:hAnsi="Arial" w:cs="Arial"/>
          <w:bCs/>
          <w:strike/>
          <w:sz w:val="22"/>
          <w:szCs w:val="22"/>
          <w:lang w:eastAsia="zh-CN"/>
        </w:rPr>
        <w:t>(kód 6.12. dle přílohy č. 2 zákona)</w:t>
      </w:r>
    </w:p>
    <w:tbl>
      <w:tblPr>
        <w:tblW w:w="0" w:type="auto"/>
        <w:tblInd w:w="-15" w:type="dxa"/>
        <w:tblLayout w:type="fixed"/>
        <w:tblLook w:val="0000" w:firstRow="0" w:lastRow="0" w:firstColumn="0" w:lastColumn="0" w:noHBand="0" w:noVBand="0"/>
      </w:tblPr>
      <w:tblGrid>
        <w:gridCol w:w="2605"/>
        <w:gridCol w:w="3388"/>
        <w:gridCol w:w="3607"/>
      </w:tblGrid>
      <w:tr w:rsidR="00E40657" w14:paraId="77132AB1" w14:textId="77777777" w:rsidTr="00732453">
        <w:trPr>
          <w:cantSplit/>
          <w:trHeight w:hRule="exact" w:val="1002"/>
        </w:trPr>
        <w:tc>
          <w:tcPr>
            <w:tcW w:w="2605" w:type="dxa"/>
            <w:tcBorders>
              <w:top w:val="single" w:sz="4" w:space="0" w:color="000000"/>
              <w:left w:val="single" w:sz="4" w:space="0" w:color="000000"/>
              <w:bottom w:val="single" w:sz="4" w:space="0" w:color="000000"/>
            </w:tcBorders>
            <w:shd w:val="clear" w:color="auto" w:fill="auto"/>
            <w:vAlign w:val="center"/>
          </w:tcPr>
          <w:p w14:paraId="079606F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388" w:type="dxa"/>
            <w:tcBorders>
              <w:top w:val="single" w:sz="4" w:space="0" w:color="000000"/>
              <w:left w:val="single" w:sz="4" w:space="0" w:color="000000"/>
              <w:bottom w:val="single" w:sz="4" w:space="0" w:color="000000"/>
            </w:tcBorders>
            <w:shd w:val="clear" w:color="auto" w:fill="auto"/>
            <w:vAlign w:val="center"/>
          </w:tcPr>
          <w:p w14:paraId="21956F3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[g/t] </w:t>
            </w:r>
          </w:p>
        </w:tc>
        <w:tc>
          <w:tcPr>
            <w:tcW w:w="3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D79F9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37E42514" w14:textId="77777777" w:rsidTr="00732453">
        <w:trPr>
          <w:cantSplit/>
          <w:trHeight w:hRule="exact" w:val="428"/>
        </w:trPr>
        <w:tc>
          <w:tcPr>
            <w:tcW w:w="5993" w:type="dxa"/>
            <w:gridSpan w:val="2"/>
            <w:tcBorders>
              <w:top w:val="single" w:sz="4" w:space="0" w:color="000000"/>
              <w:left w:val="single" w:sz="4" w:space="0" w:color="000000"/>
              <w:bottom w:val="single" w:sz="4" w:space="0" w:color="000000"/>
            </w:tcBorders>
            <w:shd w:val="clear" w:color="auto" w:fill="auto"/>
            <w:vAlign w:val="center"/>
          </w:tcPr>
          <w:p w14:paraId="3559AE6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HCl</w:t>
            </w:r>
          </w:p>
        </w:tc>
        <w:tc>
          <w:tcPr>
            <w:tcW w:w="3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57B9D" w14:textId="77777777" w:rsidR="008F52C8" w:rsidRPr="0030358C" w:rsidRDefault="008F52C8" w:rsidP="00732453">
            <w:pPr>
              <w:snapToGrid w:val="0"/>
              <w:rPr>
                <w:rFonts w:ascii="Arial" w:hAnsi="Arial" w:cs="Arial"/>
                <w:b/>
                <w:strike/>
                <w:sz w:val="22"/>
                <w:szCs w:val="22"/>
                <w:lang w:eastAsia="zh-CN"/>
              </w:rPr>
            </w:pPr>
          </w:p>
        </w:tc>
      </w:tr>
      <w:tr w:rsidR="00E40657" w14:paraId="43B67A00" w14:textId="77777777" w:rsidTr="00732453">
        <w:trPr>
          <w:trHeight w:hRule="exact" w:val="420"/>
        </w:trPr>
        <w:tc>
          <w:tcPr>
            <w:tcW w:w="2605" w:type="dxa"/>
            <w:tcBorders>
              <w:top w:val="single" w:sz="4" w:space="0" w:color="000000"/>
              <w:left w:val="single" w:sz="4" w:space="0" w:color="000000"/>
              <w:bottom w:val="single" w:sz="4" w:space="0" w:color="000000"/>
            </w:tcBorders>
            <w:shd w:val="clear" w:color="auto" w:fill="auto"/>
            <w:vAlign w:val="center"/>
          </w:tcPr>
          <w:p w14:paraId="466F517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25</w:t>
            </w:r>
          </w:p>
        </w:tc>
        <w:tc>
          <w:tcPr>
            <w:tcW w:w="3388" w:type="dxa"/>
            <w:tcBorders>
              <w:top w:val="single" w:sz="4" w:space="0" w:color="000000"/>
              <w:left w:val="single" w:sz="4" w:space="0" w:color="000000"/>
              <w:bottom w:val="single" w:sz="4" w:space="0" w:color="000000"/>
            </w:tcBorders>
            <w:shd w:val="clear" w:color="auto" w:fill="auto"/>
            <w:vAlign w:val="center"/>
          </w:tcPr>
          <w:p w14:paraId="379472C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3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5345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4A731DE7" w14:textId="77777777" w:rsidR="008F52C8" w:rsidRPr="0030358C" w:rsidRDefault="00000000" w:rsidP="008F52C8">
      <w:pPr>
        <w:rPr>
          <w:rFonts w:ascii="Arial" w:hAnsi="Arial" w:cs="Arial"/>
          <w:strike/>
          <w:sz w:val="22"/>
          <w:szCs w:val="22"/>
          <w:lang w:eastAsia="zh-CN"/>
        </w:rPr>
      </w:pPr>
      <w:r w:rsidRPr="0030358C">
        <w:rPr>
          <w:rFonts w:ascii="Arial" w:hAnsi="Arial" w:cs="Arial"/>
          <w:strike/>
          <w:sz w:val="22"/>
          <w:szCs w:val="22"/>
          <w:lang w:eastAsia="zh-CN"/>
        </w:rPr>
        <w:t>Vysvětlivka: 1) Zjištěno z měsíčního průměru výroby, přepočteno na 36% kyselinu chlorovodíkovou.</w:t>
      </w:r>
    </w:p>
    <w:p w14:paraId="3D4F00D5" w14:textId="77777777" w:rsidR="008F52C8" w:rsidRPr="0030358C" w:rsidRDefault="008F52C8" w:rsidP="008F52C8">
      <w:pPr>
        <w:spacing w:before="60"/>
        <w:rPr>
          <w:rFonts w:ascii="Arial" w:hAnsi="Arial" w:cs="Arial"/>
          <w:b/>
          <w:strike/>
          <w:sz w:val="22"/>
          <w:szCs w:val="22"/>
          <w:lang w:eastAsia="zh-CN"/>
        </w:rPr>
      </w:pPr>
    </w:p>
    <w:p w14:paraId="1ADFC406" w14:textId="77777777" w:rsidR="008F52C8" w:rsidRPr="0030358C" w:rsidRDefault="00000000" w:rsidP="008F52C8">
      <w:pPr>
        <w:spacing w:before="62" w:after="57"/>
        <w:rPr>
          <w:rFonts w:ascii="Arial" w:hAnsi="Arial" w:cs="Arial"/>
          <w:bCs/>
          <w:strike/>
          <w:sz w:val="22"/>
          <w:szCs w:val="22"/>
          <w:lang w:eastAsia="zh-CN"/>
        </w:rPr>
      </w:pPr>
      <w:r w:rsidRPr="0030358C">
        <w:rPr>
          <w:rFonts w:ascii="Arial" w:hAnsi="Arial" w:cs="Arial"/>
          <w:b/>
          <w:strike/>
          <w:sz w:val="22"/>
          <w:szCs w:val="22"/>
          <w:lang w:eastAsia="zh-CN"/>
        </w:rPr>
        <w:t xml:space="preserve">5.2.3. Výroba síry (Clausův proces) </w:t>
      </w:r>
      <w:r w:rsidRPr="0030358C">
        <w:rPr>
          <w:rFonts w:ascii="Arial" w:hAnsi="Arial" w:cs="Arial"/>
          <w:bCs/>
          <w:strike/>
          <w:sz w:val="22"/>
          <w:szCs w:val="22"/>
          <w:lang w:eastAsia="zh-CN"/>
        </w:rPr>
        <w:t>(kód 6.13.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3567"/>
        <w:gridCol w:w="4140"/>
        <w:gridCol w:w="1682"/>
      </w:tblGrid>
      <w:tr w:rsidR="00E40657" w14:paraId="7F2CD43A" w14:textId="77777777" w:rsidTr="00732453">
        <w:trPr>
          <w:cantSplit/>
          <w:trHeight w:hRule="exact" w:val="657"/>
        </w:trPr>
        <w:tc>
          <w:tcPr>
            <w:tcW w:w="3567" w:type="dxa"/>
            <w:tcBorders>
              <w:top w:val="single" w:sz="2" w:space="0" w:color="000000"/>
              <w:left w:val="single" w:sz="2" w:space="0" w:color="000000"/>
              <w:bottom w:val="single" w:sz="2" w:space="0" w:color="000000"/>
            </w:tcBorders>
            <w:shd w:val="clear" w:color="auto" w:fill="auto"/>
            <w:vAlign w:val="center"/>
          </w:tcPr>
          <w:p w14:paraId="156FC916"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 xml:space="preserve">Emisní limit </w:t>
            </w:r>
          </w:p>
          <w:p w14:paraId="7C821F97" w14:textId="77777777" w:rsidR="008F52C8" w:rsidRPr="0030358C" w:rsidRDefault="00000000" w:rsidP="00732453">
            <w:pPr>
              <w:keepNext/>
              <w:keepLines/>
              <w:autoSpaceDE w:val="0"/>
              <w:jc w:val="center"/>
              <w:rPr>
                <w:rFonts w:ascii="Arial" w:hAnsi="Arial" w:cs="Arial"/>
                <w:b/>
                <w:bCs/>
                <w:strike/>
                <w:sz w:val="22"/>
                <w:szCs w:val="22"/>
                <w:lang w:val="es-MX" w:eastAsia="zh-CN"/>
              </w:rPr>
            </w:pPr>
            <w:r w:rsidRPr="0030358C">
              <w:rPr>
                <w:rFonts w:ascii="Arial" w:hAnsi="Arial" w:cs="Arial"/>
                <w:b/>
                <w:bCs/>
                <w:strike/>
                <w:sz w:val="22"/>
                <w:szCs w:val="22"/>
                <w:lang w:val="es-MX" w:eastAsia="zh-CN"/>
              </w:rPr>
              <w:t>[mg</w:t>
            </w:r>
            <w:r w:rsidRPr="0030358C">
              <w:rPr>
                <w:rFonts w:ascii="Arial" w:hAnsi="Arial" w:cs="Arial"/>
                <w:b/>
                <w:bCs/>
                <w:strike/>
                <w:sz w:val="22"/>
                <w:szCs w:val="22"/>
                <w:lang w:eastAsia="zh-CN"/>
              </w:rPr>
              <w:t>/m</w:t>
            </w:r>
            <w:r w:rsidRPr="0030358C">
              <w:rPr>
                <w:rFonts w:ascii="Arial" w:hAnsi="Arial" w:cs="Arial"/>
                <w:b/>
                <w:bCs/>
                <w:strike/>
                <w:sz w:val="22"/>
                <w:szCs w:val="22"/>
                <w:vertAlign w:val="superscript"/>
                <w:lang w:eastAsia="zh-CN"/>
              </w:rPr>
              <w:t>3</w:t>
            </w:r>
            <w:r w:rsidRPr="0030358C">
              <w:rPr>
                <w:rFonts w:ascii="Arial" w:hAnsi="Arial" w:cs="Arial"/>
                <w:b/>
                <w:bCs/>
                <w:strike/>
                <w:sz w:val="22"/>
                <w:szCs w:val="22"/>
                <w:lang w:val="es-MX" w:eastAsia="zh-CN"/>
              </w:rPr>
              <w:t>]</w:t>
            </w:r>
          </w:p>
        </w:tc>
        <w:tc>
          <w:tcPr>
            <w:tcW w:w="4140" w:type="dxa"/>
            <w:tcBorders>
              <w:top w:val="single" w:sz="2" w:space="0" w:color="000000"/>
              <w:left w:val="single" w:sz="2" w:space="0" w:color="000000"/>
              <w:bottom w:val="single" w:sz="2" w:space="0" w:color="000000"/>
            </w:tcBorders>
            <w:shd w:val="clear" w:color="auto" w:fill="auto"/>
            <w:vAlign w:val="center"/>
          </w:tcPr>
          <w:p w14:paraId="2702D274"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 xml:space="preserve">Emisní limit </w:t>
            </w:r>
          </w:p>
          <w:p w14:paraId="32506384" w14:textId="77777777" w:rsidR="008F52C8" w:rsidRPr="0030358C" w:rsidRDefault="00000000" w:rsidP="00732453">
            <w:pPr>
              <w:keepNext/>
              <w:keepLines/>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w:t>
            </w:r>
          </w:p>
        </w:tc>
        <w:tc>
          <w:tcPr>
            <w:tcW w:w="1682" w:type="dxa"/>
            <w:vMerge w:val="restart"/>
            <w:tcBorders>
              <w:top w:val="single" w:sz="2" w:space="0" w:color="000000"/>
              <w:left w:val="single" w:sz="2" w:space="0" w:color="000000"/>
              <w:right w:val="single" w:sz="2" w:space="0" w:color="000000"/>
            </w:tcBorders>
            <w:shd w:val="clear" w:color="auto" w:fill="auto"/>
            <w:vAlign w:val="center"/>
          </w:tcPr>
          <w:p w14:paraId="51067B58"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00B6C83F" w14:textId="77777777" w:rsidR="008F52C8" w:rsidRPr="0030358C" w:rsidRDefault="00000000" w:rsidP="00732453">
            <w:pPr>
              <w:keepNext/>
              <w:keepLines/>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podmínky</w:t>
            </w:r>
          </w:p>
        </w:tc>
      </w:tr>
      <w:tr w:rsidR="00E40657" w14:paraId="68DDE44A" w14:textId="77777777" w:rsidTr="00732453">
        <w:trPr>
          <w:cantSplit/>
          <w:trHeight w:hRule="exact" w:val="567"/>
        </w:trPr>
        <w:tc>
          <w:tcPr>
            <w:tcW w:w="3567" w:type="dxa"/>
            <w:tcBorders>
              <w:top w:val="single" w:sz="2" w:space="0" w:color="000000"/>
              <w:left w:val="single" w:sz="2" w:space="0" w:color="000000"/>
              <w:bottom w:val="single" w:sz="2" w:space="0" w:color="000000"/>
            </w:tcBorders>
            <w:shd w:val="clear" w:color="auto" w:fill="auto"/>
            <w:vAlign w:val="center"/>
          </w:tcPr>
          <w:p w14:paraId="75D6AFE0"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H</w:t>
            </w:r>
            <w:r w:rsidRPr="0030358C">
              <w:rPr>
                <w:rFonts w:ascii="Arial" w:hAnsi="Arial" w:cs="Arial"/>
                <w:b/>
                <w:bCs/>
                <w:strike/>
                <w:sz w:val="22"/>
                <w:szCs w:val="22"/>
                <w:vertAlign w:val="subscript"/>
                <w:lang w:eastAsia="zh-CN"/>
              </w:rPr>
              <w:t>2</w:t>
            </w:r>
            <w:r w:rsidRPr="0030358C">
              <w:rPr>
                <w:rFonts w:ascii="Arial" w:hAnsi="Arial" w:cs="Arial"/>
                <w:b/>
                <w:bCs/>
                <w:strike/>
                <w:sz w:val="22"/>
                <w:szCs w:val="22"/>
                <w:lang w:eastAsia="zh-CN"/>
              </w:rPr>
              <w:t>S</w:t>
            </w:r>
          </w:p>
        </w:tc>
        <w:tc>
          <w:tcPr>
            <w:tcW w:w="4140" w:type="dxa"/>
            <w:tcBorders>
              <w:top w:val="single" w:sz="2" w:space="0" w:color="000000"/>
              <w:left w:val="single" w:sz="2" w:space="0" w:color="000000"/>
              <w:bottom w:val="single" w:sz="2" w:space="0" w:color="000000"/>
            </w:tcBorders>
            <w:shd w:val="clear" w:color="auto" w:fill="auto"/>
            <w:vAlign w:val="center"/>
          </w:tcPr>
          <w:p w14:paraId="48262507"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Sloučeniny síry vyjádřené jako elementární síra</w:t>
            </w:r>
          </w:p>
        </w:tc>
        <w:tc>
          <w:tcPr>
            <w:tcW w:w="1682" w:type="dxa"/>
            <w:vMerge/>
            <w:tcBorders>
              <w:left w:val="single" w:sz="2" w:space="0" w:color="000000"/>
              <w:bottom w:val="single" w:sz="2" w:space="0" w:color="000000"/>
              <w:right w:val="single" w:sz="2" w:space="0" w:color="000000"/>
            </w:tcBorders>
            <w:shd w:val="clear" w:color="auto" w:fill="auto"/>
            <w:vAlign w:val="center"/>
          </w:tcPr>
          <w:p w14:paraId="7A6752BC" w14:textId="77777777" w:rsidR="008F52C8" w:rsidRPr="0030358C" w:rsidRDefault="008F52C8" w:rsidP="00732453">
            <w:pPr>
              <w:keepNext/>
              <w:keepLines/>
              <w:autoSpaceDE w:val="0"/>
              <w:snapToGrid w:val="0"/>
              <w:jc w:val="center"/>
              <w:rPr>
                <w:rFonts w:ascii="Arial" w:hAnsi="Arial" w:cs="Arial"/>
                <w:b/>
                <w:bCs/>
                <w:strike/>
                <w:sz w:val="22"/>
                <w:szCs w:val="22"/>
                <w:lang w:eastAsia="zh-CN"/>
              </w:rPr>
            </w:pPr>
          </w:p>
        </w:tc>
      </w:tr>
      <w:tr w:rsidR="00E40657" w14:paraId="7355C197" w14:textId="77777777" w:rsidTr="00732453">
        <w:trPr>
          <w:trHeight w:hRule="exact" w:val="1218"/>
        </w:trPr>
        <w:tc>
          <w:tcPr>
            <w:tcW w:w="3567" w:type="dxa"/>
            <w:tcBorders>
              <w:top w:val="single" w:sz="2" w:space="0" w:color="000000"/>
              <w:left w:val="single" w:sz="2" w:space="0" w:color="000000"/>
              <w:bottom w:val="single" w:sz="2" w:space="0" w:color="000000"/>
            </w:tcBorders>
            <w:shd w:val="clear" w:color="auto" w:fill="auto"/>
            <w:vAlign w:val="center"/>
          </w:tcPr>
          <w:p w14:paraId="238BDD9A" w14:textId="77777777" w:rsidR="008F52C8" w:rsidRPr="0030358C" w:rsidRDefault="00000000" w:rsidP="00732453">
            <w:pPr>
              <w:keepNext/>
              <w:keepLines/>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p>
        </w:tc>
        <w:tc>
          <w:tcPr>
            <w:tcW w:w="4140" w:type="dxa"/>
            <w:tcBorders>
              <w:top w:val="single" w:sz="2" w:space="0" w:color="000000"/>
              <w:left w:val="single" w:sz="2" w:space="0" w:color="000000"/>
              <w:bottom w:val="single" w:sz="2" w:space="0" w:color="000000"/>
            </w:tcBorders>
            <w:shd w:val="clear" w:color="auto" w:fill="auto"/>
            <w:vAlign w:val="center"/>
          </w:tcPr>
          <w:p w14:paraId="47C113F1" w14:textId="77777777" w:rsidR="008F52C8" w:rsidRPr="0030358C" w:rsidRDefault="00000000" w:rsidP="00732453">
            <w:pPr>
              <w:keepNext/>
              <w:keepLines/>
              <w:autoSpaceDE w:val="0"/>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4</w:t>
            </w:r>
            <w:r w:rsidRPr="0030358C">
              <w:rPr>
                <w:rFonts w:ascii="Arial" w:hAnsi="Arial" w:cs="Arial"/>
                <w:bCs/>
                <w:strike/>
                <w:sz w:val="22"/>
                <w:szCs w:val="22"/>
                <w:vertAlign w:val="superscript"/>
                <w:lang w:eastAsia="zh-CN"/>
              </w:rPr>
              <w:t>1)</w:t>
            </w:r>
          </w:p>
          <w:p w14:paraId="5526EAD4" w14:textId="77777777" w:rsidR="008F52C8" w:rsidRPr="0030358C" w:rsidRDefault="00000000" w:rsidP="00732453">
            <w:pPr>
              <w:keepNext/>
              <w:keepLines/>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w:t>
            </w:r>
            <w:r w:rsidRPr="0030358C">
              <w:rPr>
                <w:rFonts w:ascii="Arial" w:hAnsi="Arial" w:cs="Arial"/>
                <w:bCs/>
                <w:strike/>
                <w:sz w:val="22"/>
                <w:szCs w:val="22"/>
                <w:vertAlign w:val="superscript"/>
                <w:lang w:eastAsia="zh-CN"/>
              </w:rPr>
              <w:t>2)</w:t>
            </w:r>
          </w:p>
          <w:p w14:paraId="510B9E88" w14:textId="77777777" w:rsidR="008F52C8" w:rsidRPr="0030358C" w:rsidRDefault="00000000" w:rsidP="00732453">
            <w:pPr>
              <w:keepNext/>
              <w:keepLines/>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1,5</w:t>
            </w:r>
            <w:r w:rsidRPr="0030358C">
              <w:rPr>
                <w:rFonts w:ascii="Arial" w:hAnsi="Arial" w:cs="Arial"/>
                <w:bCs/>
                <w:strike/>
                <w:sz w:val="22"/>
                <w:szCs w:val="22"/>
                <w:vertAlign w:val="superscript"/>
                <w:lang w:eastAsia="zh-CN"/>
              </w:rPr>
              <w:t>3)</w:t>
            </w:r>
          </w:p>
          <w:p w14:paraId="45CDA73D" w14:textId="77777777" w:rsidR="008F52C8" w:rsidRPr="0030358C" w:rsidRDefault="00000000" w:rsidP="00732453">
            <w:pPr>
              <w:keepNext/>
              <w:keepLines/>
              <w:autoSpaceDE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0,5</w:t>
            </w:r>
            <w:r w:rsidRPr="0030358C">
              <w:rPr>
                <w:rFonts w:ascii="Arial" w:hAnsi="Arial" w:cs="Arial"/>
                <w:bCs/>
                <w:strike/>
                <w:sz w:val="22"/>
                <w:szCs w:val="22"/>
                <w:vertAlign w:val="superscript"/>
                <w:lang w:eastAsia="zh-CN"/>
              </w:rPr>
              <w:t>4)</w:t>
            </w:r>
          </w:p>
        </w:tc>
        <w:tc>
          <w:tcPr>
            <w:tcW w:w="1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95B536" w14:textId="77777777" w:rsidR="008F52C8" w:rsidRPr="0030358C" w:rsidRDefault="00000000" w:rsidP="00732453">
            <w:pPr>
              <w:keepNext/>
              <w:keepLines/>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3BF0AA21" w14:textId="77777777" w:rsidR="008F52C8" w:rsidRPr="0030358C" w:rsidRDefault="00000000" w:rsidP="008F52C8">
      <w:pPr>
        <w:keepNext/>
        <w:keepLines/>
        <w:spacing w:before="120"/>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1ABB7999" w14:textId="77777777" w:rsidR="008F52C8" w:rsidRPr="0030358C" w:rsidRDefault="00000000" w:rsidP="008F52C8">
      <w:pPr>
        <w:keepNext/>
        <w:keepLines/>
        <w:tabs>
          <w:tab w:val="left" w:pos="28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1)</w:t>
      </w:r>
      <w:r w:rsidRPr="0030358C">
        <w:rPr>
          <w:rFonts w:ascii="Arial" w:hAnsi="Arial" w:cs="Arial"/>
          <w:iCs/>
          <w:strike/>
          <w:sz w:val="22"/>
          <w:szCs w:val="22"/>
          <w:lang w:eastAsia="zh-CN"/>
        </w:rPr>
        <w:tab/>
        <w:t>Platí u zařízení s celkovým projektovaným výkonem do 20 t/den síry včetně.</w:t>
      </w:r>
    </w:p>
    <w:p w14:paraId="2534B29B" w14:textId="77777777" w:rsidR="008F52C8" w:rsidRPr="0030358C" w:rsidRDefault="00000000" w:rsidP="008F52C8">
      <w:pPr>
        <w:keepNext/>
        <w:keepLines/>
        <w:tabs>
          <w:tab w:val="left" w:pos="28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2)</w:t>
      </w:r>
      <w:r w:rsidRPr="0030358C">
        <w:rPr>
          <w:rFonts w:ascii="Arial" w:hAnsi="Arial" w:cs="Arial"/>
          <w:iCs/>
          <w:strike/>
          <w:sz w:val="22"/>
          <w:szCs w:val="22"/>
          <w:lang w:eastAsia="zh-CN"/>
        </w:rPr>
        <w:tab/>
        <w:t>Platí u zařízení s celkovým projektovaným výkonem vyšším než 20 t/den až 50 t/den síry včetně.</w:t>
      </w:r>
    </w:p>
    <w:p w14:paraId="71B4BDD8"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iCs/>
          <w:strike/>
          <w:sz w:val="22"/>
          <w:szCs w:val="22"/>
          <w:lang w:eastAsia="zh-CN"/>
        </w:rPr>
        <w:t>3)   Platí u zařízení s celkovým projektovaným výkonem vyšším než 50 t/den síry.</w:t>
      </w:r>
    </w:p>
    <w:p w14:paraId="3DE409FF" w14:textId="77777777" w:rsidR="008F52C8" w:rsidRPr="0030358C" w:rsidRDefault="00000000" w:rsidP="008F52C8">
      <w:pPr>
        <w:keepNext/>
        <w:keepLines/>
        <w:jc w:val="both"/>
        <w:rPr>
          <w:rFonts w:ascii="Arial" w:hAnsi="Arial" w:cs="Arial"/>
          <w:iCs/>
          <w:strike/>
          <w:sz w:val="22"/>
          <w:szCs w:val="22"/>
          <w:lang w:eastAsia="zh-CN"/>
        </w:rPr>
      </w:pPr>
      <w:r w:rsidRPr="0030358C">
        <w:rPr>
          <w:rFonts w:ascii="Arial" w:hAnsi="Arial" w:cs="Arial"/>
          <w:iCs/>
          <w:strike/>
          <w:sz w:val="22"/>
          <w:szCs w:val="22"/>
          <w:lang w:eastAsia="zh-CN"/>
        </w:rPr>
        <w:t>4)   Platí u zařízení s celkovým projektovaným výkonem vyšším než 50 t/den síry povolených po 1. lednu 2007.</w:t>
      </w:r>
    </w:p>
    <w:p w14:paraId="70603F4B" w14:textId="77777777" w:rsidR="008F52C8" w:rsidRPr="0030358C" w:rsidRDefault="008F52C8" w:rsidP="008F52C8">
      <w:pPr>
        <w:keepNext/>
        <w:keepLines/>
        <w:jc w:val="both"/>
        <w:rPr>
          <w:rFonts w:ascii="Arial" w:hAnsi="Arial" w:cs="Arial"/>
          <w:b/>
          <w:i/>
          <w:strike/>
          <w:sz w:val="22"/>
          <w:szCs w:val="22"/>
          <w:lang w:eastAsia="zh-CN"/>
        </w:rPr>
      </w:pPr>
    </w:p>
    <w:p w14:paraId="37692146" w14:textId="77777777" w:rsidR="008F52C8" w:rsidRPr="0030358C" w:rsidRDefault="00000000" w:rsidP="008F52C8">
      <w:pPr>
        <w:keepNext/>
        <w:keepLines/>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572E4C2D" w14:textId="77777777" w:rsidR="008F52C8" w:rsidRPr="0030358C" w:rsidRDefault="00000000" w:rsidP="008F52C8">
      <w:pPr>
        <w:keepNext/>
        <w:keepLines/>
        <w:jc w:val="both"/>
        <w:rPr>
          <w:rFonts w:ascii="Arial" w:hAnsi="Arial" w:cs="Arial"/>
          <w:bCs/>
          <w:strike/>
          <w:sz w:val="22"/>
          <w:szCs w:val="22"/>
          <w:lang w:eastAsia="zh-CN"/>
        </w:rPr>
      </w:pPr>
      <w:r w:rsidRPr="0030358C">
        <w:rPr>
          <w:rFonts w:ascii="Arial" w:hAnsi="Arial" w:cs="Arial"/>
          <w:bCs/>
          <w:strike/>
          <w:sz w:val="22"/>
          <w:szCs w:val="22"/>
          <w:lang w:eastAsia="zh-CN"/>
        </w:rPr>
        <w:t>Odpadní plyny obsahující sulfan musí být spalovány.</w:t>
      </w:r>
    </w:p>
    <w:p w14:paraId="262D3AB5" w14:textId="77777777" w:rsidR="008F52C8" w:rsidRPr="0030358C" w:rsidRDefault="008F52C8" w:rsidP="008F52C8">
      <w:pPr>
        <w:rPr>
          <w:rFonts w:ascii="Arial" w:hAnsi="Arial" w:cs="Arial"/>
          <w:b/>
          <w:strike/>
          <w:sz w:val="22"/>
          <w:szCs w:val="22"/>
          <w:lang w:eastAsia="zh-CN"/>
        </w:rPr>
      </w:pPr>
    </w:p>
    <w:p w14:paraId="3031FBDC"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 xml:space="preserve">5.2.4. Výroba kapalného oxidu siřičitého </w:t>
      </w:r>
      <w:r w:rsidRPr="0030358C">
        <w:rPr>
          <w:rFonts w:ascii="Arial" w:hAnsi="Arial" w:cs="Arial"/>
          <w:bCs/>
          <w:strike/>
          <w:sz w:val="22"/>
          <w:szCs w:val="22"/>
          <w:lang w:eastAsia="zh-CN"/>
        </w:rPr>
        <w:t>(kód 6.14. dle přílohy č. 2 zákona)</w:t>
      </w:r>
    </w:p>
    <w:p w14:paraId="0897F30D" w14:textId="77777777" w:rsidR="008F52C8" w:rsidRPr="0030358C" w:rsidRDefault="00000000" w:rsidP="008F52C8">
      <w:pPr>
        <w:spacing w:before="60"/>
        <w:jc w:val="both"/>
        <w:rPr>
          <w:rFonts w:ascii="Arial" w:hAnsi="Arial" w:cs="Arial"/>
          <w:bCs/>
          <w:strike/>
          <w:sz w:val="22"/>
          <w:szCs w:val="22"/>
          <w:lang w:eastAsia="zh-CN"/>
        </w:rPr>
      </w:pPr>
      <w:r w:rsidRPr="0030358C">
        <w:rPr>
          <w:rFonts w:ascii="Arial" w:hAnsi="Arial" w:cs="Arial"/>
          <w:bCs/>
          <w:strike/>
          <w:sz w:val="22"/>
          <w:szCs w:val="22"/>
          <w:lang w:eastAsia="zh-CN"/>
        </w:rPr>
        <w:t xml:space="preserve">Technická podmínka provozu: </w:t>
      </w:r>
    </w:p>
    <w:p w14:paraId="4854022E" w14:textId="77777777" w:rsidR="008F52C8" w:rsidRPr="0030358C" w:rsidRDefault="00000000" w:rsidP="008F52C8">
      <w:pPr>
        <w:spacing w:before="60"/>
        <w:jc w:val="both"/>
        <w:rPr>
          <w:rFonts w:ascii="Arial" w:hAnsi="Arial" w:cs="Arial"/>
          <w:bCs/>
          <w:strike/>
          <w:sz w:val="22"/>
          <w:szCs w:val="22"/>
          <w:lang w:eastAsia="zh-CN"/>
        </w:rPr>
      </w:pPr>
      <w:r w:rsidRPr="0030358C">
        <w:rPr>
          <w:rFonts w:ascii="Arial" w:hAnsi="Arial" w:cs="Arial"/>
          <w:bCs/>
          <w:strike/>
          <w:sz w:val="22"/>
          <w:szCs w:val="22"/>
          <w:lang w:eastAsia="zh-CN"/>
        </w:rPr>
        <w:t>Odpadní plyn z výroby kapalného oxidu siřičitého je zaváděn ke zpracování do zařízení na výrobu kyseliny sírové nebo jiného zpracovatelského či odsiřovacího zařízení.</w:t>
      </w:r>
    </w:p>
    <w:p w14:paraId="59E46AFD" w14:textId="77777777" w:rsidR="008F52C8" w:rsidRPr="0030358C" w:rsidRDefault="008F52C8" w:rsidP="008F52C8">
      <w:pPr>
        <w:rPr>
          <w:rFonts w:ascii="Arial" w:hAnsi="Arial" w:cs="Arial"/>
          <w:b/>
          <w:strike/>
          <w:sz w:val="22"/>
          <w:szCs w:val="22"/>
          <w:lang w:eastAsia="zh-CN"/>
        </w:rPr>
      </w:pPr>
    </w:p>
    <w:p w14:paraId="2AE9424E" w14:textId="77777777" w:rsidR="008F52C8" w:rsidRPr="0030358C" w:rsidRDefault="00000000" w:rsidP="008F52C8">
      <w:pPr>
        <w:rPr>
          <w:rFonts w:ascii="Arial" w:hAnsi="Arial" w:cs="Arial"/>
          <w:b/>
          <w:i/>
          <w:strike/>
          <w:sz w:val="22"/>
          <w:szCs w:val="22"/>
          <w:lang w:eastAsia="zh-CN"/>
        </w:rPr>
      </w:pPr>
      <w:r w:rsidRPr="0030358C">
        <w:rPr>
          <w:rFonts w:ascii="Arial" w:hAnsi="Arial" w:cs="Arial"/>
          <w:b/>
          <w:strike/>
          <w:sz w:val="22"/>
          <w:szCs w:val="22"/>
          <w:lang w:eastAsia="zh-CN"/>
        </w:rPr>
        <w:t xml:space="preserve">5.2.5. Výroba kyseliny sírové </w:t>
      </w:r>
      <w:r w:rsidRPr="0030358C">
        <w:rPr>
          <w:rFonts w:ascii="Arial" w:hAnsi="Arial" w:cs="Arial"/>
          <w:bCs/>
          <w:strike/>
          <w:sz w:val="22"/>
          <w:szCs w:val="22"/>
          <w:lang w:eastAsia="zh-CN"/>
        </w:rPr>
        <w:t>(kód 6.15. dle přílohy č. 2 zákona)</w:t>
      </w:r>
      <w:r w:rsidRPr="0030358C">
        <w:rPr>
          <w:rFonts w:ascii="Arial" w:hAnsi="Arial" w:cs="Arial"/>
          <w:bCs/>
          <w:i/>
          <w:strike/>
          <w:sz w:val="22"/>
          <w:szCs w:val="22"/>
          <w:lang w:eastAsia="zh-CN"/>
        </w:rPr>
        <w:t xml:space="preserve"> </w:t>
      </w:r>
    </w:p>
    <w:tbl>
      <w:tblPr>
        <w:tblW w:w="0" w:type="auto"/>
        <w:tblInd w:w="-6" w:type="dxa"/>
        <w:tblLayout w:type="fixed"/>
        <w:tblCellMar>
          <w:left w:w="10" w:type="dxa"/>
          <w:right w:w="10" w:type="dxa"/>
        </w:tblCellMar>
        <w:tblLook w:val="0000" w:firstRow="0" w:lastRow="0" w:firstColumn="0" w:lastColumn="0" w:noHBand="0" w:noVBand="0"/>
      </w:tblPr>
      <w:tblGrid>
        <w:gridCol w:w="6686"/>
        <w:gridCol w:w="2703"/>
      </w:tblGrid>
      <w:tr w:rsidR="00E40657" w14:paraId="6AEFCD79" w14:textId="77777777" w:rsidTr="00732453">
        <w:trPr>
          <w:cantSplit/>
          <w:trHeight w:hRule="exact" w:val="659"/>
        </w:trPr>
        <w:tc>
          <w:tcPr>
            <w:tcW w:w="6686" w:type="dxa"/>
            <w:tcBorders>
              <w:top w:val="single" w:sz="2" w:space="0" w:color="000000"/>
              <w:left w:val="single" w:sz="2" w:space="0" w:color="000000"/>
              <w:bottom w:val="single" w:sz="2" w:space="0" w:color="000000"/>
            </w:tcBorders>
            <w:shd w:val="clear" w:color="auto" w:fill="auto"/>
            <w:vAlign w:val="center"/>
          </w:tcPr>
          <w:p w14:paraId="51A16E5F"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strike/>
                <w:sz w:val="22"/>
                <w:szCs w:val="22"/>
                <w:lang w:eastAsia="zh-CN"/>
              </w:rPr>
              <w:lastRenderedPageBreak/>
              <w:t>Emisní limit</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w:t>
            </w:r>
            <w:r w:rsidRPr="0030358C">
              <w:rPr>
                <w:rFonts w:ascii="Arial" w:hAnsi="Arial" w:cs="Arial"/>
                <w:b/>
                <w:bCs/>
                <w:strike/>
                <w:sz w:val="22"/>
                <w:szCs w:val="22"/>
                <w:lang w:eastAsia="zh-CN"/>
              </w:rPr>
              <w:t>[kg/t]</w:t>
            </w:r>
          </w:p>
        </w:tc>
        <w:tc>
          <w:tcPr>
            <w:tcW w:w="2703" w:type="dxa"/>
            <w:vMerge w:val="restart"/>
            <w:tcBorders>
              <w:top w:val="single" w:sz="2" w:space="0" w:color="000000"/>
              <w:left w:val="single" w:sz="2" w:space="0" w:color="000000"/>
              <w:right w:val="single" w:sz="2" w:space="0" w:color="000000"/>
            </w:tcBorders>
            <w:shd w:val="clear" w:color="auto" w:fill="auto"/>
            <w:vAlign w:val="center"/>
          </w:tcPr>
          <w:p w14:paraId="391409A7"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50C32F06" w14:textId="77777777" w:rsidR="008F52C8" w:rsidRPr="0030358C" w:rsidRDefault="00000000" w:rsidP="00732453">
            <w:pPr>
              <w:keepNext/>
              <w:keepLines/>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podmínky</w:t>
            </w:r>
          </w:p>
        </w:tc>
      </w:tr>
      <w:tr w:rsidR="00E40657" w14:paraId="7EC813B1" w14:textId="77777777" w:rsidTr="00732453">
        <w:trPr>
          <w:cantSplit/>
          <w:trHeight w:hRule="exact" w:val="494"/>
        </w:trPr>
        <w:tc>
          <w:tcPr>
            <w:tcW w:w="6686" w:type="dxa"/>
            <w:tcBorders>
              <w:top w:val="single" w:sz="2" w:space="0" w:color="000000"/>
              <w:left w:val="single" w:sz="2" w:space="0" w:color="000000"/>
              <w:bottom w:val="single" w:sz="2" w:space="0" w:color="000000"/>
            </w:tcBorders>
            <w:shd w:val="clear" w:color="auto" w:fill="auto"/>
            <w:vAlign w:val="center"/>
          </w:tcPr>
          <w:p w14:paraId="0CAA8210" w14:textId="77777777" w:rsidR="008F52C8" w:rsidRPr="0030358C" w:rsidRDefault="00000000" w:rsidP="00732453">
            <w:pPr>
              <w:keepNext/>
              <w:keepLines/>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2703" w:type="dxa"/>
            <w:vMerge/>
            <w:tcBorders>
              <w:left w:val="single" w:sz="2" w:space="0" w:color="000000"/>
              <w:bottom w:val="single" w:sz="2" w:space="0" w:color="000000"/>
              <w:right w:val="single" w:sz="2" w:space="0" w:color="000000"/>
            </w:tcBorders>
            <w:shd w:val="clear" w:color="auto" w:fill="auto"/>
            <w:vAlign w:val="center"/>
          </w:tcPr>
          <w:p w14:paraId="044C50E5" w14:textId="77777777" w:rsidR="008F52C8" w:rsidRPr="0030358C" w:rsidRDefault="008F52C8" w:rsidP="00732453">
            <w:pPr>
              <w:keepNext/>
              <w:keepLines/>
              <w:autoSpaceDE w:val="0"/>
              <w:snapToGrid w:val="0"/>
              <w:jc w:val="center"/>
              <w:rPr>
                <w:rFonts w:ascii="Arial" w:hAnsi="Arial" w:cs="Arial"/>
                <w:b/>
                <w:bCs/>
                <w:strike/>
                <w:sz w:val="22"/>
                <w:szCs w:val="22"/>
                <w:lang w:eastAsia="zh-CN"/>
              </w:rPr>
            </w:pPr>
          </w:p>
        </w:tc>
      </w:tr>
      <w:tr w:rsidR="00E40657" w14:paraId="024F082E" w14:textId="77777777" w:rsidTr="00732453">
        <w:trPr>
          <w:trHeight w:hRule="exact" w:val="461"/>
        </w:trPr>
        <w:tc>
          <w:tcPr>
            <w:tcW w:w="6686" w:type="dxa"/>
            <w:tcBorders>
              <w:top w:val="single" w:sz="2" w:space="0" w:color="000000"/>
              <w:left w:val="single" w:sz="2" w:space="0" w:color="000000"/>
              <w:bottom w:val="single" w:sz="2" w:space="0" w:color="000000"/>
            </w:tcBorders>
            <w:shd w:val="clear" w:color="auto" w:fill="auto"/>
            <w:vAlign w:val="center"/>
          </w:tcPr>
          <w:p w14:paraId="5CA85779" w14:textId="77777777" w:rsidR="008F52C8" w:rsidRPr="0030358C" w:rsidRDefault="00000000" w:rsidP="00732453">
            <w:pPr>
              <w:keepNext/>
              <w:keepLines/>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2,2</w:t>
            </w:r>
          </w:p>
        </w:tc>
        <w:tc>
          <w:tcPr>
            <w:tcW w:w="27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30A5A2" w14:textId="77777777" w:rsidR="008F52C8" w:rsidRPr="0030358C" w:rsidRDefault="00000000" w:rsidP="00732453">
            <w:pPr>
              <w:keepNext/>
              <w:keepLines/>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2CF97566" w14:textId="77777777" w:rsidR="008F52C8" w:rsidRPr="0030358C" w:rsidRDefault="00000000" w:rsidP="008F52C8">
      <w:pPr>
        <w:spacing w:before="60"/>
        <w:jc w:val="both"/>
        <w:rPr>
          <w:rFonts w:ascii="Arial" w:hAnsi="Arial" w:cs="Arial"/>
          <w:strike/>
          <w:sz w:val="22"/>
          <w:szCs w:val="22"/>
          <w:lang w:eastAsia="zh-CN"/>
        </w:rPr>
      </w:pPr>
      <w:r w:rsidRPr="0030358C">
        <w:rPr>
          <w:rFonts w:ascii="Arial" w:hAnsi="Arial" w:cs="Arial"/>
          <w:strike/>
          <w:sz w:val="22"/>
          <w:szCs w:val="22"/>
          <w:lang w:eastAsia="zh-CN"/>
        </w:rPr>
        <w:t>Vysvětlivka: 1) Zjištěno z měsíčního průměru výroby, přepočteno na 100% kyselinu sírovou.</w:t>
      </w:r>
    </w:p>
    <w:p w14:paraId="791995BB" w14:textId="77777777" w:rsidR="008F52C8" w:rsidRPr="0030358C" w:rsidRDefault="008F52C8" w:rsidP="008F52C8">
      <w:pPr>
        <w:rPr>
          <w:rFonts w:ascii="Arial" w:hAnsi="Arial" w:cs="Arial"/>
          <w:b/>
          <w:strike/>
          <w:sz w:val="22"/>
          <w:szCs w:val="22"/>
          <w:lang w:eastAsia="zh-CN"/>
        </w:rPr>
      </w:pPr>
    </w:p>
    <w:p w14:paraId="6592294F" w14:textId="77777777" w:rsidR="008F52C8" w:rsidRPr="0030358C" w:rsidRDefault="008F52C8" w:rsidP="008F52C8">
      <w:pPr>
        <w:rPr>
          <w:rFonts w:ascii="Arial" w:hAnsi="Arial" w:cs="Arial"/>
          <w:b/>
          <w:strike/>
          <w:sz w:val="22"/>
          <w:szCs w:val="22"/>
          <w:lang w:eastAsia="zh-CN"/>
        </w:rPr>
      </w:pPr>
    </w:p>
    <w:p w14:paraId="334797A3" w14:textId="77777777" w:rsidR="008F52C8" w:rsidRPr="0030358C" w:rsidRDefault="00000000" w:rsidP="008F52C8">
      <w:pPr>
        <w:rPr>
          <w:rFonts w:ascii="Arial" w:hAnsi="Arial" w:cs="Arial"/>
          <w:bCs/>
          <w:i/>
          <w:strike/>
          <w:sz w:val="22"/>
          <w:szCs w:val="22"/>
          <w:lang w:eastAsia="zh-CN"/>
        </w:rPr>
      </w:pPr>
      <w:r w:rsidRPr="0030358C">
        <w:rPr>
          <w:rFonts w:ascii="Arial" w:hAnsi="Arial" w:cs="Arial"/>
          <w:b/>
          <w:strike/>
          <w:sz w:val="22"/>
          <w:szCs w:val="22"/>
          <w:lang w:eastAsia="zh-CN"/>
        </w:rPr>
        <w:t xml:space="preserve">5.2.6. Výroba amoniaku </w:t>
      </w:r>
      <w:r w:rsidRPr="0030358C">
        <w:rPr>
          <w:rFonts w:ascii="Arial" w:hAnsi="Arial" w:cs="Arial"/>
          <w:bCs/>
          <w:strike/>
          <w:sz w:val="22"/>
          <w:szCs w:val="22"/>
          <w:lang w:eastAsia="zh-CN"/>
        </w:rPr>
        <w:t>(kód 6.16. dle přílohy č. 2 zákona)</w:t>
      </w:r>
      <w:r w:rsidRPr="0030358C">
        <w:rPr>
          <w:rFonts w:ascii="Arial" w:hAnsi="Arial" w:cs="Arial"/>
          <w:bCs/>
          <w:i/>
          <w:strike/>
          <w:sz w:val="22"/>
          <w:szCs w:val="22"/>
          <w:lang w:eastAsia="zh-CN"/>
        </w:rPr>
        <w:t xml:space="preserve"> </w:t>
      </w:r>
    </w:p>
    <w:tbl>
      <w:tblPr>
        <w:tblW w:w="0" w:type="auto"/>
        <w:tblInd w:w="-6" w:type="dxa"/>
        <w:tblLayout w:type="fixed"/>
        <w:tblCellMar>
          <w:left w:w="10" w:type="dxa"/>
          <w:right w:w="10" w:type="dxa"/>
        </w:tblCellMar>
        <w:tblLook w:val="0000" w:firstRow="0" w:lastRow="0" w:firstColumn="0" w:lastColumn="0" w:noHBand="0" w:noVBand="0"/>
      </w:tblPr>
      <w:tblGrid>
        <w:gridCol w:w="6686"/>
        <w:gridCol w:w="2703"/>
      </w:tblGrid>
      <w:tr w:rsidR="00E40657" w14:paraId="016E0F26" w14:textId="77777777" w:rsidTr="00732453">
        <w:trPr>
          <w:cantSplit/>
          <w:trHeight w:hRule="exact" w:val="651"/>
        </w:trPr>
        <w:tc>
          <w:tcPr>
            <w:tcW w:w="6686" w:type="dxa"/>
            <w:tcBorders>
              <w:top w:val="single" w:sz="2" w:space="0" w:color="000000"/>
              <w:left w:val="single" w:sz="2" w:space="0" w:color="000000"/>
              <w:bottom w:val="single" w:sz="2" w:space="0" w:color="000000"/>
            </w:tcBorders>
            <w:shd w:val="clear" w:color="auto" w:fill="auto"/>
            <w:vAlign w:val="center"/>
          </w:tcPr>
          <w:p w14:paraId="5C911D2F"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strike/>
                <w:sz w:val="22"/>
                <w:szCs w:val="22"/>
                <w:lang w:eastAsia="zh-CN"/>
              </w:rPr>
              <w:t>Emisní limit</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w:t>
            </w:r>
            <w:r w:rsidRPr="0030358C">
              <w:rPr>
                <w:rFonts w:ascii="Arial" w:hAnsi="Arial" w:cs="Arial"/>
                <w:b/>
                <w:bCs/>
                <w:strike/>
                <w:sz w:val="22"/>
                <w:szCs w:val="22"/>
                <w:lang w:eastAsia="zh-CN"/>
              </w:rPr>
              <w:t>[kg/t]</w:t>
            </w:r>
          </w:p>
          <w:p w14:paraId="46196D2A" w14:textId="77777777" w:rsidR="008F52C8" w:rsidRPr="0030358C" w:rsidRDefault="008F52C8" w:rsidP="00732453">
            <w:pPr>
              <w:keepNext/>
              <w:keepLines/>
              <w:autoSpaceDE w:val="0"/>
              <w:jc w:val="center"/>
              <w:rPr>
                <w:rFonts w:ascii="Arial" w:hAnsi="Arial" w:cs="Arial"/>
                <w:b/>
                <w:bCs/>
                <w:strike/>
                <w:sz w:val="22"/>
                <w:szCs w:val="22"/>
                <w:lang w:eastAsia="zh-CN"/>
              </w:rPr>
            </w:pPr>
          </w:p>
        </w:tc>
        <w:tc>
          <w:tcPr>
            <w:tcW w:w="2703" w:type="dxa"/>
            <w:vMerge w:val="restart"/>
            <w:tcBorders>
              <w:top w:val="single" w:sz="2" w:space="0" w:color="000000"/>
              <w:left w:val="single" w:sz="2" w:space="0" w:color="000000"/>
              <w:right w:val="single" w:sz="2" w:space="0" w:color="000000"/>
            </w:tcBorders>
            <w:shd w:val="clear" w:color="auto" w:fill="auto"/>
            <w:vAlign w:val="center"/>
          </w:tcPr>
          <w:p w14:paraId="587DBCF9" w14:textId="77777777" w:rsidR="008F52C8" w:rsidRPr="0030358C" w:rsidRDefault="00000000" w:rsidP="00732453">
            <w:pPr>
              <w:keepNext/>
              <w:keepLines/>
              <w:autoSpaceDE w:val="0"/>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w:t>
            </w:r>
          </w:p>
          <w:p w14:paraId="6AC778B1" w14:textId="77777777" w:rsidR="008F52C8" w:rsidRPr="0030358C" w:rsidRDefault="00000000" w:rsidP="00732453">
            <w:pPr>
              <w:keepNext/>
              <w:keepLines/>
              <w:autoSpaceDE w:val="0"/>
              <w:jc w:val="center"/>
              <w:rPr>
                <w:rFonts w:ascii="Arial" w:hAnsi="Arial" w:cs="Arial"/>
                <w:b/>
                <w:bCs/>
                <w:strike/>
                <w:sz w:val="22"/>
                <w:szCs w:val="22"/>
                <w:lang w:eastAsia="zh-CN"/>
              </w:rPr>
            </w:pPr>
            <w:r w:rsidRPr="0030358C">
              <w:rPr>
                <w:rFonts w:ascii="Arial" w:hAnsi="Arial" w:cs="Arial"/>
                <w:b/>
                <w:bCs/>
                <w:strike/>
                <w:sz w:val="22"/>
                <w:szCs w:val="22"/>
                <w:lang w:eastAsia="zh-CN"/>
              </w:rPr>
              <w:t>podmínky</w:t>
            </w:r>
          </w:p>
        </w:tc>
      </w:tr>
      <w:tr w:rsidR="00E40657" w14:paraId="4DEC41DF" w14:textId="77777777" w:rsidTr="00732453">
        <w:trPr>
          <w:cantSplit/>
          <w:trHeight w:hRule="exact" w:val="526"/>
        </w:trPr>
        <w:tc>
          <w:tcPr>
            <w:tcW w:w="6686" w:type="dxa"/>
            <w:tcBorders>
              <w:top w:val="single" w:sz="2" w:space="0" w:color="000000"/>
              <w:left w:val="single" w:sz="2" w:space="0" w:color="000000"/>
              <w:bottom w:val="single" w:sz="2" w:space="0" w:color="000000"/>
            </w:tcBorders>
            <w:shd w:val="clear" w:color="auto" w:fill="auto"/>
            <w:vAlign w:val="center"/>
          </w:tcPr>
          <w:p w14:paraId="7647C732" w14:textId="77777777" w:rsidR="008F52C8" w:rsidRPr="0030358C" w:rsidRDefault="00000000" w:rsidP="00732453">
            <w:pPr>
              <w:keepNext/>
              <w:keepLines/>
              <w:autoSpaceDE w:val="0"/>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NH</w:t>
            </w:r>
            <w:r w:rsidRPr="0030358C">
              <w:rPr>
                <w:rFonts w:ascii="Arial" w:hAnsi="Arial" w:cs="Arial"/>
                <w:b/>
                <w:strike/>
                <w:sz w:val="22"/>
                <w:szCs w:val="22"/>
                <w:vertAlign w:val="subscript"/>
                <w:lang w:eastAsia="zh-CN"/>
              </w:rPr>
              <w:t>3</w:t>
            </w:r>
          </w:p>
        </w:tc>
        <w:tc>
          <w:tcPr>
            <w:tcW w:w="2703" w:type="dxa"/>
            <w:vMerge/>
            <w:tcBorders>
              <w:left w:val="single" w:sz="2" w:space="0" w:color="000000"/>
              <w:bottom w:val="single" w:sz="2" w:space="0" w:color="000000"/>
              <w:right w:val="single" w:sz="2" w:space="0" w:color="000000"/>
            </w:tcBorders>
            <w:shd w:val="clear" w:color="auto" w:fill="auto"/>
            <w:vAlign w:val="center"/>
          </w:tcPr>
          <w:p w14:paraId="3AB1B151" w14:textId="77777777" w:rsidR="008F52C8" w:rsidRPr="0030358C" w:rsidRDefault="008F52C8" w:rsidP="00732453">
            <w:pPr>
              <w:keepNext/>
              <w:keepLines/>
              <w:autoSpaceDE w:val="0"/>
              <w:snapToGrid w:val="0"/>
              <w:jc w:val="center"/>
              <w:rPr>
                <w:rFonts w:ascii="Arial" w:hAnsi="Arial" w:cs="Arial"/>
                <w:b/>
                <w:bCs/>
                <w:strike/>
                <w:sz w:val="22"/>
                <w:szCs w:val="22"/>
                <w:lang w:eastAsia="zh-CN"/>
              </w:rPr>
            </w:pPr>
          </w:p>
        </w:tc>
      </w:tr>
      <w:tr w:rsidR="00E40657" w14:paraId="6A78B84B" w14:textId="77777777" w:rsidTr="00732453">
        <w:trPr>
          <w:trHeight w:hRule="exact" w:val="461"/>
        </w:trPr>
        <w:tc>
          <w:tcPr>
            <w:tcW w:w="6686" w:type="dxa"/>
            <w:tcBorders>
              <w:top w:val="single" w:sz="2" w:space="0" w:color="000000"/>
              <w:left w:val="single" w:sz="2" w:space="0" w:color="000000"/>
              <w:bottom w:val="single" w:sz="2" w:space="0" w:color="000000"/>
            </w:tcBorders>
            <w:shd w:val="clear" w:color="auto" w:fill="auto"/>
            <w:vAlign w:val="center"/>
          </w:tcPr>
          <w:p w14:paraId="7BA7F2DB" w14:textId="77777777" w:rsidR="008F52C8" w:rsidRPr="0030358C" w:rsidRDefault="00000000" w:rsidP="00732453">
            <w:pPr>
              <w:keepNext/>
              <w:keepLines/>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0,2</w:t>
            </w:r>
          </w:p>
        </w:tc>
        <w:tc>
          <w:tcPr>
            <w:tcW w:w="27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1CBC82" w14:textId="77777777" w:rsidR="008F52C8" w:rsidRPr="0030358C" w:rsidRDefault="00000000" w:rsidP="00732453">
            <w:pPr>
              <w:keepNext/>
              <w:keepLines/>
              <w:autoSpaceDE w:val="0"/>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3442F2D5" w14:textId="77777777" w:rsidR="008F52C8" w:rsidRPr="0030358C" w:rsidRDefault="00000000" w:rsidP="008F52C8">
      <w:pPr>
        <w:spacing w:before="120"/>
        <w:rPr>
          <w:rFonts w:ascii="Arial" w:hAnsi="Arial" w:cs="Arial"/>
          <w:strike/>
          <w:sz w:val="22"/>
          <w:szCs w:val="22"/>
          <w:lang w:eastAsia="zh-CN"/>
        </w:rPr>
      </w:pPr>
      <w:r w:rsidRPr="0030358C">
        <w:rPr>
          <w:rFonts w:ascii="Arial" w:hAnsi="Arial" w:cs="Arial"/>
          <w:strike/>
          <w:sz w:val="22"/>
          <w:szCs w:val="22"/>
          <w:lang w:eastAsia="zh-CN"/>
        </w:rPr>
        <w:t>Vysvětlivka: 1) Zjištěno z měsíčního průměru výroby amoniaku.</w:t>
      </w:r>
    </w:p>
    <w:p w14:paraId="076AAA34" w14:textId="77777777" w:rsidR="008F52C8" w:rsidRPr="0030358C" w:rsidRDefault="008F52C8" w:rsidP="008F52C8">
      <w:pPr>
        <w:rPr>
          <w:rFonts w:ascii="Arial" w:hAnsi="Arial" w:cs="Arial"/>
          <w:b/>
          <w:strike/>
          <w:sz w:val="22"/>
          <w:szCs w:val="22"/>
          <w:lang w:eastAsia="zh-CN"/>
        </w:rPr>
      </w:pPr>
    </w:p>
    <w:p w14:paraId="221031AF" w14:textId="77777777" w:rsidR="008F52C8" w:rsidRPr="0030358C" w:rsidRDefault="008F52C8" w:rsidP="008F52C8">
      <w:pPr>
        <w:rPr>
          <w:rFonts w:ascii="Arial" w:hAnsi="Arial" w:cs="Arial"/>
          <w:b/>
          <w:strike/>
          <w:sz w:val="22"/>
          <w:szCs w:val="22"/>
          <w:lang w:eastAsia="zh-CN"/>
        </w:rPr>
      </w:pPr>
    </w:p>
    <w:p w14:paraId="624EC12B" w14:textId="77777777" w:rsidR="008F52C8" w:rsidRPr="0030358C" w:rsidRDefault="00000000" w:rsidP="008F52C8">
      <w:pPr>
        <w:spacing w:before="62" w:after="57"/>
        <w:rPr>
          <w:rFonts w:ascii="Arial" w:hAnsi="Arial" w:cs="Arial"/>
          <w:bCs/>
          <w:strike/>
          <w:sz w:val="22"/>
          <w:szCs w:val="22"/>
          <w:lang w:eastAsia="zh-CN"/>
        </w:rPr>
      </w:pPr>
      <w:r w:rsidRPr="0030358C">
        <w:rPr>
          <w:rFonts w:ascii="Arial" w:hAnsi="Arial" w:cs="Arial"/>
          <w:b/>
          <w:strike/>
          <w:sz w:val="22"/>
          <w:szCs w:val="22"/>
          <w:lang w:eastAsia="zh-CN"/>
        </w:rPr>
        <w:t xml:space="preserve">5.2.7. Výroba kyseliny dusičné a jejích solí </w:t>
      </w:r>
      <w:r w:rsidRPr="0030358C">
        <w:rPr>
          <w:rFonts w:ascii="Arial" w:hAnsi="Arial" w:cs="Arial"/>
          <w:bCs/>
          <w:strike/>
          <w:sz w:val="22"/>
          <w:szCs w:val="22"/>
          <w:lang w:eastAsia="zh-CN"/>
        </w:rPr>
        <w:t>(kód 6.17. dle přílohy č. 2 zákona)</w:t>
      </w:r>
    </w:p>
    <w:tbl>
      <w:tblPr>
        <w:tblW w:w="0" w:type="auto"/>
        <w:tblInd w:w="-15" w:type="dxa"/>
        <w:tblLayout w:type="fixed"/>
        <w:tblLook w:val="0000" w:firstRow="0" w:lastRow="0" w:firstColumn="0" w:lastColumn="0" w:noHBand="0" w:noVBand="0"/>
      </w:tblPr>
      <w:tblGrid>
        <w:gridCol w:w="1895"/>
        <w:gridCol w:w="1895"/>
        <w:gridCol w:w="2890"/>
        <w:gridCol w:w="2920"/>
      </w:tblGrid>
      <w:tr w:rsidR="00E40657" w14:paraId="0545715F" w14:textId="77777777" w:rsidTr="00732453">
        <w:trPr>
          <w:cantSplit/>
          <w:trHeight w:hRule="exact" w:val="937"/>
        </w:trPr>
        <w:tc>
          <w:tcPr>
            <w:tcW w:w="3790" w:type="dxa"/>
            <w:gridSpan w:val="2"/>
            <w:tcBorders>
              <w:top w:val="single" w:sz="4" w:space="0" w:color="000000"/>
              <w:left w:val="single" w:sz="4" w:space="0" w:color="000000"/>
              <w:bottom w:val="single" w:sz="4" w:space="0" w:color="000000"/>
            </w:tcBorders>
            <w:shd w:val="clear" w:color="auto" w:fill="auto"/>
            <w:vAlign w:val="center"/>
          </w:tcPr>
          <w:p w14:paraId="02556A1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890" w:type="dxa"/>
            <w:tcBorders>
              <w:top w:val="single" w:sz="4" w:space="0" w:color="000000"/>
              <w:left w:val="single" w:sz="4" w:space="0" w:color="000000"/>
              <w:bottom w:val="single" w:sz="4" w:space="0" w:color="000000"/>
            </w:tcBorders>
            <w:shd w:val="clear" w:color="auto" w:fill="auto"/>
            <w:vAlign w:val="center"/>
          </w:tcPr>
          <w:p w14:paraId="21D485B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w:t>
            </w:r>
            <w:r w:rsidRPr="0030358C">
              <w:rPr>
                <w:rFonts w:ascii="Arial" w:hAnsi="Arial" w:cs="Arial"/>
                <w:b/>
                <w:strike/>
                <w:sz w:val="22"/>
                <w:szCs w:val="22"/>
                <w:vertAlign w:val="superscript"/>
                <w:lang w:eastAsia="zh-CN"/>
              </w:rPr>
              <w:t>1)</w:t>
            </w:r>
            <w:r w:rsidRPr="0030358C">
              <w:rPr>
                <w:rFonts w:ascii="Arial" w:hAnsi="Arial" w:cs="Arial"/>
                <w:b/>
                <w:strike/>
                <w:sz w:val="22"/>
                <w:szCs w:val="22"/>
                <w:lang w:eastAsia="zh-CN"/>
              </w:rPr>
              <w:t xml:space="preserve"> [kg/t]</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19C91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0229D9D6" w14:textId="77777777" w:rsidTr="00732453">
        <w:trPr>
          <w:cantSplit/>
          <w:trHeight w:hRule="exact" w:val="340"/>
        </w:trPr>
        <w:tc>
          <w:tcPr>
            <w:tcW w:w="1895" w:type="dxa"/>
            <w:tcBorders>
              <w:left w:val="single" w:sz="4" w:space="0" w:color="000000"/>
              <w:bottom w:val="single" w:sz="4" w:space="0" w:color="000000"/>
            </w:tcBorders>
            <w:shd w:val="clear" w:color="auto" w:fill="auto"/>
            <w:vAlign w:val="center"/>
          </w:tcPr>
          <w:p w14:paraId="541B0B86"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2</w:t>
            </w:r>
          </w:p>
        </w:tc>
        <w:tc>
          <w:tcPr>
            <w:tcW w:w="1895" w:type="dxa"/>
            <w:tcBorders>
              <w:left w:val="single" w:sz="4" w:space="0" w:color="000000"/>
              <w:bottom w:val="single" w:sz="4" w:space="0" w:color="000000"/>
            </w:tcBorders>
            <w:shd w:val="clear" w:color="auto" w:fill="auto"/>
            <w:vAlign w:val="center"/>
          </w:tcPr>
          <w:p w14:paraId="2C95EE7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amoniak</w:t>
            </w:r>
          </w:p>
        </w:tc>
        <w:tc>
          <w:tcPr>
            <w:tcW w:w="2890" w:type="dxa"/>
            <w:tcBorders>
              <w:left w:val="single" w:sz="4" w:space="0" w:color="000000"/>
              <w:bottom w:val="single" w:sz="4" w:space="0" w:color="000000"/>
            </w:tcBorders>
            <w:shd w:val="clear" w:color="auto" w:fill="auto"/>
            <w:vAlign w:val="center"/>
          </w:tcPr>
          <w:p w14:paraId="0EEB374F"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2</w:t>
            </w:r>
          </w:p>
        </w:tc>
        <w:tc>
          <w:tcPr>
            <w:tcW w:w="29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B59BE0" w14:textId="77777777" w:rsidR="008F52C8" w:rsidRPr="0030358C" w:rsidRDefault="008F52C8" w:rsidP="00732453">
            <w:pPr>
              <w:snapToGrid w:val="0"/>
              <w:rPr>
                <w:rFonts w:ascii="Arial" w:hAnsi="Arial" w:cs="Arial"/>
                <w:b/>
                <w:strike/>
                <w:sz w:val="22"/>
                <w:szCs w:val="22"/>
                <w:lang w:eastAsia="zh-CN"/>
              </w:rPr>
            </w:pPr>
          </w:p>
        </w:tc>
      </w:tr>
      <w:tr w:rsidR="00E40657" w14:paraId="7CE519F3" w14:textId="77777777" w:rsidTr="00732453">
        <w:trPr>
          <w:cantSplit/>
          <w:trHeight w:hRule="exact" w:val="646"/>
        </w:trPr>
        <w:tc>
          <w:tcPr>
            <w:tcW w:w="1895" w:type="dxa"/>
            <w:tcBorders>
              <w:left w:val="single" w:sz="4" w:space="0" w:color="000000"/>
              <w:bottom w:val="single" w:sz="4" w:space="0" w:color="000000"/>
            </w:tcBorders>
            <w:shd w:val="clear" w:color="auto" w:fill="auto"/>
            <w:vAlign w:val="center"/>
          </w:tcPr>
          <w:p w14:paraId="1A96AB28"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350</w:t>
            </w:r>
            <w:r w:rsidRPr="0030358C">
              <w:rPr>
                <w:rFonts w:ascii="Arial" w:hAnsi="Arial" w:cs="Arial"/>
                <w:bCs/>
                <w:strike/>
                <w:sz w:val="22"/>
                <w:szCs w:val="22"/>
                <w:vertAlign w:val="superscript"/>
                <w:lang w:eastAsia="zh-CN"/>
              </w:rPr>
              <w:t>2)</w:t>
            </w:r>
          </w:p>
        </w:tc>
        <w:tc>
          <w:tcPr>
            <w:tcW w:w="1895" w:type="dxa"/>
            <w:tcBorders>
              <w:left w:val="single" w:sz="4" w:space="0" w:color="000000"/>
              <w:bottom w:val="single" w:sz="4" w:space="0" w:color="000000"/>
            </w:tcBorders>
            <w:shd w:val="clear" w:color="auto" w:fill="auto"/>
            <w:vAlign w:val="center"/>
          </w:tcPr>
          <w:p w14:paraId="2130CACB"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300</w:t>
            </w:r>
            <w:r w:rsidRPr="0030358C">
              <w:rPr>
                <w:rFonts w:ascii="Arial" w:hAnsi="Arial" w:cs="Arial"/>
                <w:bCs/>
                <w:strike/>
                <w:sz w:val="22"/>
                <w:szCs w:val="22"/>
                <w:vertAlign w:val="superscript"/>
                <w:lang w:eastAsia="zh-CN"/>
              </w:rPr>
              <w:t>3)</w:t>
            </w:r>
          </w:p>
        </w:tc>
        <w:tc>
          <w:tcPr>
            <w:tcW w:w="2890" w:type="dxa"/>
            <w:tcBorders>
              <w:left w:val="single" w:sz="4" w:space="0" w:color="000000"/>
              <w:bottom w:val="single" w:sz="4" w:space="0" w:color="000000"/>
            </w:tcBorders>
            <w:shd w:val="clear" w:color="auto" w:fill="auto"/>
            <w:vAlign w:val="center"/>
          </w:tcPr>
          <w:p w14:paraId="67E08D22"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1,6</w:t>
            </w:r>
          </w:p>
        </w:tc>
        <w:tc>
          <w:tcPr>
            <w:tcW w:w="2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344D1"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4)</w:t>
            </w:r>
          </w:p>
          <w:p w14:paraId="28C3DC3F"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C</w:t>
            </w:r>
            <w:r w:rsidRPr="0030358C">
              <w:rPr>
                <w:rFonts w:ascii="Arial" w:hAnsi="Arial" w:cs="Arial"/>
                <w:bCs/>
                <w:strike/>
                <w:sz w:val="22"/>
                <w:szCs w:val="22"/>
                <w:vertAlign w:val="superscript"/>
                <w:lang w:eastAsia="zh-CN"/>
              </w:rPr>
              <w:t>4)</w:t>
            </w:r>
          </w:p>
        </w:tc>
      </w:tr>
    </w:tbl>
    <w:p w14:paraId="7C2180E6" w14:textId="77777777" w:rsidR="008F52C8" w:rsidRPr="0030358C" w:rsidRDefault="00000000" w:rsidP="008F52C8">
      <w:pPr>
        <w:spacing w:before="60"/>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2C5B010D" w14:textId="77777777" w:rsidR="008F52C8" w:rsidRPr="0030358C" w:rsidRDefault="00000000" w:rsidP="008F52C8">
      <w:pPr>
        <w:spacing w:before="60"/>
        <w:rPr>
          <w:rFonts w:ascii="Arial" w:hAnsi="Arial" w:cs="Arial"/>
          <w:iCs/>
          <w:strike/>
          <w:sz w:val="22"/>
          <w:szCs w:val="22"/>
          <w:lang w:eastAsia="zh-CN"/>
        </w:rPr>
      </w:pPr>
      <w:r w:rsidRPr="0030358C">
        <w:rPr>
          <w:rFonts w:ascii="Arial" w:hAnsi="Arial" w:cs="Arial"/>
          <w:iCs/>
          <w:strike/>
          <w:sz w:val="22"/>
          <w:szCs w:val="22"/>
          <w:lang w:eastAsia="zh-CN"/>
        </w:rPr>
        <w:t>1) Přepočteno na 65% kyselinu dusičnou.</w:t>
      </w:r>
    </w:p>
    <w:p w14:paraId="3A440F30" w14:textId="77777777" w:rsidR="008F52C8" w:rsidRPr="0030358C" w:rsidRDefault="00000000" w:rsidP="008F52C8">
      <w:pPr>
        <w:spacing w:before="28"/>
        <w:rPr>
          <w:rFonts w:ascii="Arial" w:hAnsi="Arial" w:cs="Arial"/>
          <w:iCs/>
          <w:strike/>
          <w:sz w:val="22"/>
          <w:szCs w:val="22"/>
          <w:lang w:eastAsia="zh-CN"/>
        </w:rPr>
      </w:pPr>
      <w:r w:rsidRPr="0030358C">
        <w:rPr>
          <w:rFonts w:ascii="Arial" w:hAnsi="Arial" w:cs="Arial"/>
          <w:iCs/>
          <w:strike/>
          <w:sz w:val="22"/>
          <w:szCs w:val="22"/>
          <w:lang w:eastAsia="zh-CN"/>
        </w:rPr>
        <w:t>2) Neplatí pro jednotky na úpravu koncentrace kyseliny dusičné.</w:t>
      </w:r>
    </w:p>
    <w:p w14:paraId="60077881" w14:textId="77777777" w:rsidR="008F52C8" w:rsidRPr="0030358C" w:rsidRDefault="00000000" w:rsidP="008F52C8">
      <w:pPr>
        <w:rPr>
          <w:rFonts w:ascii="Arial" w:hAnsi="Arial" w:cs="Arial"/>
          <w:iCs/>
          <w:strike/>
          <w:sz w:val="22"/>
          <w:szCs w:val="22"/>
          <w:lang w:eastAsia="zh-CN"/>
        </w:rPr>
      </w:pPr>
      <w:r w:rsidRPr="0030358C">
        <w:rPr>
          <w:rFonts w:ascii="Arial" w:hAnsi="Arial" w:cs="Arial"/>
          <w:iCs/>
          <w:strike/>
          <w:sz w:val="22"/>
          <w:szCs w:val="22"/>
          <w:lang w:eastAsia="zh-CN"/>
        </w:rPr>
        <w:t>3) V případě použití selektivní redukce oxidů dusíku amoniakem.</w:t>
      </w:r>
    </w:p>
    <w:p w14:paraId="19A6E56D" w14:textId="77777777" w:rsidR="008F52C8" w:rsidRPr="0030358C" w:rsidRDefault="00000000" w:rsidP="008F52C8">
      <w:pPr>
        <w:rPr>
          <w:rFonts w:ascii="Arial" w:hAnsi="Arial" w:cs="Arial"/>
          <w:iCs/>
          <w:strike/>
          <w:sz w:val="22"/>
          <w:szCs w:val="22"/>
          <w:lang w:eastAsia="zh-CN"/>
        </w:rPr>
      </w:pPr>
      <w:r w:rsidRPr="0030358C">
        <w:rPr>
          <w:rFonts w:ascii="Arial" w:hAnsi="Arial" w:cs="Arial"/>
          <w:iCs/>
          <w:strike/>
          <w:sz w:val="22"/>
          <w:szCs w:val="22"/>
          <w:lang w:eastAsia="zh-CN"/>
        </w:rPr>
        <w:t>4) Vztažné podmínky A platí pro NO</w:t>
      </w:r>
      <w:r w:rsidRPr="0030358C">
        <w:rPr>
          <w:rFonts w:ascii="Arial" w:hAnsi="Arial" w:cs="Arial"/>
          <w:iCs/>
          <w:strike/>
          <w:sz w:val="22"/>
          <w:szCs w:val="22"/>
          <w:vertAlign w:val="subscript"/>
          <w:lang w:eastAsia="zh-CN"/>
        </w:rPr>
        <w:t>2</w:t>
      </w:r>
      <w:r w:rsidRPr="0030358C">
        <w:rPr>
          <w:rFonts w:ascii="Arial" w:hAnsi="Arial" w:cs="Arial"/>
          <w:iCs/>
          <w:strike/>
          <w:sz w:val="22"/>
          <w:szCs w:val="22"/>
          <w:lang w:eastAsia="zh-CN"/>
        </w:rPr>
        <w:t>, vztažné podmínky C platí pro amoniak.</w:t>
      </w:r>
    </w:p>
    <w:p w14:paraId="32BC440A" w14:textId="77777777" w:rsidR="008F52C8" w:rsidRPr="0030358C" w:rsidRDefault="008F52C8" w:rsidP="008F52C8">
      <w:pPr>
        <w:rPr>
          <w:rFonts w:ascii="Arial" w:hAnsi="Arial" w:cs="Arial"/>
          <w:b/>
          <w:strike/>
          <w:sz w:val="22"/>
          <w:szCs w:val="22"/>
          <w:lang w:eastAsia="zh-CN"/>
        </w:rPr>
      </w:pPr>
    </w:p>
    <w:p w14:paraId="7B8B0B5F" w14:textId="77777777" w:rsidR="008F52C8" w:rsidRPr="0030358C" w:rsidRDefault="008F52C8" w:rsidP="008F52C8">
      <w:pPr>
        <w:rPr>
          <w:rFonts w:ascii="Arial" w:hAnsi="Arial" w:cs="Arial"/>
          <w:b/>
          <w:strike/>
          <w:sz w:val="22"/>
          <w:szCs w:val="22"/>
          <w:lang w:eastAsia="zh-CN"/>
        </w:rPr>
      </w:pPr>
    </w:p>
    <w:p w14:paraId="20403041"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5.2.8. Výroba hnojiv </w:t>
      </w:r>
      <w:r w:rsidRPr="0030358C">
        <w:rPr>
          <w:rFonts w:ascii="Arial" w:hAnsi="Arial" w:cs="Arial"/>
          <w:bCs/>
          <w:strike/>
          <w:sz w:val="22"/>
          <w:szCs w:val="22"/>
          <w:lang w:eastAsia="zh-CN"/>
        </w:rPr>
        <w:t>(kód 6.18. dle přílohy č. 2 zákona)</w:t>
      </w:r>
    </w:p>
    <w:tbl>
      <w:tblPr>
        <w:tblW w:w="0" w:type="auto"/>
        <w:tblInd w:w="-15" w:type="dxa"/>
        <w:tblLayout w:type="fixed"/>
        <w:tblLook w:val="0000" w:firstRow="0" w:lastRow="0" w:firstColumn="0" w:lastColumn="0" w:noHBand="0" w:noVBand="0"/>
      </w:tblPr>
      <w:tblGrid>
        <w:gridCol w:w="1110"/>
        <w:gridCol w:w="1148"/>
        <w:gridCol w:w="1298"/>
        <w:gridCol w:w="1462"/>
        <w:gridCol w:w="1447"/>
        <w:gridCol w:w="1449"/>
        <w:gridCol w:w="1686"/>
      </w:tblGrid>
      <w:tr w:rsidR="00E40657" w14:paraId="55DB42EE" w14:textId="77777777" w:rsidTr="00732453">
        <w:trPr>
          <w:cantSplit/>
          <w:trHeight w:hRule="exact" w:val="340"/>
        </w:trPr>
        <w:tc>
          <w:tcPr>
            <w:tcW w:w="7914" w:type="dxa"/>
            <w:gridSpan w:val="6"/>
            <w:tcBorders>
              <w:top w:val="single" w:sz="4" w:space="0" w:color="000000"/>
              <w:left w:val="single" w:sz="4" w:space="0" w:color="000000"/>
              <w:bottom w:val="single" w:sz="4" w:space="0" w:color="000000"/>
            </w:tcBorders>
            <w:shd w:val="clear" w:color="auto" w:fill="auto"/>
            <w:vAlign w:val="center"/>
          </w:tcPr>
          <w:p w14:paraId="5987E116"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D30107" w14:textId="77777777" w:rsidR="008F52C8" w:rsidRPr="0030358C" w:rsidRDefault="00000000" w:rsidP="00732453">
            <w:pPr>
              <w:snapToGrid w:val="0"/>
              <w:jc w:val="center"/>
              <w:rPr>
                <w:rFonts w:ascii="Arial" w:hAnsi="Arial" w:cs="Arial"/>
                <w:b/>
                <w:bCs/>
                <w:strike/>
                <w:sz w:val="22"/>
                <w:szCs w:val="22"/>
                <w:lang w:eastAsia="zh-CN"/>
              </w:rPr>
            </w:pPr>
            <w:r w:rsidRPr="0030358C">
              <w:rPr>
                <w:rFonts w:ascii="Arial" w:hAnsi="Arial" w:cs="Arial"/>
                <w:b/>
                <w:bCs/>
                <w:strike/>
                <w:sz w:val="22"/>
                <w:szCs w:val="22"/>
                <w:lang w:eastAsia="zh-CN"/>
              </w:rPr>
              <w:t>Vztažné podmínky</w:t>
            </w:r>
          </w:p>
        </w:tc>
      </w:tr>
      <w:tr w:rsidR="00E40657" w14:paraId="26AF726C" w14:textId="77777777" w:rsidTr="00732453">
        <w:trPr>
          <w:cantSplit/>
          <w:trHeight w:hRule="exact" w:val="512"/>
        </w:trPr>
        <w:tc>
          <w:tcPr>
            <w:tcW w:w="1110" w:type="dxa"/>
            <w:tcBorders>
              <w:left w:val="single" w:sz="4" w:space="0" w:color="000000"/>
              <w:bottom w:val="single" w:sz="4" w:space="0" w:color="000000"/>
            </w:tcBorders>
            <w:shd w:val="clear" w:color="auto" w:fill="auto"/>
            <w:vAlign w:val="center"/>
          </w:tcPr>
          <w:p w14:paraId="57A3990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148" w:type="dxa"/>
            <w:tcBorders>
              <w:left w:val="single" w:sz="4" w:space="0" w:color="000000"/>
              <w:bottom w:val="single" w:sz="4" w:space="0" w:color="000000"/>
            </w:tcBorders>
            <w:shd w:val="clear" w:color="auto" w:fill="auto"/>
            <w:vAlign w:val="center"/>
          </w:tcPr>
          <w:p w14:paraId="3A33537A"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298" w:type="dxa"/>
            <w:tcBorders>
              <w:left w:val="single" w:sz="4" w:space="0" w:color="000000"/>
              <w:bottom w:val="single" w:sz="4" w:space="0" w:color="000000"/>
            </w:tcBorders>
            <w:shd w:val="clear" w:color="auto" w:fill="auto"/>
            <w:vAlign w:val="center"/>
          </w:tcPr>
          <w:p w14:paraId="5E163B4C"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462" w:type="dxa"/>
            <w:tcBorders>
              <w:left w:val="single" w:sz="4" w:space="0" w:color="000000"/>
              <w:bottom w:val="single" w:sz="4" w:space="0" w:color="000000"/>
            </w:tcBorders>
            <w:shd w:val="clear" w:color="auto" w:fill="auto"/>
            <w:vAlign w:val="center"/>
          </w:tcPr>
          <w:p w14:paraId="15EDB37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amoniak</w:t>
            </w:r>
          </w:p>
        </w:tc>
        <w:tc>
          <w:tcPr>
            <w:tcW w:w="1447" w:type="dxa"/>
            <w:tcBorders>
              <w:left w:val="single" w:sz="4" w:space="0" w:color="000000"/>
              <w:bottom w:val="single" w:sz="4" w:space="0" w:color="000000"/>
            </w:tcBorders>
            <w:shd w:val="clear" w:color="auto" w:fill="auto"/>
            <w:vAlign w:val="center"/>
          </w:tcPr>
          <w:p w14:paraId="5B0BBD4B"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HCl</w:t>
            </w:r>
          </w:p>
        </w:tc>
        <w:tc>
          <w:tcPr>
            <w:tcW w:w="1449" w:type="dxa"/>
            <w:tcBorders>
              <w:left w:val="single" w:sz="4" w:space="0" w:color="000000"/>
              <w:bottom w:val="single" w:sz="4" w:space="0" w:color="000000"/>
            </w:tcBorders>
            <w:shd w:val="clear" w:color="auto" w:fill="auto"/>
            <w:vAlign w:val="center"/>
          </w:tcPr>
          <w:p w14:paraId="6C69BBE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HF</w:t>
            </w: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59E4E8" w14:textId="77777777" w:rsidR="008F52C8" w:rsidRPr="0030358C" w:rsidRDefault="008F52C8" w:rsidP="00732453">
            <w:pPr>
              <w:snapToGrid w:val="0"/>
              <w:rPr>
                <w:rFonts w:ascii="Arial" w:hAnsi="Arial" w:cs="Arial"/>
                <w:b/>
                <w:strike/>
                <w:sz w:val="22"/>
                <w:szCs w:val="22"/>
                <w:lang w:eastAsia="zh-CN"/>
              </w:rPr>
            </w:pPr>
          </w:p>
        </w:tc>
      </w:tr>
      <w:tr w:rsidR="00E40657" w14:paraId="328FA7B7" w14:textId="77777777" w:rsidTr="00732453">
        <w:trPr>
          <w:trHeight w:hRule="exact" w:val="950"/>
        </w:trPr>
        <w:tc>
          <w:tcPr>
            <w:tcW w:w="1110" w:type="dxa"/>
            <w:tcBorders>
              <w:left w:val="single" w:sz="4" w:space="0" w:color="000000"/>
              <w:bottom w:val="single" w:sz="4" w:space="0" w:color="000000"/>
            </w:tcBorders>
            <w:shd w:val="clear" w:color="auto" w:fill="auto"/>
            <w:vAlign w:val="center"/>
          </w:tcPr>
          <w:p w14:paraId="33C5606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p w14:paraId="3610B1C7"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20</w:t>
            </w:r>
            <w:r w:rsidRPr="0030358C">
              <w:rPr>
                <w:rFonts w:ascii="Arial" w:hAnsi="Arial" w:cs="Arial"/>
                <w:bCs/>
                <w:strike/>
                <w:sz w:val="22"/>
                <w:szCs w:val="22"/>
                <w:vertAlign w:val="superscript"/>
                <w:lang w:eastAsia="zh-CN"/>
              </w:rPr>
              <w:t>1)</w:t>
            </w:r>
          </w:p>
        </w:tc>
        <w:tc>
          <w:tcPr>
            <w:tcW w:w="1148" w:type="dxa"/>
            <w:tcBorders>
              <w:left w:val="single" w:sz="4" w:space="0" w:color="000000"/>
              <w:bottom w:val="single" w:sz="4" w:space="0" w:color="000000"/>
            </w:tcBorders>
            <w:shd w:val="clear" w:color="auto" w:fill="auto"/>
            <w:vAlign w:val="center"/>
          </w:tcPr>
          <w:p w14:paraId="3980EF04"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2 500</w:t>
            </w:r>
            <w:r w:rsidRPr="0030358C">
              <w:rPr>
                <w:rFonts w:ascii="Arial" w:hAnsi="Arial" w:cs="Arial"/>
                <w:bCs/>
                <w:strike/>
                <w:sz w:val="22"/>
                <w:szCs w:val="22"/>
                <w:vertAlign w:val="superscript"/>
                <w:lang w:eastAsia="zh-CN"/>
              </w:rPr>
              <w:t>2)</w:t>
            </w:r>
          </w:p>
        </w:tc>
        <w:tc>
          <w:tcPr>
            <w:tcW w:w="1298" w:type="dxa"/>
            <w:tcBorders>
              <w:left w:val="single" w:sz="4" w:space="0" w:color="000000"/>
              <w:bottom w:val="single" w:sz="4" w:space="0" w:color="000000"/>
            </w:tcBorders>
            <w:shd w:val="clear" w:color="auto" w:fill="auto"/>
            <w:vAlign w:val="center"/>
          </w:tcPr>
          <w:p w14:paraId="225E507C"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500</w:t>
            </w:r>
          </w:p>
        </w:tc>
        <w:tc>
          <w:tcPr>
            <w:tcW w:w="1462" w:type="dxa"/>
            <w:tcBorders>
              <w:left w:val="single" w:sz="4" w:space="0" w:color="000000"/>
              <w:bottom w:val="single" w:sz="4" w:space="0" w:color="000000"/>
            </w:tcBorders>
            <w:shd w:val="clear" w:color="auto" w:fill="auto"/>
            <w:vAlign w:val="center"/>
          </w:tcPr>
          <w:p w14:paraId="17426B5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447" w:type="dxa"/>
            <w:tcBorders>
              <w:left w:val="single" w:sz="4" w:space="0" w:color="000000"/>
              <w:bottom w:val="single" w:sz="4" w:space="0" w:color="000000"/>
            </w:tcBorders>
            <w:shd w:val="clear" w:color="auto" w:fill="auto"/>
            <w:vAlign w:val="center"/>
          </w:tcPr>
          <w:p w14:paraId="6A1C5DE3"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3)</w:t>
            </w:r>
          </w:p>
        </w:tc>
        <w:tc>
          <w:tcPr>
            <w:tcW w:w="1449" w:type="dxa"/>
            <w:tcBorders>
              <w:left w:val="single" w:sz="4" w:space="0" w:color="000000"/>
              <w:bottom w:val="single" w:sz="4" w:space="0" w:color="000000"/>
            </w:tcBorders>
            <w:shd w:val="clear" w:color="auto" w:fill="auto"/>
            <w:vAlign w:val="center"/>
          </w:tcPr>
          <w:p w14:paraId="5D4ACEA4"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4)</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6491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tc>
      </w:tr>
    </w:tbl>
    <w:p w14:paraId="4C21EA93" w14:textId="77777777" w:rsidR="008F52C8" w:rsidRPr="0030358C" w:rsidRDefault="00000000" w:rsidP="008F52C8">
      <w:pPr>
        <w:spacing w:before="120"/>
        <w:rPr>
          <w:rFonts w:ascii="Arial" w:hAnsi="Arial" w:cs="Arial"/>
          <w:bCs/>
          <w:strike/>
          <w:sz w:val="22"/>
          <w:szCs w:val="22"/>
          <w:lang w:eastAsia="zh-CN"/>
        </w:rPr>
      </w:pPr>
      <w:r w:rsidRPr="0030358C">
        <w:rPr>
          <w:rFonts w:ascii="Arial" w:hAnsi="Arial" w:cs="Arial"/>
          <w:bCs/>
          <w:strike/>
          <w:sz w:val="22"/>
          <w:szCs w:val="22"/>
          <w:lang w:eastAsia="zh-CN"/>
        </w:rPr>
        <w:t>Vysvětlivky:</w:t>
      </w:r>
    </w:p>
    <w:p w14:paraId="4C30F41A"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1) Platí pro drcení fosfátové horniny.</w:t>
      </w:r>
    </w:p>
    <w:p w14:paraId="0D11561A"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2) Platí při použití kyseliny sírové.</w:t>
      </w:r>
    </w:p>
    <w:p w14:paraId="6D20CFF3"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3) Platí pro výrobu NPK hnojiv (vícesložková průmyslová hnojiva obsahující dusík, fosfor a draslík).</w:t>
      </w:r>
    </w:p>
    <w:p w14:paraId="1ED69970" w14:textId="77777777" w:rsidR="008F52C8" w:rsidRPr="0030358C" w:rsidRDefault="00000000" w:rsidP="008F52C8">
      <w:pPr>
        <w:rPr>
          <w:rFonts w:ascii="Arial" w:hAnsi="Arial" w:cs="Arial"/>
          <w:bCs/>
          <w:strike/>
          <w:sz w:val="22"/>
          <w:szCs w:val="22"/>
          <w:lang w:eastAsia="zh-CN"/>
        </w:rPr>
      </w:pPr>
      <w:r w:rsidRPr="0030358C">
        <w:rPr>
          <w:rFonts w:ascii="Arial" w:hAnsi="Arial" w:cs="Arial"/>
          <w:bCs/>
          <w:strike/>
          <w:sz w:val="22"/>
          <w:szCs w:val="22"/>
          <w:lang w:eastAsia="zh-CN"/>
        </w:rPr>
        <w:t>4) Platí pro výrobu hnojiv z fosfátové horniny.</w:t>
      </w:r>
    </w:p>
    <w:p w14:paraId="29C9106A" w14:textId="77777777" w:rsidR="008F52C8" w:rsidRPr="0030358C" w:rsidRDefault="008F52C8" w:rsidP="008F52C8">
      <w:pPr>
        <w:spacing w:before="60"/>
        <w:rPr>
          <w:rFonts w:ascii="Arial" w:hAnsi="Arial" w:cs="Arial"/>
          <w:b/>
          <w:strike/>
          <w:sz w:val="22"/>
          <w:szCs w:val="22"/>
          <w:lang w:eastAsia="zh-CN"/>
        </w:rPr>
      </w:pPr>
    </w:p>
    <w:p w14:paraId="21878B3A" w14:textId="77777777" w:rsidR="008F52C8" w:rsidRPr="0030358C" w:rsidRDefault="00000000" w:rsidP="008F52C8">
      <w:pPr>
        <w:spacing w:after="160" w:line="259" w:lineRule="auto"/>
        <w:rPr>
          <w:rFonts w:ascii="Arial" w:hAnsi="Arial" w:cs="Arial"/>
          <w:b/>
          <w:strike/>
          <w:sz w:val="22"/>
          <w:szCs w:val="22"/>
          <w:lang w:eastAsia="zh-CN"/>
        </w:rPr>
      </w:pPr>
      <w:r w:rsidRPr="0030358C">
        <w:rPr>
          <w:rFonts w:ascii="Arial" w:hAnsi="Arial" w:cs="Arial"/>
          <w:b/>
          <w:strike/>
          <w:sz w:val="22"/>
          <w:szCs w:val="22"/>
          <w:lang w:eastAsia="zh-CN"/>
        </w:rPr>
        <w:br w:type="page"/>
      </w:r>
    </w:p>
    <w:p w14:paraId="67F4E5F1" w14:textId="77777777" w:rsidR="008F52C8" w:rsidRPr="0030358C" w:rsidRDefault="00000000" w:rsidP="008F52C8">
      <w:pPr>
        <w:spacing w:after="160" w:line="259" w:lineRule="auto"/>
        <w:rPr>
          <w:rFonts w:ascii="Arial" w:hAnsi="Arial" w:cs="Arial"/>
          <w:b/>
          <w:strike/>
          <w:sz w:val="22"/>
          <w:szCs w:val="22"/>
          <w:lang w:eastAsia="zh-CN"/>
        </w:rPr>
      </w:pPr>
      <w:r w:rsidRPr="0030358C">
        <w:rPr>
          <w:rFonts w:ascii="Arial" w:hAnsi="Arial" w:cs="Arial"/>
          <w:b/>
          <w:strike/>
          <w:sz w:val="22"/>
          <w:szCs w:val="22"/>
          <w:lang w:eastAsia="zh-CN"/>
        </w:rPr>
        <w:lastRenderedPageBreak/>
        <w:t xml:space="preserve">5.2.9. Sulfátový proces při výrobě oxidu titaničitého </w:t>
      </w:r>
      <w:r w:rsidRPr="0030358C">
        <w:rPr>
          <w:rFonts w:ascii="Arial" w:hAnsi="Arial" w:cs="Arial"/>
          <w:bCs/>
          <w:strike/>
          <w:sz w:val="22"/>
          <w:szCs w:val="22"/>
          <w:lang w:eastAsia="zh-CN"/>
        </w:rPr>
        <w:t xml:space="preserve">(kód 6.21. dle přílohy č. 2 zákona) </w:t>
      </w:r>
    </w:p>
    <w:tbl>
      <w:tblPr>
        <w:tblW w:w="9600" w:type="dxa"/>
        <w:tblInd w:w="-15" w:type="dxa"/>
        <w:tblLayout w:type="fixed"/>
        <w:tblLook w:val="0000" w:firstRow="0" w:lastRow="0" w:firstColumn="0" w:lastColumn="0" w:noHBand="0" w:noVBand="0"/>
      </w:tblPr>
      <w:tblGrid>
        <w:gridCol w:w="1711"/>
        <w:gridCol w:w="1755"/>
        <w:gridCol w:w="3112"/>
        <w:gridCol w:w="3022"/>
      </w:tblGrid>
      <w:tr w:rsidR="00E40657" w14:paraId="341DCA9F" w14:textId="77777777" w:rsidTr="00732453">
        <w:trPr>
          <w:cantSplit/>
          <w:trHeight w:hRule="exact" w:val="859"/>
        </w:trPr>
        <w:tc>
          <w:tcPr>
            <w:tcW w:w="1711" w:type="dxa"/>
            <w:tcBorders>
              <w:top w:val="single" w:sz="4" w:space="0" w:color="000000"/>
              <w:left w:val="single" w:sz="4" w:space="0" w:color="000000"/>
              <w:bottom w:val="single" w:sz="4" w:space="0" w:color="000000"/>
            </w:tcBorders>
            <w:shd w:val="clear" w:color="auto" w:fill="auto"/>
            <w:vAlign w:val="center"/>
          </w:tcPr>
          <w:p w14:paraId="39263F65"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755" w:type="dxa"/>
            <w:tcBorders>
              <w:top w:val="single" w:sz="4" w:space="0" w:color="000000"/>
              <w:left w:val="single" w:sz="4" w:space="0" w:color="000000"/>
              <w:bottom w:val="single" w:sz="4" w:space="0" w:color="000000"/>
            </w:tcBorders>
            <w:shd w:val="clear" w:color="auto" w:fill="auto"/>
            <w:vAlign w:val="center"/>
          </w:tcPr>
          <w:p w14:paraId="0B5ACE4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[kg/t]</w:t>
            </w:r>
          </w:p>
        </w:tc>
        <w:tc>
          <w:tcPr>
            <w:tcW w:w="6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A913D3"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 xml:space="preserve">Vztažné podmínky </w:t>
            </w:r>
          </w:p>
          <w:p w14:paraId="326A53CE" w14:textId="77777777" w:rsidR="008F52C8" w:rsidRPr="0030358C" w:rsidRDefault="008F52C8" w:rsidP="00732453">
            <w:pPr>
              <w:keepNext/>
              <w:keepLines/>
              <w:snapToGrid w:val="0"/>
              <w:jc w:val="center"/>
              <w:rPr>
                <w:rFonts w:ascii="Arial" w:hAnsi="Arial" w:cs="Arial"/>
                <w:b/>
                <w:strike/>
                <w:sz w:val="22"/>
                <w:szCs w:val="22"/>
                <w:lang w:eastAsia="zh-CN"/>
              </w:rPr>
            </w:pPr>
          </w:p>
        </w:tc>
      </w:tr>
      <w:tr w:rsidR="00E40657" w14:paraId="099DA375" w14:textId="77777777" w:rsidTr="00732453">
        <w:trPr>
          <w:cantSplit/>
          <w:trHeight w:hRule="exact" w:val="574"/>
        </w:trPr>
        <w:tc>
          <w:tcPr>
            <w:tcW w:w="1711" w:type="dxa"/>
            <w:tcBorders>
              <w:left w:val="single" w:sz="4" w:space="0" w:color="000000"/>
              <w:bottom w:val="single" w:sz="4" w:space="0" w:color="000000"/>
            </w:tcBorders>
            <w:shd w:val="clear" w:color="auto" w:fill="auto"/>
            <w:vAlign w:val="center"/>
          </w:tcPr>
          <w:p w14:paraId="75F305DB"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755" w:type="dxa"/>
            <w:tcBorders>
              <w:left w:val="single" w:sz="4" w:space="0" w:color="000000"/>
              <w:bottom w:val="single" w:sz="4" w:space="0" w:color="000000"/>
            </w:tcBorders>
            <w:shd w:val="clear" w:color="auto" w:fill="auto"/>
            <w:vAlign w:val="center"/>
          </w:tcPr>
          <w:p w14:paraId="0734A96F" w14:textId="77777777" w:rsidR="008F52C8" w:rsidRPr="0030358C" w:rsidRDefault="00000000" w:rsidP="00732453">
            <w:pPr>
              <w:keepNext/>
              <w:keepLines/>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r w:rsidRPr="0030358C">
              <w:rPr>
                <w:rFonts w:ascii="Arial" w:hAnsi="Arial" w:cs="Arial"/>
                <w:b/>
                <w:strike/>
                <w:sz w:val="22"/>
                <w:szCs w:val="22"/>
                <w:vertAlign w:val="superscript"/>
                <w:lang w:eastAsia="zh-CN"/>
              </w:rPr>
              <w:t>1)</w:t>
            </w:r>
          </w:p>
        </w:tc>
        <w:tc>
          <w:tcPr>
            <w:tcW w:w="3112" w:type="dxa"/>
            <w:tcBorders>
              <w:top w:val="single" w:sz="4" w:space="0" w:color="000000"/>
              <w:left w:val="single" w:sz="4" w:space="0" w:color="000000"/>
              <w:bottom w:val="single" w:sz="4" w:space="0" w:color="000000"/>
            </w:tcBorders>
            <w:shd w:val="clear" w:color="auto" w:fill="auto"/>
            <w:vAlign w:val="center"/>
          </w:tcPr>
          <w:p w14:paraId="0A54B901" w14:textId="77777777" w:rsidR="008F52C8" w:rsidRPr="0030358C" w:rsidRDefault="00000000" w:rsidP="00732453">
            <w:pPr>
              <w:keepNext/>
              <w:keepLines/>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r w:rsidRPr="0030358C">
              <w:rPr>
                <w:rFonts w:ascii="Arial" w:hAnsi="Arial" w:cs="Arial"/>
                <w:b/>
                <w:strike/>
                <w:sz w:val="22"/>
                <w:szCs w:val="22"/>
                <w:vertAlign w:val="superscript"/>
                <w:lang w:eastAsia="zh-CN"/>
              </w:rPr>
              <w:t>1)</w:t>
            </w:r>
          </w:p>
        </w:tc>
        <w:tc>
          <w:tcPr>
            <w:tcW w:w="3022" w:type="dxa"/>
            <w:tcBorders>
              <w:left w:val="single" w:sz="4" w:space="0" w:color="000000"/>
              <w:bottom w:val="single" w:sz="4" w:space="0" w:color="000000"/>
              <w:right w:val="single" w:sz="4" w:space="0" w:color="000000"/>
            </w:tcBorders>
            <w:shd w:val="clear" w:color="auto" w:fill="auto"/>
            <w:vAlign w:val="center"/>
          </w:tcPr>
          <w:p w14:paraId="6F4A1F3F" w14:textId="77777777" w:rsidR="008F52C8" w:rsidRPr="0030358C" w:rsidRDefault="008F52C8" w:rsidP="00732453">
            <w:pPr>
              <w:keepNext/>
              <w:keepLines/>
              <w:snapToGrid w:val="0"/>
              <w:rPr>
                <w:rFonts w:ascii="Arial" w:hAnsi="Arial" w:cs="Arial"/>
                <w:b/>
                <w:strike/>
                <w:sz w:val="22"/>
                <w:szCs w:val="22"/>
                <w:lang w:eastAsia="zh-CN"/>
              </w:rPr>
            </w:pPr>
          </w:p>
        </w:tc>
      </w:tr>
      <w:tr w:rsidR="00E40657" w14:paraId="1D2D5900" w14:textId="77777777" w:rsidTr="00732453">
        <w:trPr>
          <w:trHeight w:hRule="exact" w:val="887"/>
        </w:trPr>
        <w:tc>
          <w:tcPr>
            <w:tcW w:w="1711" w:type="dxa"/>
            <w:tcBorders>
              <w:left w:val="single" w:sz="4" w:space="0" w:color="000000"/>
              <w:bottom w:val="single" w:sz="4" w:space="0" w:color="000000"/>
            </w:tcBorders>
            <w:shd w:val="clear" w:color="auto" w:fill="auto"/>
            <w:vAlign w:val="center"/>
          </w:tcPr>
          <w:p w14:paraId="7F9484CF"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2)</w:t>
            </w:r>
          </w:p>
          <w:p w14:paraId="7FB7FA13"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150</w:t>
            </w:r>
            <w:r w:rsidRPr="0030358C">
              <w:rPr>
                <w:rFonts w:ascii="Arial" w:hAnsi="Arial" w:cs="Arial"/>
                <w:bCs/>
                <w:strike/>
                <w:sz w:val="22"/>
                <w:szCs w:val="22"/>
                <w:vertAlign w:val="superscript"/>
                <w:lang w:eastAsia="zh-CN"/>
              </w:rPr>
              <w:t>3)</w:t>
            </w:r>
          </w:p>
        </w:tc>
        <w:tc>
          <w:tcPr>
            <w:tcW w:w="1755" w:type="dxa"/>
            <w:tcBorders>
              <w:left w:val="single" w:sz="4" w:space="0" w:color="000000"/>
              <w:bottom w:val="single" w:sz="4" w:space="0" w:color="000000"/>
            </w:tcBorders>
            <w:shd w:val="clear" w:color="auto" w:fill="auto"/>
            <w:vAlign w:val="center"/>
          </w:tcPr>
          <w:p w14:paraId="500194ED"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500</w:t>
            </w:r>
            <w:r w:rsidRPr="0030358C">
              <w:rPr>
                <w:rFonts w:ascii="Arial" w:hAnsi="Arial" w:cs="Arial"/>
                <w:bCs/>
                <w:strike/>
                <w:sz w:val="22"/>
                <w:szCs w:val="22"/>
                <w:vertAlign w:val="superscript"/>
                <w:lang w:eastAsia="zh-CN"/>
              </w:rPr>
              <w:t>4)</w:t>
            </w:r>
          </w:p>
        </w:tc>
        <w:tc>
          <w:tcPr>
            <w:tcW w:w="3112" w:type="dxa"/>
            <w:tcBorders>
              <w:left w:val="single" w:sz="4" w:space="0" w:color="000000"/>
              <w:bottom w:val="single" w:sz="4" w:space="0" w:color="000000"/>
            </w:tcBorders>
            <w:shd w:val="clear" w:color="auto" w:fill="auto"/>
            <w:vAlign w:val="center"/>
          </w:tcPr>
          <w:p w14:paraId="67BB22D5"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6</w:t>
            </w:r>
            <w:r w:rsidRPr="0030358C">
              <w:rPr>
                <w:rFonts w:ascii="Arial" w:hAnsi="Arial" w:cs="Arial"/>
                <w:bCs/>
                <w:strike/>
                <w:sz w:val="22"/>
                <w:szCs w:val="22"/>
                <w:vertAlign w:val="superscript"/>
                <w:lang w:eastAsia="zh-CN"/>
              </w:rPr>
              <w:t>5)</w:t>
            </w:r>
          </w:p>
        </w:tc>
        <w:tc>
          <w:tcPr>
            <w:tcW w:w="3022" w:type="dxa"/>
            <w:tcBorders>
              <w:left w:val="single" w:sz="4" w:space="0" w:color="000000"/>
              <w:bottom w:val="single" w:sz="4" w:space="0" w:color="000000"/>
              <w:right w:val="single" w:sz="4" w:space="0" w:color="000000"/>
            </w:tcBorders>
            <w:shd w:val="clear" w:color="auto" w:fill="auto"/>
            <w:vAlign w:val="center"/>
          </w:tcPr>
          <w:p w14:paraId="11344450"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tc>
      </w:tr>
    </w:tbl>
    <w:p w14:paraId="6FBC27B8" w14:textId="77777777" w:rsidR="008F52C8" w:rsidRPr="0030358C" w:rsidRDefault="00000000" w:rsidP="008F52C8">
      <w:pPr>
        <w:keepNext/>
        <w:keepLines/>
        <w:spacing w:before="60"/>
        <w:ind w:left="426" w:hanging="426"/>
        <w:jc w:val="both"/>
        <w:rPr>
          <w:rFonts w:ascii="Arial" w:hAnsi="Arial" w:cs="Arial"/>
          <w:bCs/>
          <w:iCs/>
          <w:strike/>
          <w:sz w:val="22"/>
          <w:szCs w:val="22"/>
          <w:lang w:eastAsia="zh-CN"/>
        </w:rPr>
      </w:pPr>
      <w:r w:rsidRPr="0030358C">
        <w:rPr>
          <w:rFonts w:ascii="Arial" w:hAnsi="Arial" w:cs="Arial"/>
          <w:bCs/>
          <w:strike/>
          <w:sz w:val="22"/>
          <w:szCs w:val="22"/>
          <w:lang w:eastAsia="zh-CN"/>
        </w:rPr>
        <w:t>Vysvětlivky</w:t>
      </w:r>
      <w:r w:rsidRPr="0030358C">
        <w:rPr>
          <w:rFonts w:ascii="Arial" w:hAnsi="Arial" w:cs="Arial"/>
          <w:bCs/>
          <w:iCs/>
          <w:strike/>
          <w:sz w:val="22"/>
          <w:szCs w:val="22"/>
          <w:lang w:eastAsia="zh-CN"/>
        </w:rPr>
        <w:t>:</w:t>
      </w:r>
    </w:p>
    <w:p w14:paraId="204CAC11" w14:textId="77777777" w:rsidR="008F52C8" w:rsidRPr="0030358C" w:rsidRDefault="00000000" w:rsidP="008F52C8">
      <w:pPr>
        <w:keepNext/>
        <w:keepLines/>
        <w:numPr>
          <w:ilvl w:val="0"/>
          <w:numId w:val="108"/>
        </w:numPr>
        <w:tabs>
          <w:tab w:val="left" w:pos="567"/>
        </w:tabs>
        <w:suppressAutoHyphens/>
        <w:ind w:left="284" w:hanging="284"/>
        <w:jc w:val="both"/>
        <w:rPr>
          <w:rFonts w:ascii="Arial" w:hAnsi="Arial" w:cs="Arial"/>
          <w:bCs/>
          <w:iCs/>
          <w:strike/>
          <w:sz w:val="22"/>
          <w:szCs w:val="22"/>
          <w:lang w:eastAsia="zh-CN"/>
        </w:rPr>
      </w:pPr>
      <w:r w:rsidRPr="0030358C">
        <w:rPr>
          <w:rFonts w:ascii="Arial" w:hAnsi="Arial" w:cs="Arial"/>
          <w:bCs/>
          <w:iCs/>
          <w:strike/>
          <w:sz w:val="22"/>
          <w:szCs w:val="22"/>
          <w:lang w:eastAsia="zh-CN"/>
        </w:rPr>
        <w:t>Platí pro oxid siřičitý a oxid sírový vypuštěný ve fázi rozkladu a kalcinace, včetně kapiček kyseliny v přepočtu na ekvivalent SO</w:t>
      </w:r>
      <w:r w:rsidRPr="0030358C">
        <w:rPr>
          <w:rFonts w:ascii="Arial" w:hAnsi="Arial" w:cs="Arial"/>
          <w:bCs/>
          <w:iCs/>
          <w:strike/>
          <w:sz w:val="22"/>
          <w:szCs w:val="22"/>
          <w:vertAlign w:val="subscript"/>
          <w:lang w:eastAsia="zh-CN"/>
        </w:rPr>
        <w:t>2</w:t>
      </w:r>
      <w:r w:rsidRPr="0030358C">
        <w:rPr>
          <w:rFonts w:ascii="Arial" w:hAnsi="Arial" w:cs="Arial"/>
          <w:bCs/>
          <w:iCs/>
          <w:strike/>
          <w:sz w:val="22"/>
          <w:szCs w:val="22"/>
          <w:lang w:eastAsia="zh-CN"/>
        </w:rPr>
        <w:t>.</w:t>
      </w:r>
    </w:p>
    <w:p w14:paraId="3871C325" w14:textId="77777777" w:rsidR="008F52C8" w:rsidRPr="0030358C" w:rsidRDefault="00000000" w:rsidP="008F52C8">
      <w:pPr>
        <w:keepNext/>
        <w:keepLines/>
        <w:numPr>
          <w:ilvl w:val="0"/>
          <w:numId w:val="108"/>
        </w:numPr>
        <w:suppressAutoHyphens/>
        <w:ind w:left="284" w:hanging="284"/>
        <w:jc w:val="both"/>
        <w:rPr>
          <w:rFonts w:ascii="Arial" w:hAnsi="Arial" w:cs="Arial"/>
          <w:bCs/>
          <w:iCs/>
          <w:strike/>
          <w:sz w:val="22"/>
          <w:szCs w:val="22"/>
          <w:lang w:eastAsia="zh-CN"/>
        </w:rPr>
      </w:pPr>
      <w:r w:rsidRPr="0030358C">
        <w:rPr>
          <w:rFonts w:ascii="Arial" w:hAnsi="Arial" w:cs="Arial"/>
          <w:bCs/>
          <w:iCs/>
          <w:strike/>
          <w:sz w:val="22"/>
          <w:szCs w:val="22"/>
          <w:lang w:eastAsia="zh-CN"/>
        </w:rPr>
        <w:t>Platí pro hlavní výpusti jako hodinový průměr.</w:t>
      </w:r>
    </w:p>
    <w:p w14:paraId="7F583A67" w14:textId="77777777" w:rsidR="008F52C8" w:rsidRPr="0030358C" w:rsidRDefault="00000000" w:rsidP="008F52C8">
      <w:pPr>
        <w:keepNext/>
        <w:keepLines/>
        <w:numPr>
          <w:ilvl w:val="0"/>
          <w:numId w:val="108"/>
        </w:numPr>
        <w:suppressAutoHyphens/>
        <w:ind w:left="284" w:hanging="284"/>
        <w:rPr>
          <w:rFonts w:ascii="Arial" w:hAnsi="Arial" w:cs="Arial"/>
          <w:bCs/>
          <w:iCs/>
          <w:strike/>
          <w:sz w:val="22"/>
          <w:szCs w:val="22"/>
          <w:lang w:eastAsia="zh-CN"/>
        </w:rPr>
      </w:pPr>
      <w:r w:rsidRPr="0030358C">
        <w:rPr>
          <w:rFonts w:ascii="Arial" w:hAnsi="Arial" w:cs="Arial"/>
          <w:bCs/>
          <w:iCs/>
          <w:strike/>
          <w:sz w:val="22"/>
          <w:szCs w:val="22"/>
          <w:lang w:eastAsia="zh-CN"/>
        </w:rPr>
        <w:t>Platí pro vedlejší výpusti jako hodinový průměr.</w:t>
      </w:r>
    </w:p>
    <w:p w14:paraId="76C58B0F" w14:textId="77777777" w:rsidR="008F52C8" w:rsidRPr="0030358C" w:rsidRDefault="00000000" w:rsidP="008F52C8">
      <w:pPr>
        <w:keepNext/>
        <w:keepLines/>
        <w:numPr>
          <w:ilvl w:val="0"/>
          <w:numId w:val="108"/>
        </w:numPr>
        <w:suppressAutoHyphens/>
        <w:ind w:left="284" w:hanging="284"/>
        <w:rPr>
          <w:rFonts w:ascii="Arial" w:hAnsi="Arial" w:cs="Arial"/>
          <w:bCs/>
          <w:strike/>
          <w:sz w:val="22"/>
          <w:szCs w:val="22"/>
          <w:lang w:eastAsia="zh-CN"/>
        </w:rPr>
      </w:pPr>
      <w:r w:rsidRPr="0030358C">
        <w:rPr>
          <w:rFonts w:ascii="Arial" w:hAnsi="Arial" w:cs="Arial"/>
          <w:bCs/>
          <w:iCs/>
          <w:strike/>
          <w:sz w:val="22"/>
          <w:szCs w:val="22"/>
          <w:lang w:eastAsia="zh-CN"/>
        </w:rPr>
        <w:t>Platí pro zařízení na koncentraci kyselého odpadu jako hodinový průměr.</w:t>
      </w:r>
    </w:p>
    <w:p w14:paraId="1374B237" w14:textId="77777777" w:rsidR="008F52C8" w:rsidRPr="0030358C" w:rsidRDefault="00000000" w:rsidP="008F52C8">
      <w:pPr>
        <w:keepNext/>
        <w:keepLines/>
        <w:numPr>
          <w:ilvl w:val="0"/>
          <w:numId w:val="108"/>
        </w:numPr>
        <w:suppressAutoHyphens/>
        <w:ind w:left="284" w:hanging="284"/>
        <w:rPr>
          <w:rFonts w:ascii="Arial" w:hAnsi="Arial" w:cs="Arial"/>
          <w:bCs/>
          <w:iCs/>
          <w:strike/>
          <w:sz w:val="22"/>
          <w:szCs w:val="22"/>
          <w:lang w:eastAsia="zh-CN"/>
        </w:rPr>
      </w:pPr>
      <w:r w:rsidRPr="0030358C">
        <w:rPr>
          <w:rFonts w:ascii="Arial" w:hAnsi="Arial" w:cs="Arial"/>
          <w:bCs/>
          <w:iCs/>
          <w:strike/>
          <w:sz w:val="22"/>
          <w:szCs w:val="22"/>
          <w:lang w:eastAsia="zh-CN"/>
        </w:rPr>
        <w:t>Platí jako roční průměr. Vztahuje se na tunu vyrobeného oxidu titaničitého.</w:t>
      </w:r>
    </w:p>
    <w:p w14:paraId="7EE5B3E1" w14:textId="77777777" w:rsidR="008F52C8" w:rsidRPr="0030358C" w:rsidRDefault="008F52C8" w:rsidP="008F52C8">
      <w:pPr>
        <w:keepNext/>
        <w:keepLines/>
        <w:ind w:left="720"/>
        <w:rPr>
          <w:rFonts w:ascii="Arial" w:hAnsi="Arial" w:cs="Arial"/>
          <w:b/>
          <w:iCs/>
          <w:strike/>
          <w:sz w:val="22"/>
          <w:szCs w:val="22"/>
          <w:lang w:eastAsia="zh-CN"/>
        </w:rPr>
      </w:pPr>
    </w:p>
    <w:p w14:paraId="4D32BF04" w14:textId="77777777" w:rsidR="008F52C8" w:rsidRPr="0030358C" w:rsidRDefault="00000000" w:rsidP="008F52C8">
      <w:pPr>
        <w:tabs>
          <w:tab w:val="left" w:pos="0"/>
        </w:tabs>
        <w:spacing w:before="60"/>
        <w:jc w:val="both"/>
        <w:rPr>
          <w:rFonts w:ascii="Arial" w:hAnsi="Arial" w:cs="Arial"/>
          <w:bCs/>
          <w:iCs/>
          <w:strike/>
          <w:sz w:val="22"/>
          <w:szCs w:val="22"/>
          <w:lang w:eastAsia="zh-CN"/>
        </w:rPr>
      </w:pPr>
      <w:r w:rsidRPr="0030358C">
        <w:rPr>
          <w:rFonts w:ascii="Arial" w:hAnsi="Arial" w:cs="Arial"/>
          <w:bCs/>
          <w:iCs/>
          <w:strike/>
          <w:sz w:val="22"/>
          <w:szCs w:val="22"/>
          <w:lang w:eastAsia="zh-CN"/>
        </w:rPr>
        <w:t>Technická podmínka provozu:</w:t>
      </w:r>
    </w:p>
    <w:p w14:paraId="2ED6D518" w14:textId="77777777" w:rsidR="008F52C8" w:rsidRPr="0030358C" w:rsidRDefault="00000000" w:rsidP="008F52C8">
      <w:pPr>
        <w:keepNext/>
        <w:keepLines/>
        <w:rPr>
          <w:rFonts w:ascii="Arial" w:hAnsi="Arial" w:cs="Arial"/>
          <w:bCs/>
          <w:iCs/>
          <w:strike/>
          <w:sz w:val="22"/>
          <w:szCs w:val="22"/>
          <w:lang w:eastAsia="zh-CN"/>
        </w:rPr>
      </w:pPr>
      <w:r w:rsidRPr="0030358C">
        <w:rPr>
          <w:rFonts w:ascii="Arial" w:hAnsi="Arial" w:cs="Arial"/>
          <w:bCs/>
          <w:iCs/>
          <w:strike/>
          <w:sz w:val="22"/>
          <w:szCs w:val="22"/>
          <w:lang w:eastAsia="zh-CN"/>
        </w:rPr>
        <w:t>Proces musí být vybaven zařízením k předcházení emisí kapek kyseliny sírové.</w:t>
      </w:r>
    </w:p>
    <w:p w14:paraId="02B9CEFE" w14:textId="77777777" w:rsidR="008F52C8" w:rsidRPr="0030358C" w:rsidRDefault="008F52C8" w:rsidP="008F52C8">
      <w:pPr>
        <w:rPr>
          <w:rFonts w:ascii="Arial" w:hAnsi="Arial" w:cs="Arial"/>
          <w:b/>
          <w:strike/>
          <w:sz w:val="22"/>
          <w:szCs w:val="22"/>
          <w:lang w:eastAsia="zh-CN"/>
        </w:rPr>
      </w:pPr>
    </w:p>
    <w:p w14:paraId="2D468E83" w14:textId="77777777" w:rsidR="008F52C8" w:rsidRPr="0030358C" w:rsidRDefault="008F52C8" w:rsidP="008F52C8">
      <w:pPr>
        <w:rPr>
          <w:rFonts w:ascii="Arial" w:hAnsi="Arial" w:cs="Arial"/>
          <w:b/>
          <w:strike/>
          <w:sz w:val="22"/>
          <w:szCs w:val="22"/>
          <w:lang w:eastAsia="zh-CN"/>
        </w:rPr>
      </w:pPr>
    </w:p>
    <w:p w14:paraId="06D5FFD4" w14:textId="77777777" w:rsidR="008F52C8" w:rsidRPr="0030358C" w:rsidRDefault="00000000" w:rsidP="008F52C8">
      <w:pPr>
        <w:keepNext/>
        <w:keepLines/>
        <w:snapToGrid w:val="0"/>
        <w:rPr>
          <w:rFonts w:ascii="Arial" w:hAnsi="Arial" w:cs="Arial"/>
          <w:bCs/>
          <w:strike/>
          <w:sz w:val="22"/>
          <w:szCs w:val="22"/>
          <w:lang w:eastAsia="zh-CN"/>
        </w:rPr>
      </w:pPr>
      <w:r w:rsidRPr="0030358C">
        <w:rPr>
          <w:rFonts w:ascii="Arial" w:hAnsi="Arial" w:cs="Arial"/>
          <w:b/>
          <w:bCs/>
          <w:strike/>
          <w:sz w:val="22"/>
          <w:szCs w:val="22"/>
          <w:lang w:eastAsia="zh-CN"/>
        </w:rPr>
        <w:t xml:space="preserve">5.2.10. Chloridový proces při výrobě oxidu titaničitého </w:t>
      </w:r>
      <w:r w:rsidRPr="0030358C">
        <w:rPr>
          <w:rFonts w:ascii="Arial" w:hAnsi="Arial" w:cs="Arial"/>
          <w:bCs/>
          <w:strike/>
          <w:sz w:val="22"/>
          <w:szCs w:val="22"/>
          <w:lang w:eastAsia="zh-CN"/>
        </w:rPr>
        <w:t>(kód 6.22. dle přílohy č. 2 zákona)</w:t>
      </w:r>
    </w:p>
    <w:tbl>
      <w:tblPr>
        <w:tblW w:w="0" w:type="auto"/>
        <w:tblInd w:w="-15" w:type="dxa"/>
        <w:tblLayout w:type="fixed"/>
        <w:tblLook w:val="0000" w:firstRow="0" w:lastRow="0" w:firstColumn="0" w:lastColumn="0" w:noHBand="0" w:noVBand="0"/>
      </w:tblPr>
      <w:tblGrid>
        <w:gridCol w:w="3107"/>
        <w:gridCol w:w="3106"/>
        <w:gridCol w:w="3387"/>
      </w:tblGrid>
      <w:tr w:rsidR="00E40657" w14:paraId="7306DF87" w14:textId="77777777" w:rsidTr="00732453">
        <w:trPr>
          <w:cantSplit/>
          <w:trHeight w:hRule="exact" w:val="380"/>
        </w:trPr>
        <w:tc>
          <w:tcPr>
            <w:tcW w:w="6213" w:type="dxa"/>
            <w:gridSpan w:val="2"/>
            <w:tcBorders>
              <w:top w:val="single" w:sz="4" w:space="0" w:color="000000"/>
              <w:left w:val="single" w:sz="4" w:space="0" w:color="000000"/>
              <w:bottom w:val="single" w:sz="4" w:space="0" w:color="000000"/>
            </w:tcBorders>
            <w:shd w:val="clear" w:color="auto" w:fill="auto"/>
            <w:vAlign w:val="center"/>
          </w:tcPr>
          <w:p w14:paraId="5AC41007"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3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A7B63C"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6EA5A9CE" w14:textId="77777777" w:rsidTr="00732453">
        <w:trPr>
          <w:cantSplit/>
          <w:trHeight w:hRule="exact" w:val="809"/>
        </w:trPr>
        <w:tc>
          <w:tcPr>
            <w:tcW w:w="3107" w:type="dxa"/>
            <w:tcBorders>
              <w:left w:val="single" w:sz="4" w:space="0" w:color="000000"/>
              <w:bottom w:val="single" w:sz="4" w:space="0" w:color="000000"/>
            </w:tcBorders>
            <w:shd w:val="clear" w:color="auto" w:fill="auto"/>
            <w:vAlign w:val="center"/>
          </w:tcPr>
          <w:p w14:paraId="69BA4609"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3106" w:type="dxa"/>
            <w:tcBorders>
              <w:left w:val="single" w:sz="4" w:space="0" w:color="000000"/>
              <w:bottom w:val="single" w:sz="4" w:space="0" w:color="000000"/>
            </w:tcBorders>
            <w:shd w:val="clear" w:color="auto" w:fill="auto"/>
            <w:vAlign w:val="center"/>
          </w:tcPr>
          <w:p w14:paraId="2A1DBB2F"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chlor</w:t>
            </w:r>
          </w:p>
        </w:tc>
        <w:tc>
          <w:tcPr>
            <w:tcW w:w="33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A2D3D6" w14:textId="77777777" w:rsidR="008F52C8" w:rsidRPr="0030358C" w:rsidRDefault="008F52C8" w:rsidP="00732453">
            <w:pPr>
              <w:keepNext/>
              <w:keepLines/>
              <w:snapToGrid w:val="0"/>
              <w:rPr>
                <w:rFonts w:ascii="Arial" w:hAnsi="Arial" w:cs="Arial"/>
                <w:b/>
                <w:strike/>
                <w:sz w:val="22"/>
                <w:szCs w:val="22"/>
                <w:lang w:eastAsia="zh-CN"/>
              </w:rPr>
            </w:pPr>
          </w:p>
        </w:tc>
      </w:tr>
      <w:tr w:rsidR="00E40657" w14:paraId="066519F2" w14:textId="77777777" w:rsidTr="00732453">
        <w:trPr>
          <w:trHeight w:hRule="exact" w:val="640"/>
        </w:trPr>
        <w:tc>
          <w:tcPr>
            <w:tcW w:w="3107" w:type="dxa"/>
            <w:tcBorders>
              <w:left w:val="single" w:sz="4" w:space="0" w:color="000000"/>
              <w:bottom w:val="single" w:sz="4" w:space="0" w:color="000000"/>
            </w:tcBorders>
            <w:shd w:val="clear" w:color="auto" w:fill="auto"/>
            <w:vAlign w:val="center"/>
          </w:tcPr>
          <w:p w14:paraId="647047B5"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1)</w:t>
            </w:r>
          </w:p>
          <w:p w14:paraId="427BDEF8"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150</w:t>
            </w:r>
            <w:r w:rsidRPr="0030358C">
              <w:rPr>
                <w:rFonts w:ascii="Arial" w:hAnsi="Arial" w:cs="Arial"/>
                <w:bCs/>
                <w:strike/>
                <w:sz w:val="22"/>
                <w:szCs w:val="22"/>
                <w:vertAlign w:val="superscript"/>
                <w:lang w:eastAsia="zh-CN"/>
              </w:rPr>
              <w:t>2)</w:t>
            </w:r>
          </w:p>
        </w:tc>
        <w:tc>
          <w:tcPr>
            <w:tcW w:w="3106" w:type="dxa"/>
            <w:tcBorders>
              <w:left w:val="single" w:sz="4" w:space="0" w:color="000000"/>
              <w:bottom w:val="single" w:sz="4" w:space="0" w:color="000000"/>
            </w:tcBorders>
            <w:shd w:val="clear" w:color="auto" w:fill="auto"/>
            <w:vAlign w:val="center"/>
          </w:tcPr>
          <w:p w14:paraId="25259F5F"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5</w:t>
            </w:r>
            <w:r w:rsidRPr="0030358C">
              <w:rPr>
                <w:rFonts w:ascii="Arial" w:hAnsi="Arial" w:cs="Arial"/>
                <w:bCs/>
                <w:strike/>
                <w:sz w:val="22"/>
                <w:szCs w:val="22"/>
                <w:vertAlign w:val="superscript"/>
                <w:lang w:eastAsia="zh-CN"/>
              </w:rPr>
              <w:t>3)</w:t>
            </w:r>
          </w:p>
        </w:tc>
        <w:tc>
          <w:tcPr>
            <w:tcW w:w="3387" w:type="dxa"/>
            <w:tcBorders>
              <w:left w:val="single" w:sz="4" w:space="0" w:color="000000"/>
              <w:bottom w:val="single" w:sz="4" w:space="0" w:color="000000"/>
              <w:right w:val="single" w:sz="4" w:space="0" w:color="000000"/>
            </w:tcBorders>
            <w:shd w:val="clear" w:color="auto" w:fill="auto"/>
            <w:vAlign w:val="center"/>
          </w:tcPr>
          <w:p w14:paraId="2F5FB9BB"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tc>
      </w:tr>
    </w:tbl>
    <w:p w14:paraId="6FA118AD"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Cs/>
          <w:strike/>
          <w:sz w:val="22"/>
          <w:szCs w:val="22"/>
          <w:lang w:eastAsia="zh-CN"/>
        </w:rPr>
        <w:t>Vysvětlivky:</w:t>
      </w:r>
    </w:p>
    <w:p w14:paraId="123C94CB" w14:textId="77777777" w:rsidR="008F52C8" w:rsidRPr="0030358C" w:rsidRDefault="00000000" w:rsidP="008F52C8">
      <w:pPr>
        <w:numPr>
          <w:ilvl w:val="0"/>
          <w:numId w:val="114"/>
        </w:numPr>
        <w:suppressAutoHyphens/>
        <w:ind w:left="284" w:hanging="284"/>
        <w:rPr>
          <w:rFonts w:ascii="Arial" w:hAnsi="Arial" w:cs="Arial"/>
          <w:bCs/>
          <w:strike/>
          <w:sz w:val="22"/>
          <w:szCs w:val="22"/>
          <w:lang w:eastAsia="zh-CN"/>
        </w:rPr>
      </w:pPr>
      <w:r w:rsidRPr="0030358C">
        <w:rPr>
          <w:rFonts w:ascii="Arial" w:hAnsi="Arial" w:cs="Arial"/>
          <w:bCs/>
          <w:strike/>
          <w:sz w:val="22"/>
          <w:szCs w:val="22"/>
          <w:lang w:eastAsia="zh-CN"/>
        </w:rPr>
        <w:t>Platí pro hlavní výpusti jako hodinový průměr.</w:t>
      </w:r>
    </w:p>
    <w:p w14:paraId="3924F19C" w14:textId="77777777" w:rsidR="008F52C8" w:rsidRPr="0030358C" w:rsidRDefault="00000000" w:rsidP="008F52C8">
      <w:pPr>
        <w:numPr>
          <w:ilvl w:val="0"/>
          <w:numId w:val="114"/>
        </w:numPr>
        <w:suppressAutoHyphens/>
        <w:ind w:left="284" w:hanging="284"/>
        <w:rPr>
          <w:rFonts w:ascii="Arial" w:hAnsi="Arial" w:cs="Arial"/>
          <w:bCs/>
          <w:strike/>
          <w:sz w:val="22"/>
          <w:szCs w:val="22"/>
          <w:lang w:eastAsia="zh-CN"/>
        </w:rPr>
      </w:pPr>
      <w:r w:rsidRPr="0030358C">
        <w:rPr>
          <w:rFonts w:ascii="Arial" w:hAnsi="Arial" w:cs="Arial"/>
          <w:bCs/>
          <w:strike/>
          <w:sz w:val="22"/>
          <w:szCs w:val="22"/>
          <w:lang w:eastAsia="zh-CN"/>
        </w:rPr>
        <w:t>Platí pro vedlejší výpusti jako hodinový průměr.</w:t>
      </w:r>
    </w:p>
    <w:p w14:paraId="5955BA8C" w14:textId="77777777" w:rsidR="008F52C8" w:rsidRPr="0030358C" w:rsidRDefault="00000000" w:rsidP="008F52C8">
      <w:pPr>
        <w:numPr>
          <w:ilvl w:val="0"/>
          <w:numId w:val="114"/>
        </w:numPr>
        <w:suppressAutoHyphens/>
        <w:autoSpaceDE w:val="0"/>
        <w:ind w:left="284" w:hanging="284"/>
        <w:rPr>
          <w:rFonts w:ascii="Arial" w:hAnsi="Arial" w:cs="Arial"/>
          <w:bCs/>
          <w:strike/>
          <w:sz w:val="22"/>
          <w:szCs w:val="22"/>
          <w:lang w:eastAsia="zh-CN"/>
        </w:rPr>
      </w:pPr>
      <w:r w:rsidRPr="0030358C">
        <w:rPr>
          <w:rFonts w:ascii="Arial" w:hAnsi="Arial" w:cs="Arial"/>
          <w:bCs/>
          <w:strike/>
          <w:color w:val="000000"/>
          <w:sz w:val="22"/>
          <w:szCs w:val="22"/>
          <w:lang w:eastAsia="cs-CZ"/>
        </w:rPr>
        <w:t>Platí jako denní průměr, žádný minutový průměr naměřených hodnot nepřekročí 40 mg/m</w:t>
      </w:r>
      <w:r w:rsidRPr="0030358C">
        <w:rPr>
          <w:rFonts w:ascii="Arial" w:hAnsi="Arial" w:cs="Arial"/>
          <w:bCs/>
          <w:strike/>
          <w:color w:val="000000"/>
          <w:sz w:val="22"/>
          <w:szCs w:val="22"/>
          <w:vertAlign w:val="superscript"/>
          <w:lang w:eastAsia="cs-CZ"/>
        </w:rPr>
        <w:t>3</w:t>
      </w:r>
      <w:r w:rsidRPr="0030358C">
        <w:rPr>
          <w:rFonts w:ascii="Arial" w:hAnsi="Arial" w:cs="Arial"/>
          <w:bCs/>
          <w:strike/>
          <w:color w:val="000000"/>
          <w:sz w:val="22"/>
          <w:szCs w:val="22"/>
          <w:lang w:eastAsia="cs-CZ"/>
        </w:rPr>
        <w:t>.</w:t>
      </w:r>
    </w:p>
    <w:p w14:paraId="48E274A3" w14:textId="77777777" w:rsidR="008F52C8" w:rsidRPr="0030358C" w:rsidRDefault="008F52C8" w:rsidP="008F52C8">
      <w:pPr>
        <w:rPr>
          <w:rFonts w:ascii="Arial" w:hAnsi="Arial" w:cs="Arial"/>
          <w:b/>
          <w:strike/>
          <w:sz w:val="22"/>
          <w:szCs w:val="22"/>
          <w:lang w:eastAsia="zh-CN"/>
        </w:rPr>
      </w:pPr>
    </w:p>
    <w:p w14:paraId="32A15AA5"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5.2.11. Výroba ostatních pigmentů (kód 6.23. dle přílohy č. 2 zákona)</w:t>
      </w:r>
    </w:p>
    <w:tbl>
      <w:tblPr>
        <w:tblW w:w="0" w:type="auto"/>
        <w:tblInd w:w="-15" w:type="dxa"/>
        <w:tblLayout w:type="fixed"/>
        <w:tblCellMar>
          <w:left w:w="70" w:type="dxa"/>
          <w:right w:w="70" w:type="dxa"/>
        </w:tblCellMar>
        <w:tblLook w:val="0000" w:firstRow="0" w:lastRow="0" w:firstColumn="0" w:lastColumn="0" w:noHBand="0" w:noVBand="0"/>
      </w:tblPr>
      <w:tblGrid>
        <w:gridCol w:w="4910"/>
        <w:gridCol w:w="4614"/>
      </w:tblGrid>
      <w:tr w:rsidR="00E40657" w14:paraId="0138A69F" w14:textId="77777777" w:rsidTr="00732453">
        <w:trPr>
          <w:cantSplit/>
          <w:trHeight w:val="326"/>
          <w:tblHeader/>
        </w:trPr>
        <w:tc>
          <w:tcPr>
            <w:tcW w:w="4910" w:type="dxa"/>
            <w:tcBorders>
              <w:top w:val="single" w:sz="4" w:space="0" w:color="000000"/>
              <w:left w:val="single" w:sz="4" w:space="0" w:color="000000"/>
              <w:bottom w:val="single" w:sz="4" w:space="0" w:color="000000"/>
            </w:tcBorders>
            <w:shd w:val="clear" w:color="auto" w:fill="auto"/>
            <w:vAlign w:val="center"/>
          </w:tcPr>
          <w:p w14:paraId="731F4614"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614" w:type="dxa"/>
            <w:vMerge w:val="restart"/>
            <w:tcBorders>
              <w:top w:val="single" w:sz="4" w:space="0" w:color="000000"/>
              <w:left w:val="single" w:sz="4" w:space="0" w:color="000000"/>
              <w:right w:val="single" w:sz="4" w:space="0" w:color="000000"/>
            </w:tcBorders>
            <w:shd w:val="clear" w:color="auto" w:fill="auto"/>
            <w:vAlign w:val="center"/>
          </w:tcPr>
          <w:p w14:paraId="11D05AD0"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46B026CE" w14:textId="77777777" w:rsidTr="00732453">
        <w:trPr>
          <w:cantSplit/>
          <w:trHeight w:hRule="exact" w:val="325"/>
          <w:tblHeader/>
        </w:trPr>
        <w:tc>
          <w:tcPr>
            <w:tcW w:w="4910" w:type="dxa"/>
            <w:tcBorders>
              <w:top w:val="single" w:sz="4" w:space="0" w:color="000000"/>
              <w:left w:val="single" w:sz="4" w:space="0" w:color="000000"/>
              <w:bottom w:val="single" w:sz="4" w:space="0" w:color="000000"/>
            </w:tcBorders>
            <w:shd w:val="clear" w:color="auto" w:fill="auto"/>
            <w:vAlign w:val="center"/>
          </w:tcPr>
          <w:p w14:paraId="755CD90E"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4614" w:type="dxa"/>
            <w:vMerge/>
            <w:tcBorders>
              <w:left w:val="single" w:sz="4" w:space="0" w:color="000000"/>
              <w:bottom w:val="single" w:sz="4" w:space="0" w:color="000000"/>
              <w:right w:val="single" w:sz="4" w:space="0" w:color="000000"/>
            </w:tcBorders>
            <w:shd w:val="clear" w:color="auto" w:fill="auto"/>
            <w:vAlign w:val="center"/>
          </w:tcPr>
          <w:p w14:paraId="05FFF03E" w14:textId="77777777" w:rsidR="008F52C8" w:rsidRPr="0030358C" w:rsidRDefault="008F52C8" w:rsidP="00732453">
            <w:pPr>
              <w:keepNext/>
              <w:keepLines/>
              <w:snapToGrid w:val="0"/>
              <w:jc w:val="center"/>
              <w:rPr>
                <w:rFonts w:ascii="Arial" w:hAnsi="Arial" w:cs="Arial"/>
                <w:b/>
                <w:strike/>
                <w:sz w:val="22"/>
                <w:szCs w:val="22"/>
                <w:lang w:eastAsia="zh-CN"/>
              </w:rPr>
            </w:pPr>
          </w:p>
        </w:tc>
      </w:tr>
      <w:tr w:rsidR="00E40657" w14:paraId="3C2BDDE1" w14:textId="77777777" w:rsidTr="00732453">
        <w:trPr>
          <w:trHeight w:hRule="exact" w:val="655"/>
        </w:trPr>
        <w:tc>
          <w:tcPr>
            <w:tcW w:w="4910" w:type="dxa"/>
            <w:tcBorders>
              <w:left w:val="single" w:sz="4" w:space="0" w:color="000000"/>
              <w:bottom w:val="single" w:sz="4" w:space="0" w:color="000000"/>
            </w:tcBorders>
            <w:shd w:val="clear" w:color="auto" w:fill="auto"/>
            <w:vAlign w:val="center"/>
          </w:tcPr>
          <w:p w14:paraId="6ECD9416"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p w14:paraId="5FB6F55E" w14:textId="77777777" w:rsidR="008F52C8" w:rsidRPr="0030358C" w:rsidRDefault="00000000" w:rsidP="00732453">
            <w:pPr>
              <w:keepNext/>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100</w:t>
            </w:r>
            <w:r w:rsidRPr="0030358C">
              <w:rPr>
                <w:rFonts w:ascii="Arial" w:hAnsi="Arial" w:cs="Arial"/>
                <w:bCs/>
                <w:strike/>
                <w:sz w:val="22"/>
                <w:szCs w:val="22"/>
                <w:vertAlign w:val="superscript"/>
                <w:lang w:eastAsia="zh-CN"/>
              </w:rPr>
              <w:t>1)</w:t>
            </w:r>
          </w:p>
          <w:p w14:paraId="08F00E37" w14:textId="77777777" w:rsidR="008F52C8" w:rsidRPr="0030358C" w:rsidRDefault="008F52C8" w:rsidP="00732453">
            <w:pPr>
              <w:keepNext/>
              <w:keepLines/>
              <w:snapToGrid w:val="0"/>
              <w:jc w:val="center"/>
              <w:rPr>
                <w:rFonts w:ascii="Arial" w:hAnsi="Arial" w:cs="Arial"/>
                <w:bCs/>
                <w:strike/>
                <w:sz w:val="22"/>
                <w:szCs w:val="22"/>
                <w:vertAlign w:val="superscript"/>
                <w:lang w:eastAsia="zh-CN"/>
              </w:rPr>
            </w:pPr>
          </w:p>
        </w:tc>
        <w:tc>
          <w:tcPr>
            <w:tcW w:w="4614" w:type="dxa"/>
            <w:tcBorders>
              <w:left w:val="single" w:sz="4" w:space="0" w:color="000000"/>
              <w:bottom w:val="single" w:sz="4" w:space="0" w:color="000000"/>
              <w:right w:val="single" w:sz="4" w:space="0" w:color="000000"/>
            </w:tcBorders>
            <w:shd w:val="clear" w:color="auto" w:fill="auto"/>
            <w:vAlign w:val="center"/>
          </w:tcPr>
          <w:p w14:paraId="7C5DF924"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tc>
      </w:tr>
    </w:tbl>
    <w:p w14:paraId="79EBC7B1"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strike/>
          <w:sz w:val="22"/>
          <w:szCs w:val="22"/>
          <w:lang w:eastAsia="zh-CN"/>
        </w:rPr>
        <w:t>Vysvětlivka: 1) Platí pro výrobu litoponu, stálé běloby (blanc fix) a výrobu železitých pigmentů.</w:t>
      </w:r>
    </w:p>
    <w:p w14:paraId="6558D207" w14:textId="77777777" w:rsidR="008F52C8" w:rsidRPr="0030358C" w:rsidRDefault="008F52C8" w:rsidP="008F52C8">
      <w:pPr>
        <w:spacing w:before="60"/>
        <w:ind w:left="720" w:hanging="720"/>
        <w:rPr>
          <w:rFonts w:ascii="Arial" w:hAnsi="Arial" w:cs="Arial"/>
          <w:b/>
          <w:strike/>
          <w:sz w:val="22"/>
          <w:szCs w:val="22"/>
          <w:lang w:eastAsia="zh-CN"/>
        </w:rPr>
      </w:pPr>
    </w:p>
    <w:p w14:paraId="1B7E32C8" w14:textId="77777777" w:rsidR="008F52C8" w:rsidRPr="0030358C" w:rsidRDefault="00000000" w:rsidP="008F52C8">
      <w:pPr>
        <w:spacing w:before="60"/>
        <w:ind w:left="720" w:hanging="720"/>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536EED22"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Cs/>
          <w:strike/>
          <w:sz w:val="22"/>
          <w:szCs w:val="22"/>
          <w:lang w:eastAsia="zh-CN"/>
        </w:rPr>
        <w:t>U kalcinace, kde je odtah zaveden do odlučovače jiné technologie, smí být kalcinace v provozu pouze za součinnosti tohoto odlučovacího zařízení.</w:t>
      </w:r>
    </w:p>
    <w:p w14:paraId="618C2052" w14:textId="77777777" w:rsidR="008F52C8" w:rsidRPr="0030358C" w:rsidRDefault="008F52C8" w:rsidP="008F52C8">
      <w:pPr>
        <w:rPr>
          <w:rFonts w:ascii="Arial" w:hAnsi="Arial" w:cs="Arial"/>
          <w:b/>
          <w:strike/>
          <w:sz w:val="22"/>
          <w:szCs w:val="22"/>
          <w:lang w:eastAsia="zh-CN"/>
        </w:rPr>
      </w:pPr>
    </w:p>
    <w:p w14:paraId="57C0C400" w14:textId="77777777" w:rsidR="008F52C8" w:rsidRPr="0030358C" w:rsidRDefault="00000000" w:rsidP="008F52C8">
      <w:pPr>
        <w:keepNext/>
        <w:numPr>
          <w:ilvl w:val="2"/>
          <w:numId w:val="0"/>
        </w:numPr>
        <w:tabs>
          <w:tab w:val="num" w:pos="0"/>
        </w:tabs>
        <w:spacing w:before="60"/>
        <w:jc w:val="both"/>
        <w:outlineLvl w:val="2"/>
        <w:rPr>
          <w:rFonts w:ascii="Arial" w:hAnsi="Arial" w:cs="Arial"/>
          <w:b/>
          <w:strike/>
          <w:sz w:val="22"/>
          <w:szCs w:val="22"/>
          <w:lang w:eastAsia="zh-CN"/>
        </w:rPr>
      </w:pPr>
      <w:r w:rsidRPr="0030358C">
        <w:rPr>
          <w:rFonts w:ascii="Arial" w:hAnsi="Arial" w:cs="Arial"/>
          <w:b/>
          <w:strike/>
          <w:sz w:val="22"/>
          <w:szCs w:val="22"/>
          <w:lang w:eastAsia="zh-CN"/>
        </w:rPr>
        <w:lastRenderedPageBreak/>
        <w:t>5.3. Ropná rafinerie, výroba, zpracování a skladování petrochemických výrobků a kapalných těkavých organických látek</w:t>
      </w:r>
    </w:p>
    <w:p w14:paraId="192C2884" w14:textId="77777777" w:rsidR="008F52C8" w:rsidRPr="0030358C" w:rsidRDefault="008F52C8" w:rsidP="008F52C8">
      <w:pPr>
        <w:tabs>
          <w:tab w:val="left" w:pos="1134"/>
        </w:tabs>
        <w:spacing w:before="60"/>
        <w:ind w:left="2552" w:hanging="2552"/>
        <w:rPr>
          <w:rFonts w:ascii="Arial" w:hAnsi="Arial" w:cs="Arial"/>
          <w:b/>
          <w:strike/>
          <w:sz w:val="22"/>
          <w:szCs w:val="22"/>
          <w:shd w:val="clear" w:color="auto" w:fill="FFFF00"/>
          <w:lang w:eastAsia="zh-CN"/>
        </w:rPr>
      </w:pPr>
    </w:p>
    <w:p w14:paraId="4E1B14BD"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
          <w:strike/>
          <w:sz w:val="22"/>
          <w:szCs w:val="22"/>
          <w:lang w:eastAsia="zh-CN"/>
        </w:rPr>
        <w:t xml:space="preserve">5.3.1. Ropná rafinerie, výroba a zpracování petrochemických výrobků </w:t>
      </w:r>
      <w:r w:rsidRPr="0030358C">
        <w:rPr>
          <w:rFonts w:ascii="Arial" w:hAnsi="Arial" w:cs="Arial"/>
          <w:bCs/>
          <w:strike/>
          <w:sz w:val="22"/>
          <w:szCs w:val="22"/>
          <w:lang w:eastAsia="zh-CN"/>
        </w:rPr>
        <w:t>(kód 6.24. dle přílohy č. 2 zákona)</w:t>
      </w:r>
    </w:p>
    <w:p w14:paraId="7FF766C1" w14:textId="77777777" w:rsidR="008F52C8" w:rsidRPr="0030358C" w:rsidRDefault="00000000" w:rsidP="008F52C8">
      <w:pPr>
        <w:spacing w:before="60"/>
        <w:jc w:val="both"/>
        <w:rPr>
          <w:rFonts w:ascii="Arial" w:hAnsi="Arial" w:cs="Arial"/>
          <w:bCs/>
          <w:strike/>
          <w:sz w:val="22"/>
          <w:szCs w:val="22"/>
          <w:lang w:eastAsia="zh-CN"/>
        </w:rPr>
      </w:pPr>
      <w:r w:rsidRPr="0030358C">
        <w:rPr>
          <w:rFonts w:ascii="Arial" w:hAnsi="Arial" w:cs="Arial"/>
          <w:bCs/>
          <w:strike/>
          <w:sz w:val="22"/>
          <w:szCs w:val="22"/>
          <w:lang w:eastAsia="zh-CN"/>
        </w:rPr>
        <w:t>Platí pro zpracování ropy a jejích ropných frakcí jako jsou těžké a lehké benziny, plyny, plynové oleje, petrolej, mazut apod. a pro výrobu alkenů a dienů, aromatických sloučenin a syntézního plynu.</w:t>
      </w:r>
    </w:p>
    <w:p w14:paraId="512E00FC" w14:textId="77777777" w:rsidR="008F52C8" w:rsidRPr="0030358C" w:rsidRDefault="00000000" w:rsidP="008F52C8">
      <w:pPr>
        <w:tabs>
          <w:tab w:val="left" w:pos="0"/>
        </w:tabs>
        <w:spacing w:before="60"/>
        <w:jc w:val="both"/>
        <w:rPr>
          <w:rFonts w:ascii="Arial" w:hAnsi="Arial" w:cs="Arial"/>
          <w:bCs/>
          <w:iCs/>
          <w:strike/>
          <w:sz w:val="22"/>
          <w:szCs w:val="22"/>
          <w:lang w:eastAsia="zh-CN"/>
        </w:rPr>
      </w:pPr>
      <w:r w:rsidRPr="0030358C">
        <w:rPr>
          <w:rFonts w:ascii="Arial" w:hAnsi="Arial" w:cs="Arial"/>
          <w:bCs/>
          <w:iCs/>
          <w:strike/>
          <w:sz w:val="22"/>
          <w:szCs w:val="22"/>
          <w:lang w:eastAsia="zh-CN"/>
        </w:rPr>
        <w:t>Technická podmínka provozu:</w:t>
      </w:r>
    </w:p>
    <w:p w14:paraId="6CE89B96" w14:textId="77777777" w:rsidR="008F52C8" w:rsidRPr="0030358C" w:rsidRDefault="00000000" w:rsidP="008F52C8">
      <w:pPr>
        <w:tabs>
          <w:tab w:val="left" w:pos="0"/>
        </w:tabs>
        <w:spacing w:before="60"/>
        <w:jc w:val="both"/>
        <w:rPr>
          <w:rFonts w:ascii="Arial" w:hAnsi="Arial" w:cs="Arial"/>
          <w:bCs/>
          <w:strike/>
          <w:sz w:val="22"/>
          <w:szCs w:val="22"/>
          <w:lang w:eastAsia="zh-CN"/>
        </w:rPr>
      </w:pPr>
      <w:r w:rsidRPr="0030358C">
        <w:rPr>
          <w:rFonts w:ascii="Arial" w:hAnsi="Arial" w:cs="Arial"/>
          <w:bCs/>
          <w:strike/>
          <w:sz w:val="22"/>
          <w:szCs w:val="22"/>
          <w:lang w:eastAsia="zh-CN"/>
        </w:rPr>
        <w:t>Za účelem předcházení emisím znečišťujících látek obtěžujících zápachem využívat opatření ke snižování emisí znečišťujících látek, např. svedením emisí organických látek na jednotku termické spalování (teplota spalování nejméně 720°C) apod.</w:t>
      </w:r>
    </w:p>
    <w:p w14:paraId="32A5B3BE" w14:textId="77777777" w:rsidR="008F52C8" w:rsidRPr="0030358C" w:rsidRDefault="008F52C8" w:rsidP="008F52C8">
      <w:pPr>
        <w:tabs>
          <w:tab w:val="left" w:pos="0"/>
        </w:tabs>
        <w:spacing w:before="60"/>
        <w:jc w:val="both"/>
        <w:rPr>
          <w:rFonts w:ascii="Arial" w:hAnsi="Arial" w:cs="Arial"/>
          <w:b/>
          <w:strike/>
          <w:sz w:val="22"/>
          <w:szCs w:val="22"/>
          <w:lang w:eastAsia="zh-CN"/>
        </w:rPr>
      </w:pPr>
    </w:p>
    <w:p w14:paraId="19ED4962"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
          <w:strike/>
          <w:sz w:val="22"/>
          <w:szCs w:val="22"/>
          <w:lang w:eastAsia="zh-CN"/>
        </w:rPr>
        <w:t>5.3.2. Skladování petrochemických výrobků a kapalných těkavých organických látek o objemu větším než 1000 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 xml:space="preserve"> nebo skladovací nádrže s ročním objemem výtoče větším než 10 000 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 xml:space="preserve"> a manipulace (není určeno pro automobilové benziny) </w:t>
      </w:r>
      <w:r w:rsidRPr="0030358C">
        <w:rPr>
          <w:rFonts w:ascii="Arial" w:hAnsi="Arial" w:cs="Arial"/>
          <w:bCs/>
          <w:strike/>
          <w:sz w:val="22"/>
          <w:szCs w:val="22"/>
          <w:lang w:eastAsia="zh-CN"/>
        </w:rPr>
        <w:t>(kód 6.25. dle přílohy č. 2 zákona)</w:t>
      </w:r>
    </w:p>
    <w:p w14:paraId="3F24E169" w14:textId="77777777" w:rsidR="008F52C8" w:rsidRPr="0030358C" w:rsidRDefault="008F52C8" w:rsidP="008F52C8">
      <w:pPr>
        <w:jc w:val="both"/>
        <w:rPr>
          <w:rFonts w:ascii="Arial" w:hAnsi="Arial" w:cs="Arial"/>
          <w:b/>
          <w:i/>
          <w:strike/>
          <w:sz w:val="22"/>
          <w:szCs w:val="22"/>
          <w:lang w:eastAsia="zh-CN"/>
        </w:rPr>
      </w:pPr>
    </w:p>
    <w:p w14:paraId="04E84474"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Cs/>
          <w:strike/>
          <w:sz w:val="22"/>
          <w:szCs w:val="22"/>
          <w:lang w:eastAsia="zh-CN"/>
        </w:rPr>
        <w:t>Technické podmínky provozu:</w:t>
      </w:r>
    </w:p>
    <w:p w14:paraId="5D96B84E"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lang w:eastAsia="zh-CN"/>
        </w:rPr>
        <w:tab/>
        <w:t>Uspořádání a vybavení skladovacích nádrží o objemu rovném nebo větším než 1000 m</w:t>
      </w:r>
      <w:r w:rsidRPr="0030358C">
        <w:rPr>
          <w:rFonts w:ascii="Arial" w:hAnsi="Arial" w:cs="Arial"/>
          <w:bCs/>
          <w:strike/>
          <w:sz w:val="22"/>
          <w:szCs w:val="22"/>
          <w:vertAlign w:val="superscript"/>
          <w:lang w:eastAsia="zh-CN"/>
        </w:rPr>
        <w:t>3</w:t>
      </w:r>
      <w:r w:rsidRPr="0030358C">
        <w:rPr>
          <w:rFonts w:ascii="Arial" w:hAnsi="Arial" w:cs="Arial"/>
          <w:bCs/>
          <w:strike/>
          <w:sz w:val="22"/>
          <w:szCs w:val="22"/>
          <w:lang w:eastAsia="zh-CN"/>
        </w:rPr>
        <w:t xml:space="preserve"> nebo skladovacích nádrží s ročním obratem rovném nebo větším než 10 000 m</w:t>
      </w:r>
      <w:r w:rsidRPr="0030358C">
        <w:rPr>
          <w:rFonts w:ascii="Arial" w:hAnsi="Arial" w:cs="Arial"/>
          <w:bCs/>
          <w:strike/>
          <w:sz w:val="22"/>
          <w:szCs w:val="22"/>
          <w:vertAlign w:val="superscript"/>
          <w:lang w:eastAsia="zh-CN"/>
        </w:rPr>
        <w:t>3</w:t>
      </w:r>
      <w:r w:rsidRPr="0030358C">
        <w:rPr>
          <w:rFonts w:ascii="Arial" w:hAnsi="Arial" w:cs="Arial"/>
          <w:bCs/>
          <w:strike/>
          <w:sz w:val="22"/>
          <w:szCs w:val="22"/>
          <w:lang w:eastAsia="zh-CN"/>
        </w:rPr>
        <w:t xml:space="preserve"> při skladování surovin, meziproduktů a výrobků, které mají tlak par větší než 1,32 kPa při teplotě 293,15 K:</w:t>
      </w:r>
    </w:p>
    <w:p w14:paraId="7A2981F1"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1.</w:t>
      </w:r>
      <w:r w:rsidRPr="0030358C">
        <w:rPr>
          <w:rFonts w:ascii="Arial" w:hAnsi="Arial" w:cs="Arial"/>
          <w:bCs/>
          <w:strike/>
          <w:sz w:val="22"/>
          <w:szCs w:val="22"/>
          <w:lang w:eastAsia="zh-CN"/>
        </w:rPr>
        <w:tab/>
        <w:t>Skladovací nádrže s vnější plovoucí střechou musí být opatřeny účinným primárním a sekundárním těsněním okrajů střechy.</w:t>
      </w:r>
    </w:p>
    <w:p w14:paraId="256AF330" w14:textId="77777777" w:rsidR="008F52C8" w:rsidRPr="0030358C" w:rsidRDefault="00000000" w:rsidP="008F52C8">
      <w:pPr>
        <w:widowControl w:val="0"/>
        <w:tabs>
          <w:tab w:val="left" w:pos="284"/>
        </w:tabs>
        <w:autoSpaceDE w:val="0"/>
        <w:spacing w:after="120"/>
        <w:jc w:val="both"/>
        <w:rPr>
          <w:rFonts w:ascii="Arial" w:hAnsi="Arial" w:cs="Arial"/>
          <w:bCs/>
          <w:strike/>
          <w:sz w:val="22"/>
          <w:szCs w:val="22"/>
          <w:lang w:eastAsia="zh-CN"/>
        </w:rPr>
      </w:pPr>
      <w:r w:rsidRPr="0030358C">
        <w:rPr>
          <w:rFonts w:ascii="Arial" w:hAnsi="Arial" w:cs="Arial"/>
          <w:bCs/>
          <w:strike/>
          <w:sz w:val="22"/>
          <w:szCs w:val="22"/>
          <w:lang w:eastAsia="zh-CN"/>
        </w:rPr>
        <w:t>2.</w:t>
      </w:r>
      <w:r w:rsidRPr="0030358C">
        <w:rPr>
          <w:rFonts w:ascii="Arial" w:hAnsi="Arial" w:cs="Arial"/>
          <w:bCs/>
          <w:strike/>
          <w:sz w:val="22"/>
          <w:szCs w:val="22"/>
          <w:lang w:eastAsia="zh-CN"/>
        </w:rPr>
        <w:tab/>
        <w:t>Nádrže s pevnou střechou</w:t>
      </w:r>
    </w:p>
    <w:p w14:paraId="13003D00" w14:textId="77777777" w:rsidR="008F52C8" w:rsidRPr="0030358C" w:rsidRDefault="00000000" w:rsidP="008F52C8">
      <w:pPr>
        <w:widowControl w:val="0"/>
        <w:autoSpaceDE w:val="0"/>
        <w:spacing w:after="120"/>
        <w:ind w:left="709" w:hanging="425"/>
        <w:jc w:val="both"/>
        <w:rPr>
          <w:rFonts w:ascii="Arial" w:hAnsi="Arial" w:cs="Arial"/>
          <w:bCs/>
          <w:strike/>
          <w:sz w:val="22"/>
          <w:szCs w:val="22"/>
          <w:lang w:eastAsia="zh-CN"/>
        </w:rPr>
      </w:pPr>
      <w:r w:rsidRPr="0030358C">
        <w:rPr>
          <w:rFonts w:ascii="Arial" w:hAnsi="Arial" w:cs="Arial"/>
          <w:bCs/>
          <w:strike/>
          <w:sz w:val="22"/>
          <w:szCs w:val="22"/>
          <w:lang w:eastAsia="zh-CN"/>
        </w:rPr>
        <w:t>2.1</w:t>
      </w:r>
      <w:r w:rsidRPr="0030358C">
        <w:rPr>
          <w:rFonts w:ascii="Arial" w:hAnsi="Arial" w:cs="Arial"/>
          <w:bCs/>
          <w:strike/>
          <w:sz w:val="22"/>
          <w:szCs w:val="22"/>
          <w:lang w:eastAsia="zh-CN"/>
        </w:rPr>
        <w:tab/>
        <w:t>musí být vybaveny vnitřní plovoucí střechou s těsněním, které zajistí snížení emisí nejméně o 90 % ve srovnání s emisemi z nádrže s pevnou střechou bez jakýchkoli opatření, nebo</w:t>
      </w:r>
    </w:p>
    <w:p w14:paraId="0B30E432" w14:textId="77777777" w:rsidR="008F52C8" w:rsidRPr="0030358C" w:rsidRDefault="00000000" w:rsidP="008F52C8">
      <w:pPr>
        <w:widowControl w:val="0"/>
        <w:autoSpaceDE w:val="0"/>
        <w:spacing w:after="120"/>
        <w:ind w:left="709" w:hanging="425"/>
        <w:jc w:val="both"/>
        <w:rPr>
          <w:rFonts w:ascii="Arial" w:hAnsi="Arial" w:cs="Arial"/>
          <w:bCs/>
          <w:strike/>
          <w:sz w:val="22"/>
          <w:szCs w:val="22"/>
          <w:lang w:eastAsia="zh-CN"/>
        </w:rPr>
      </w:pPr>
      <w:r w:rsidRPr="0030358C">
        <w:rPr>
          <w:rFonts w:ascii="Arial" w:hAnsi="Arial" w:cs="Arial"/>
          <w:bCs/>
          <w:strike/>
          <w:sz w:val="22"/>
          <w:szCs w:val="22"/>
          <w:lang w:eastAsia="zh-CN"/>
        </w:rPr>
        <w:t>2.2</w:t>
      </w:r>
      <w:r w:rsidRPr="0030358C">
        <w:rPr>
          <w:rFonts w:ascii="Arial" w:hAnsi="Arial" w:cs="Arial"/>
          <w:bCs/>
          <w:strike/>
          <w:sz w:val="22"/>
          <w:szCs w:val="22"/>
          <w:lang w:eastAsia="zh-CN"/>
        </w:rPr>
        <w:tab/>
        <w:t>musí být zajištěno zachycování, zpětné vracení a odstraňování par uvedených kapalin s účinností nejméně 99 %; k dosažení této účinnosti nesmí být použito spalování mimo případy, kdy je zpětné zkapalňování par nebezpečné nebo technicky neproveditelné; spalování smí být použito jako druhý stupeň čištění.</w:t>
      </w:r>
    </w:p>
    <w:p w14:paraId="6DAF18AB"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3.</w:t>
      </w:r>
      <w:r w:rsidRPr="0030358C">
        <w:rPr>
          <w:rFonts w:ascii="Arial" w:hAnsi="Arial" w:cs="Arial"/>
          <w:bCs/>
          <w:strike/>
          <w:sz w:val="22"/>
          <w:szCs w:val="22"/>
          <w:lang w:eastAsia="zh-CN"/>
        </w:rPr>
        <w:tab/>
        <w:t>Nádrže je třeba opatřit vhodnou izolací. V případě, že povrch izolace nádrže nedostatečně odráží sálavé teplo, nebo izolace nebyla provedena, pak i reflexním nátěrem světlého odstínu za účelem snížení objemových změn kapalin v nádržích v důsledku výkyvů venkovní teploty. Pro skladovací nádrže zdrojů o objemu menším než 1 000 m</w:t>
      </w:r>
      <w:r w:rsidRPr="0030358C">
        <w:rPr>
          <w:rFonts w:ascii="Arial" w:hAnsi="Arial" w:cs="Arial"/>
          <w:bCs/>
          <w:strike/>
          <w:sz w:val="22"/>
          <w:szCs w:val="22"/>
          <w:vertAlign w:val="superscript"/>
          <w:lang w:eastAsia="zh-CN"/>
        </w:rPr>
        <w:t>3</w:t>
      </w:r>
      <w:r w:rsidRPr="0030358C">
        <w:rPr>
          <w:rFonts w:ascii="Arial" w:hAnsi="Arial" w:cs="Arial"/>
          <w:bCs/>
          <w:strike/>
          <w:sz w:val="22"/>
          <w:szCs w:val="22"/>
          <w:lang w:eastAsia="zh-CN"/>
        </w:rPr>
        <w:t xml:space="preserve"> nebo pro zdroje s ročním obratem menším než 10 000 m</w:t>
      </w:r>
      <w:r w:rsidRPr="0030358C">
        <w:rPr>
          <w:rFonts w:ascii="Arial" w:hAnsi="Arial" w:cs="Arial"/>
          <w:bCs/>
          <w:strike/>
          <w:sz w:val="22"/>
          <w:szCs w:val="22"/>
          <w:vertAlign w:val="superscript"/>
          <w:lang w:eastAsia="zh-CN"/>
        </w:rPr>
        <w:t>3</w:t>
      </w:r>
      <w:r w:rsidRPr="0030358C">
        <w:rPr>
          <w:rFonts w:ascii="Arial" w:hAnsi="Arial" w:cs="Arial"/>
          <w:bCs/>
          <w:strike/>
          <w:sz w:val="22"/>
          <w:szCs w:val="22"/>
          <w:lang w:eastAsia="zh-CN"/>
        </w:rPr>
        <w:t xml:space="preserve"> platí tato opatření v přiměřeném rozsahu.</w:t>
      </w:r>
    </w:p>
    <w:p w14:paraId="71525566"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4. Při skladování petrochemických výrobků, u nichž může docházet k emisím znečišťujících látek obtěžujících zápachem, využívat opatření ke snižování emisí těchto látek.</w:t>
      </w:r>
    </w:p>
    <w:p w14:paraId="7EA31EDD" w14:textId="77777777" w:rsidR="008F52C8" w:rsidRPr="0030358C" w:rsidRDefault="008F52C8" w:rsidP="008F52C8">
      <w:pPr>
        <w:widowControl w:val="0"/>
        <w:tabs>
          <w:tab w:val="left" w:pos="284"/>
        </w:tabs>
        <w:autoSpaceDE w:val="0"/>
        <w:spacing w:after="120"/>
        <w:jc w:val="both"/>
        <w:rPr>
          <w:rFonts w:ascii="Arial" w:hAnsi="Arial" w:cs="Arial"/>
          <w:b/>
          <w:strike/>
          <w:sz w:val="22"/>
          <w:szCs w:val="22"/>
          <w:lang w:eastAsia="zh-CN"/>
        </w:rPr>
      </w:pPr>
    </w:p>
    <w:p w14:paraId="52E40B61"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b)</w:t>
      </w:r>
      <w:r w:rsidRPr="0030358C">
        <w:rPr>
          <w:rFonts w:ascii="Arial" w:hAnsi="Arial" w:cs="Arial"/>
          <w:bCs/>
          <w:strike/>
          <w:sz w:val="22"/>
          <w:szCs w:val="22"/>
          <w:lang w:eastAsia="zh-CN"/>
        </w:rPr>
        <w:tab/>
        <w:t>Podmínky provozu při přečerpávání látek, které mají tlak par větší než 1,32 kPa při teplotě 293,15 K, zejména při jejich stáčení z mobilních zásobníků nebo při plnění mobilních zásobníků ze skladovacích nádrží:</w:t>
      </w:r>
    </w:p>
    <w:p w14:paraId="11957543"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1. Musí být zajištěno zachycování, zpětné vracení a odstraňování par těchto látek s účinností nejméně 99 %.</w:t>
      </w:r>
    </w:p>
    <w:p w14:paraId="2DC049D5"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2.</w:t>
      </w:r>
      <w:r w:rsidRPr="0030358C">
        <w:rPr>
          <w:rFonts w:ascii="Arial" w:hAnsi="Arial" w:cs="Arial"/>
          <w:bCs/>
          <w:strike/>
          <w:sz w:val="22"/>
          <w:szCs w:val="22"/>
          <w:lang w:eastAsia="zh-CN"/>
        </w:rPr>
        <w:tab/>
        <w:t>Musí být používána čerpadla bez úniku přečerpávaných látek, například s mechanickou ucpávkou.</w:t>
      </w:r>
    </w:p>
    <w:p w14:paraId="44DD3696" w14:textId="77777777" w:rsidR="008F52C8" w:rsidRPr="0030358C" w:rsidRDefault="00000000" w:rsidP="008F52C8">
      <w:pPr>
        <w:widowControl w:val="0"/>
        <w:tabs>
          <w:tab w:val="left" w:pos="284"/>
        </w:tabs>
        <w:autoSpaceDE w:val="0"/>
        <w:spacing w:after="12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lastRenderedPageBreak/>
        <w:t>3.</w:t>
      </w:r>
      <w:r w:rsidRPr="0030358C">
        <w:rPr>
          <w:rFonts w:ascii="Arial" w:hAnsi="Arial" w:cs="Arial"/>
          <w:bCs/>
          <w:strike/>
          <w:sz w:val="22"/>
          <w:szCs w:val="22"/>
          <w:lang w:eastAsia="zh-CN"/>
        </w:rPr>
        <w:tab/>
        <w:t>Manipulační zařízení pro plnění mobilních zásobníků vrchem musí být zajištěno tak, aby konec plnicího potrubí byl během plnění udržován u dna mobilního zásobníku.</w:t>
      </w:r>
    </w:p>
    <w:p w14:paraId="7583F9E5" w14:textId="77777777" w:rsidR="008F52C8" w:rsidRPr="0030358C" w:rsidRDefault="008F52C8" w:rsidP="008F52C8">
      <w:pPr>
        <w:widowControl w:val="0"/>
        <w:spacing w:after="120"/>
        <w:rPr>
          <w:rFonts w:ascii="Arial" w:hAnsi="Arial" w:cs="Arial"/>
          <w:b/>
          <w:bCs/>
          <w:strike/>
          <w:sz w:val="22"/>
          <w:szCs w:val="22"/>
          <w:lang w:eastAsia="zh-CN"/>
        </w:rPr>
      </w:pPr>
    </w:p>
    <w:p w14:paraId="6316CB7D" w14:textId="77777777" w:rsidR="008F52C8" w:rsidRPr="0030358C" w:rsidRDefault="00000000" w:rsidP="008F52C8">
      <w:pPr>
        <w:widowControl w:val="0"/>
        <w:spacing w:after="120"/>
        <w:rPr>
          <w:rFonts w:ascii="Arial" w:hAnsi="Arial" w:cs="Arial"/>
          <w:b/>
          <w:bCs/>
          <w:strike/>
          <w:sz w:val="22"/>
          <w:szCs w:val="22"/>
          <w:lang w:eastAsia="zh-CN"/>
        </w:rPr>
      </w:pPr>
      <w:r w:rsidRPr="0030358C">
        <w:rPr>
          <w:rFonts w:ascii="Arial" w:hAnsi="Arial" w:cs="Arial"/>
          <w:b/>
          <w:bCs/>
          <w:strike/>
          <w:sz w:val="22"/>
          <w:szCs w:val="22"/>
          <w:lang w:eastAsia="zh-CN"/>
        </w:rPr>
        <w:t>6. POTRAVINÁŘSKÝ, DŘOVEZPRACUJÍCÍ A OSTATNÍ PRŮMYSL</w:t>
      </w:r>
    </w:p>
    <w:p w14:paraId="7C8959A4" w14:textId="77777777" w:rsidR="008F52C8" w:rsidRPr="0030358C" w:rsidRDefault="00000000" w:rsidP="008F52C8">
      <w:pPr>
        <w:keepNext/>
        <w:numPr>
          <w:ilvl w:val="2"/>
          <w:numId w:val="0"/>
        </w:numPr>
        <w:tabs>
          <w:tab w:val="num" w:pos="0"/>
        </w:tabs>
        <w:spacing w:before="60"/>
        <w:ind w:left="426" w:hanging="426"/>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6.1 Jatka o celkové projektované kapacitě porážky větší než 50 t denně </w:t>
      </w:r>
      <w:r w:rsidRPr="0030358C">
        <w:rPr>
          <w:rFonts w:ascii="Arial" w:hAnsi="Arial" w:cs="Arial"/>
          <w:bCs/>
          <w:strike/>
          <w:sz w:val="22"/>
          <w:szCs w:val="22"/>
          <w:lang w:eastAsia="zh-CN"/>
        </w:rPr>
        <w:t>(kód 7.1. dle přílohy č. 2 zákona)</w:t>
      </w:r>
    </w:p>
    <w:p w14:paraId="3C40E39C" w14:textId="77777777" w:rsidR="008F52C8" w:rsidRPr="0030358C" w:rsidRDefault="008F52C8" w:rsidP="008F52C8">
      <w:pPr>
        <w:rPr>
          <w:rFonts w:ascii="Arial" w:hAnsi="Arial" w:cs="Arial"/>
          <w:b/>
          <w:strike/>
          <w:sz w:val="22"/>
          <w:szCs w:val="22"/>
          <w:lang w:eastAsia="zh-CN"/>
        </w:rPr>
      </w:pPr>
    </w:p>
    <w:p w14:paraId="2068BB67" w14:textId="77777777" w:rsidR="008F52C8" w:rsidRPr="0030358C" w:rsidRDefault="00000000" w:rsidP="008F52C8">
      <w:pPr>
        <w:keepNext/>
        <w:keepLines/>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6CEA2F30" w14:textId="77777777" w:rsidR="008F52C8" w:rsidRPr="0030358C" w:rsidRDefault="00000000" w:rsidP="008F52C8">
      <w:pPr>
        <w:keepNext/>
        <w:keepLines/>
        <w:jc w:val="both"/>
        <w:rPr>
          <w:rFonts w:ascii="Arial" w:hAnsi="Arial" w:cs="Arial"/>
          <w:bCs/>
          <w:strike/>
          <w:sz w:val="22"/>
          <w:szCs w:val="22"/>
          <w:lang w:eastAsia="zh-CN"/>
        </w:rPr>
      </w:pPr>
      <w:r w:rsidRPr="0030358C">
        <w:rPr>
          <w:rFonts w:ascii="Arial" w:hAnsi="Arial" w:cs="Arial"/>
          <w:bCs/>
          <w:strike/>
          <w:sz w:val="22"/>
          <w:szCs w:val="22"/>
          <w:lang w:eastAsia="zh-CN"/>
        </w:rPr>
        <w:t>Za účelem snížení emisí znečišťujících látek obtěžujících zápachem využívat opatření ke snižování emisí znečišťujících látek, např.: provozovat zařízení k úpravě vedlejších produktů a odpadů, porážkovou linku, vykládku a nahánění v uzavřených prostorách, při vyprazdňování nádrží s krví používat odsávání plynů, zajistit pravidelné čištění zásobníků krve, jímat a odvádět do zařízení na čištění odpadních plynů odpadní plyn ze skladování jatečního odpadu a vedlejších produktů v uzavřených zásobnících, odpadní plyn z výrobních zařízení a ze zařízení k úpravě a skladování vedlejších jatečních produktů a odpadů.</w:t>
      </w:r>
    </w:p>
    <w:p w14:paraId="6F213D4B" w14:textId="77777777" w:rsidR="008F52C8" w:rsidRPr="0030358C" w:rsidRDefault="008F52C8" w:rsidP="008F52C8">
      <w:pPr>
        <w:rPr>
          <w:rFonts w:ascii="Arial" w:hAnsi="Arial" w:cs="Arial"/>
          <w:b/>
          <w:strike/>
          <w:sz w:val="22"/>
          <w:szCs w:val="22"/>
          <w:lang w:eastAsia="zh-CN"/>
        </w:rPr>
      </w:pPr>
    </w:p>
    <w:p w14:paraId="693965FF" w14:textId="77777777" w:rsidR="008F52C8" w:rsidRPr="0030358C" w:rsidRDefault="008F52C8" w:rsidP="008F52C8">
      <w:pPr>
        <w:rPr>
          <w:rFonts w:ascii="Arial" w:hAnsi="Arial" w:cs="Arial"/>
          <w:b/>
          <w:strike/>
          <w:sz w:val="22"/>
          <w:szCs w:val="22"/>
          <w:lang w:eastAsia="zh-CN"/>
        </w:rPr>
      </w:pPr>
    </w:p>
    <w:p w14:paraId="5A0ADC4C" w14:textId="77777777" w:rsidR="008F52C8" w:rsidRPr="0030358C" w:rsidRDefault="00000000" w:rsidP="008F52C8">
      <w:pPr>
        <w:rPr>
          <w:rFonts w:ascii="Arial" w:hAnsi="Arial" w:cs="Arial"/>
          <w:bCs/>
          <w:strike/>
          <w:sz w:val="22"/>
          <w:szCs w:val="22"/>
          <w:lang w:eastAsia="zh-CN"/>
        </w:rPr>
      </w:pPr>
      <w:r w:rsidRPr="0030358C">
        <w:rPr>
          <w:rFonts w:ascii="Arial" w:hAnsi="Arial" w:cs="Arial"/>
          <w:b/>
          <w:strike/>
          <w:sz w:val="22"/>
          <w:szCs w:val="22"/>
          <w:lang w:eastAsia="zh-CN"/>
        </w:rPr>
        <w:t xml:space="preserve">6.2 Zařízení na úpravu a zpracování za účelem výroby potravin nebo krmiv z převážně rostlinných surovin o celkové projektované kapacitě 75 t hotových výrobků denně a vyšší </w:t>
      </w:r>
      <w:r w:rsidRPr="0030358C">
        <w:rPr>
          <w:rFonts w:ascii="Arial" w:hAnsi="Arial" w:cs="Arial"/>
          <w:bCs/>
          <w:strike/>
          <w:sz w:val="22"/>
          <w:szCs w:val="22"/>
          <w:lang w:eastAsia="zh-CN"/>
        </w:rPr>
        <w:t>(kód 7.2. dle přílohy č. 2 zákona)</w:t>
      </w:r>
    </w:p>
    <w:p w14:paraId="6DB248B1" w14:textId="77777777" w:rsidR="008F52C8" w:rsidRPr="0030358C" w:rsidRDefault="008F52C8" w:rsidP="008F52C8">
      <w:pPr>
        <w:keepLines/>
        <w:rPr>
          <w:rFonts w:ascii="Arial" w:hAnsi="Arial" w:cs="Arial"/>
          <w:b/>
          <w:i/>
          <w:strike/>
          <w:sz w:val="22"/>
          <w:szCs w:val="22"/>
          <w:lang w:eastAsia="zh-CN"/>
        </w:rPr>
      </w:pPr>
    </w:p>
    <w:p w14:paraId="6B9B9C85" w14:textId="77777777" w:rsidR="008F52C8" w:rsidRPr="0030358C" w:rsidRDefault="00000000" w:rsidP="008F52C8">
      <w:pPr>
        <w:keepLines/>
        <w:rPr>
          <w:rFonts w:ascii="Arial" w:hAnsi="Arial" w:cs="Arial"/>
          <w:bCs/>
          <w:strike/>
          <w:sz w:val="22"/>
          <w:szCs w:val="22"/>
          <w:lang w:eastAsia="zh-CN"/>
        </w:rPr>
      </w:pPr>
      <w:r w:rsidRPr="0030358C">
        <w:rPr>
          <w:rFonts w:ascii="Arial" w:hAnsi="Arial" w:cs="Arial"/>
          <w:bCs/>
          <w:strike/>
          <w:sz w:val="22"/>
          <w:szCs w:val="22"/>
          <w:lang w:eastAsia="zh-CN"/>
        </w:rPr>
        <w:t>Technické podmínky provozu:</w:t>
      </w:r>
    </w:p>
    <w:p w14:paraId="4BD07BA6" w14:textId="77777777" w:rsidR="008F52C8" w:rsidRPr="0030358C" w:rsidRDefault="00000000" w:rsidP="008F52C8">
      <w:pPr>
        <w:keepLines/>
        <w:numPr>
          <w:ilvl w:val="2"/>
          <w:numId w:val="119"/>
        </w:numPr>
        <w:tabs>
          <w:tab w:val="left" w:pos="284"/>
        </w:tabs>
        <w:suppressAutoHyphens/>
        <w:autoSpaceDE w:val="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 xml:space="preserve">V případě, že dochází k emisi tuhých znečišťujících látek např. při úpravě semen, na úseku sušení, u sila na šrot peletizace a u překládek šrotu apod., odvádět odpadní plyn a využívat zařízení na snižování TZL s účinností alespoň 80%. </w:t>
      </w:r>
    </w:p>
    <w:p w14:paraId="18246759" w14:textId="77777777" w:rsidR="008F52C8" w:rsidRPr="0030358C" w:rsidRDefault="00000000" w:rsidP="008F52C8">
      <w:pPr>
        <w:keepLines/>
        <w:numPr>
          <w:ilvl w:val="2"/>
          <w:numId w:val="119"/>
        </w:numPr>
        <w:tabs>
          <w:tab w:val="left" w:pos="284"/>
        </w:tabs>
        <w:suppressAutoHyphens/>
        <w:autoSpaceDE w:val="0"/>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Při výrobě lihu, olejů a tuků využívat nejlepší dostupná a technicky realizovatelná opatření ke snižování emisí znečišťujících látek obtěžujících zápachem.</w:t>
      </w:r>
    </w:p>
    <w:p w14:paraId="479D8538" w14:textId="77777777" w:rsidR="008F52C8" w:rsidRPr="0030358C" w:rsidRDefault="008F52C8" w:rsidP="008F52C8">
      <w:pPr>
        <w:tabs>
          <w:tab w:val="left" w:pos="284"/>
        </w:tabs>
        <w:autoSpaceDE w:val="0"/>
        <w:ind w:left="284"/>
        <w:jc w:val="both"/>
        <w:rPr>
          <w:rFonts w:ascii="Arial" w:hAnsi="Arial" w:cs="Arial"/>
          <w:b/>
          <w:strike/>
          <w:sz w:val="22"/>
          <w:szCs w:val="22"/>
          <w:lang w:eastAsia="zh-CN"/>
        </w:rPr>
      </w:pPr>
    </w:p>
    <w:p w14:paraId="010C7E8E" w14:textId="77777777" w:rsidR="008F52C8" w:rsidRPr="0030358C" w:rsidRDefault="008F52C8" w:rsidP="008F52C8">
      <w:pPr>
        <w:keepNext/>
        <w:keepLines/>
        <w:tabs>
          <w:tab w:val="left" w:pos="284"/>
        </w:tabs>
        <w:autoSpaceDE w:val="0"/>
        <w:jc w:val="both"/>
        <w:rPr>
          <w:rFonts w:ascii="Arial" w:hAnsi="Arial" w:cs="Arial"/>
          <w:b/>
          <w:strike/>
          <w:sz w:val="22"/>
          <w:szCs w:val="22"/>
          <w:lang w:eastAsia="zh-CN"/>
        </w:rPr>
      </w:pPr>
    </w:p>
    <w:p w14:paraId="575FAC75" w14:textId="77777777" w:rsidR="008F52C8" w:rsidRPr="0030358C" w:rsidRDefault="00000000" w:rsidP="008F52C8">
      <w:pPr>
        <w:keepNext/>
        <w:keepLines/>
        <w:tabs>
          <w:tab w:val="left" w:pos="284"/>
        </w:tabs>
        <w:autoSpaceDE w:val="0"/>
        <w:jc w:val="both"/>
        <w:rPr>
          <w:rFonts w:ascii="Arial" w:hAnsi="Arial" w:cs="Arial"/>
          <w:bCs/>
          <w:strike/>
          <w:sz w:val="22"/>
          <w:szCs w:val="22"/>
          <w:lang w:eastAsia="zh-CN"/>
        </w:rPr>
      </w:pPr>
      <w:r w:rsidRPr="0030358C">
        <w:rPr>
          <w:rFonts w:ascii="Arial" w:hAnsi="Arial" w:cs="Arial"/>
          <w:b/>
          <w:strike/>
          <w:sz w:val="22"/>
          <w:szCs w:val="22"/>
          <w:lang w:eastAsia="zh-CN"/>
        </w:rPr>
        <w:t xml:space="preserve">6.3 Zařízení na úpravu a zpracování za účelem výroby potravin nebo krmiv z převážně živočišných surovin (s výjimkou mléka) o celkové projektované kapacitě 50 t hotových výrobků denně a vyšší </w:t>
      </w:r>
      <w:r w:rsidRPr="0030358C">
        <w:rPr>
          <w:rFonts w:ascii="Arial" w:hAnsi="Arial" w:cs="Arial"/>
          <w:bCs/>
          <w:strike/>
          <w:sz w:val="22"/>
          <w:szCs w:val="22"/>
          <w:lang w:eastAsia="zh-CN"/>
        </w:rPr>
        <w:t>(kód 7.3. dle přílohy č. 2 zákona)</w:t>
      </w:r>
    </w:p>
    <w:p w14:paraId="0C67D80E" w14:textId="77777777" w:rsidR="008F52C8" w:rsidRPr="0030358C" w:rsidRDefault="008F52C8" w:rsidP="008F52C8">
      <w:pPr>
        <w:keepNext/>
        <w:keepLines/>
        <w:rPr>
          <w:rFonts w:ascii="Arial" w:hAnsi="Arial" w:cs="Arial"/>
          <w:b/>
          <w:i/>
          <w:strike/>
          <w:sz w:val="22"/>
          <w:szCs w:val="22"/>
          <w:lang w:eastAsia="zh-CN"/>
        </w:rPr>
      </w:pPr>
    </w:p>
    <w:p w14:paraId="06D83DF9" w14:textId="77777777" w:rsidR="008F52C8" w:rsidRPr="0030358C" w:rsidRDefault="00000000" w:rsidP="008F52C8">
      <w:pPr>
        <w:keepNext/>
        <w:keepLines/>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30CE255E" w14:textId="77777777" w:rsidR="008F52C8" w:rsidRPr="0030358C" w:rsidRDefault="00000000" w:rsidP="008F52C8">
      <w:pPr>
        <w:keepNext/>
        <w:keepLines/>
        <w:tabs>
          <w:tab w:val="left" w:pos="284"/>
        </w:tabs>
        <w:autoSpaceDE w:val="0"/>
        <w:jc w:val="both"/>
        <w:rPr>
          <w:rFonts w:ascii="Arial" w:hAnsi="Arial" w:cs="Arial"/>
          <w:bCs/>
          <w:strike/>
          <w:sz w:val="22"/>
          <w:szCs w:val="22"/>
          <w:lang w:eastAsia="zh-CN"/>
        </w:rPr>
      </w:pPr>
      <w:r w:rsidRPr="0030358C">
        <w:rPr>
          <w:rFonts w:ascii="Arial" w:hAnsi="Arial" w:cs="Arial"/>
          <w:bCs/>
          <w:strike/>
          <w:sz w:val="22"/>
          <w:szCs w:val="22"/>
          <w:lang w:eastAsia="zh-CN"/>
        </w:rPr>
        <w:t xml:space="preserve">Za účelem snížení emisí znečišťujících látek obtěžujících zápachem využívat opatření ke snižování emisí těchto látek, např. surové produkty a meziprodukty skladovat v uzavřených zásobnících a prostorách (popřípadě prostory chladit), jímat a odvádět odpadní plyn z technologických zařízení do zařízení na čištění odpadních plynů. </w:t>
      </w:r>
    </w:p>
    <w:p w14:paraId="6F7C4B8E" w14:textId="77777777" w:rsidR="008F52C8" w:rsidRPr="0030358C" w:rsidRDefault="008F52C8" w:rsidP="008F52C8">
      <w:pPr>
        <w:tabs>
          <w:tab w:val="left" w:pos="284"/>
        </w:tabs>
        <w:autoSpaceDE w:val="0"/>
        <w:jc w:val="both"/>
        <w:rPr>
          <w:rFonts w:ascii="Arial" w:hAnsi="Arial" w:cs="Arial"/>
          <w:b/>
          <w:strike/>
          <w:sz w:val="22"/>
          <w:szCs w:val="22"/>
          <w:lang w:eastAsia="zh-CN"/>
        </w:rPr>
      </w:pPr>
    </w:p>
    <w:p w14:paraId="0E6B8093" w14:textId="77777777" w:rsidR="008F52C8" w:rsidRPr="0030358C" w:rsidRDefault="008F52C8" w:rsidP="008F52C8">
      <w:pPr>
        <w:rPr>
          <w:rFonts w:ascii="Arial" w:hAnsi="Arial" w:cs="Arial"/>
          <w:b/>
          <w:strike/>
          <w:sz w:val="22"/>
          <w:szCs w:val="22"/>
          <w:lang w:eastAsia="zh-CN"/>
        </w:rPr>
      </w:pPr>
    </w:p>
    <w:p w14:paraId="4D302FCA" w14:textId="77777777" w:rsidR="008F52C8" w:rsidRPr="0030358C" w:rsidRDefault="00000000" w:rsidP="008F52C8">
      <w:pPr>
        <w:keepNext/>
        <w:keepLines/>
        <w:tabs>
          <w:tab w:val="left" w:pos="284"/>
        </w:tabs>
        <w:autoSpaceDE w:val="0"/>
        <w:jc w:val="both"/>
        <w:rPr>
          <w:rFonts w:ascii="Arial" w:hAnsi="Arial" w:cs="Arial"/>
          <w:bCs/>
          <w:strike/>
          <w:sz w:val="22"/>
          <w:szCs w:val="22"/>
          <w:lang w:eastAsia="zh-CN"/>
        </w:rPr>
      </w:pPr>
      <w:r w:rsidRPr="0030358C">
        <w:rPr>
          <w:rFonts w:ascii="Arial" w:hAnsi="Arial" w:cs="Arial"/>
          <w:b/>
          <w:strike/>
          <w:sz w:val="22"/>
          <w:szCs w:val="22"/>
          <w:lang w:eastAsia="zh-CN"/>
        </w:rPr>
        <w:t xml:space="preserve">6.4 Pražírny kávy o celkové projektované kapacitě větší než 1 t za den </w:t>
      </w:r>
      <w:r w:rsidRPr="0030358C">
        <w:rPr>
          <w:rFonts w:ascii="Arial" w:hAnsi="Arial" w:cs="Arial"/>
          <w:bCs/>
          <w:strike/>
          <w:sz w:val="22"/>
          <w:szCs w:val="22"/>
          <w:lang w:eastAsia="zh-CN"/>
        </w:rPr>
        <w:t>(kód 7.5. dle přílohy č. 2 zákona)</w:t>
      </w:r>
    </w:p>
    <w:p w14:paraId="4CA62E8D" w14:textId="77777777" w:rsidR="008F52C8" w:rsidRPr="0030358C" w:rsidRDefault="008F52C8" w:rsidP="008F52C8">
      <w:pPr>
        <w:keepNext/>
        <w:keepLines/>
        <w:tabs>
          <w:tab w:val="left" w:pos="284"/>
        </w:tabs>
        <w:autoSpaceDE w:val="0"/>
        <w:jc w:val="both"/>
        <w:rPr>
          <w:rFonts w:ascii="Arial" w:hAnsi="Arial" w:cs="Arial"/>
          <w:b/>
          <w:strike/>
          <w:sz w:val="22"/>
          <w:szCs w:val="22"/>
          <w:lang w:eastAsia="zh-CN"/>
        </w:rPr>
      </w:pPr>
    </w:p>
    <w:p w14:paraId="1E54ACB8" w14:textId="77777777" w:rsidR="008F52C8" w:rsidRPr="0030358C" w:rsidRDefault="00000000" w:rsidP="008F52C8">
      <w:pPr>
        <w:keepNext/>
        <w:keepLines/>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3172CBFD" w14:textId="77777777" w:rsidR="008F52C8" w:rsidRPr="0030358C" w:rsidRDefault="00000000" w:rsidP="008F52C8">
      <w:pPr>
        <w:keepNext/>
        <w:keepLines/>
        <w:jc w:val="both"/>
        <w:rPr>
          <w:rFonts w:ascii="Arial" w:hAnsi="Arial" w:cs="Arial"/>
          <w:bCs/>
          <w:strike/>
          <w:sz w:val="22"/>
          <w:szCs w:val="22"/>
          <w:lang w:eastAsia="zh-CN"/>
        </w:rPr>
      </w:pPr>
      <w:r w:rsidRPr="0030358C">
        <w:rPr>
          <w:rFonts w:ascii="Arial" w:hAnsi="Arial" w:cs="Arial"/>
          <w:bCs/>
          <w:strike/>
          <w:sz w:val="22"/>
          <w:szCs w:val="22"/>
          <w:lang w:eastAsia="zh-CN"/>
        </w:rPr>
        <w:t xml:space="preserve">Snižovat emise tuhých znečišťujících látek a s ohledem na technické možnosti a povahu procesu provádět např.: vykládku materiálu v uzavřených prostorách hal, jímání odpadních plynů v místě vzniku do zařízení ke snižování emisí (u pražících zařízení včetně chladícího vzduchu, vakuových zařízení, sil) apod. </w:t>
      </w:r>
    </w:p>
    <w:p w14:paraId="1C0864C8" w14:textId="77777777" w:rsidR="008F52C8" w:rsidRPr="0030358C" w:rsidRDefault="008F52C8" w:rsidP="008F52C8">
      <w:pPr>
        <w:rPr>
          <w:rFonts w:ascii="Arial" w:hAnsi="Arial" w:cs="Arial"/>
          <w:b/>
          <w:strike/>
          <w:sz w:val="22"/>
          <w:szCs w:val="22"/>
          <w:lang w:eastAsia="zh-CN"/>
        </w:rPr>
      </w:pPr>
    </w:p>
    <w:p w14:paraId="090F0528" w14:textId="77777777" w:rsidR="008F52C8" w:rsidRPr="0030358C" w:rsidRDefault="008F52C8" w:rsidP="008F52C8">
      <w:pPr>
        <w:rPr>
          <w:rFonts w:ascii="Arial" w:hAnsi="Arial" w:cs="Arial"/>
          <w:b/>
          <w:strike/>
          <w:sz w:val="22"/>
          <w:szCs w:val="22"/>
          <w:lang w:eastAsia="zh-CN"/>
        </w:rPr>
      </w:pPr>
    </w:p>
    <w:p w14:paraId="2045815C" w14:textId="77777777" w:rsidR="008F52C8" w:rsidRPr="0030358C" w:rsidRDefault="00000000" w:rsidP="008F52C8">
      <w:pPr>
        <w:keepNext/>
        <w:keepLines/>
        <w:tabs>
          <w:tab w:val="left" w:pos="284"/>
        </w:tabs>
        <w:autoSpaceDE w:val="0"/>
        <w:jc w:val="both"/>
        <w:rPr>
          <w:rFonts w:ascii="Arial" w:hAnsi="Arial" w:cs="Arial"/>
          <w:bCs/>
          <w:strike/>
          <w:sz w:val="22"/>
          <w:szCs w:val="22"/>
          <w:lang w:eastAsia="zh-CN"/>
        </w:rPr>
      </w:pPr>
      <w:r w:rsidRPr="0030358C">
        <w:rPr>
          <w:rFonts w:ascii="Arial" w:hAnsi="Arial" w:cs="Arial"/>
          <w:b/>
          <w:strike/>
          <w:sz w:val="22"/>
          <w:szCs w:val="22"/>
          <w:lang w:eastAsia="zh-CN"/>
        </w:rPr>
        <w:lastRenderedPageBreak/>
        <w:t xml:space="preserve">6.5 Udírny s celkovou projektovanou kapacitou na zpracování  více než 1 t výrobků denně </w:t>
      </w:r>
      <w:r w:rsidRPr="0030358C">
        <w:rPr>
          <w:rFonts w:ascii="Arial" w:hAnsi="Arial" w:cs="Arial"/>
          <w:bCs/>
          <w:strike/>
          <w:sz w:val="22"/>
          <w:szCs w:val="22"/>
          <w:lang w:eastAsia="zh-CN"/>
        </w:rPr>
        <w:t>(kód 7.6. dle přílohy č. 2 zákona)</w:t>
      </w:r>
    </w:p>
    <w:p w14:paraId="2580783F" w14:textId="77777777" w:rsidR="008F52C8" w:rsidRPr="0030358C" w:rsidRDefault="008F52C8" w:rsidP="008F52C8">
      <w:pPr>
        <w:keepNext/>
        <w:keepLines/>
        <w:tabs>
          <w:tab w:val="left" w:pos="284"/>
        </w:tabs>
        <w:autoSpaceDE w:val="0"/>
        <w:jc w:val="both"/>
        <w:rPr>
          <w:rFonts w:ascii="Arial" w:hAnsi="Arial" w:cs="Arial"/>
          <w:b/>
          <w:strike/>
          <w:sz w:val="22"/>
          <w:szCs w:val="22"/>
          <w:lang w:eastAsia="zh-CN"/>
        </w:rPr>
      </w:pPr>
    </w:p>
    <w:p w14:paraId="4C91C9D9" w14:textId="77777777" w:rsidR="008F52C8" w:rsidRPr="0030358C" w:rsidRDefault="00000000" w:rsidP="008F52C8">
      <w:pPr>
        <w:keepNext/>
        <w:keepLines/>
        <w:rPr>
          <w:rFonts w:ascii="Arial" w:hAnsi="Arial" w:cs="Arial"/>
          <w:b/>
          <w:strike/>
          <w:sz w:val="22"/>
          <w:szCs w:val="22"/>
          <w:lang w:eastAsia="zh-CN"/>
        </w:rPr>
      </w:pPr>
      <w:r w:rsidRPr="0030358C">
        <w:rPr>
          <w:rFonts w:ascii="Arial" w:hAnsi="Arial" w:cs="Arial"/>
          <w:b/>
          <w:strike/>
          <w:sz w:val="22"/>
          <w:szCs w:val="22"/>
          <w:lang w:eastAsia="zh-CN"/>
        </w:rPr>
        <w:t>Technická podmínka provozu:</w:t>
      </w:r>
    </w:p>
    <w:p w14:paraId="0FF9762E" w14:textId="77777777" w:rsidR="008F52C8" w:rsidRPr="0030358C" w:rsidRDefault="00000000" w:rsidP="008F52C8">
      <w:pPr>
        <w:keepNext/>
        <w:keepLines/>
        <w:spacing w:before="280" w:after="119"/>
        <w:jc w:val="both"/>
        <w:rPr>
          <w:rFonts w:ascii="Arial" w:hAnsi="Arial" w:cs="Arial"/>
          <w:bCs/>
          <w:strike/>
          <w:sz w:val="22"/>
          <w:szCs w:val="22"/>
          <w:lang w:eastAsia="zh-CN"/>
        </w:rPr>
      </w:pPr>
      <w:r w:rsidRPr="0030358C">
        <w:rPr>
          <w:rFonts w:ascii="Arial" w:hAnsi="Arial" w:cs="Arial"/>
          <w:bCs/>
          <w:strike/>
          <w:sz w:val="22"/>
          <w:szCs w:val="22"/>
          <w:lang w:eastAsia="zh-CN"/>
        </w:rPr>
        <w:t>Za účelem předcházení vzniku emisí znečišťujících látek obtěžujících zápachem a emisí TZL jímat odpadní plyn v místě vzniku a odvádět do zařízení ke snižování emisí, zajistit technicko-organizační opatření ke snížení emisí, např. výrobní odpad skladovat v uzavřených zásobnících, případně prostory chladit atd.</w:t>
      </w:r>
    </w:p>
    <w:p w14:paraId="70378F36" w14:textId="77777777" w:rsidR="008F52C8" w:rsidRPr="0030358C" w:rsidRDefault="008F52C8" w:rsidP="008F52C8">
      <w:pPr>
        <w:keepNext/>
        <w:numPr>
          <w:ilvl w:val="2"/>
          <w:numId w:val="0"/>
        </w:numPr>
        <w:tabs>
          <w:tab w:val="num" w:pos="0"/>
        </w:tabs>
        <w:spacing w:before="60"/>
        <w:ind w:left="720"/>
        <w:jc w:val="both"/>
        <w:outlineLvl w:val="2"/>
        <w:rPr>
          <w:rFonts w:ascii="Arial" w:hAnsi="Arial" w:cs="Arial"/>
          <w:b/>
          <w:strike/>
          <w:sz w:val="22"/>
          <w:szCs w:val="22"/>
          <w:lang w:eastAsia="zh-CN"/>
        </w:rPr>
      </w:pPr>
    </w:p>
    <w:p w14:paraId="1E7DF5EB" w14:textId="77777777" w:rsidR="008F52C8" w:rsidRPr="0030358C" w:rsidRDefault="00000000" w:rsidP="008F52C8">
      <w:pPr>
        <w:keepNext/>
        <w:numPr>
          <w:ilvl w:val="2"/>
          <w:numId w:val="0"/>
        </w:numPr>
        <w:tabs>
          <w:tab w:val="num" w:pos="0"/>
        </w:tabs>
        <w:spacing w:before="60"/>
        <w:jc w:val="both"/>
        <w:outlineLvl w:val="2"/>
        <w:rPr>
          <w:rFonts w:ascii="Arial" w:hAnsi="Arial" w:cs="Arial"/>
          <w:bCs/>
          <w:strike/>
          <w:sz w:val="22"/>
          <w:szCs w:val="22"/>
          <w:lang w:eastAsia="zh-CN"/>
        </w:rPr>
      </w:pPr>
      <w:r w:rsidRPr="0030358C">
        <w:rPr>
          <w:rFonts w:ascii="Arial" w:hAnsi="Arial" w:cs="Arial"/>
          <w:b/>
          <w:strike/>
          <w:sz w:val="22"/>
          <w:szCs w:val="22"/>
          <w:lang w:eastAsia="zh-CN"/>
        </w:rPr>
        <w:t>6.6. Zpracování dřeva, vyjma výroby uvedené pod kódem 7.8., o celkové projektované spotřebě materiálu 150 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 xml:space="preserve"> nebo větší za rok </w:t>
      </w:r>
      <w:r w:rsidRPr="0030358C">
        <w:rPr>
          <w:rFonts w:ascii="Arial" w:hAnsi="Arial" w:cs="Arial"/>
          <w:bCs/>
          <w:strike/>
          <w:sz w:val="22"/>
          <w:szCs w:val="22"/>
          <w:lang w:eastAsia="zh-CN"/>
        </w:rPr>
        <w:t>(kód 7.7. dle přílohy č. 2 zákona)</w:t>
      </w:r>
    </w:p>
    <w:p w14:paraId="614FF00B" w14:textId="77777777" w:rsidR="008F52C8" w:rsidRPr="0030358C" w:rsidRDefault="00000000" w:rsidP="008F52C8">
      <w:pPr>
        <w:spacing w:before="60"/>
        <w:rPr>
          <w:rFonts w:ascii="Arial" w:hAnsi="Arial" w:cs="Arial"/>
          <w:bCs/>
          <w:strike/>
          <w:sz w:val="22"/>
          <w:szCs w:val="22"/>
          <w:lang w:eastAsia="zh-CN"/>
        </w:rPr>
      </w:pPr>
      <w:r w:rsidRPr="0030358C">
        <w:rPr>
          <w:rFonts w:ascii="Arial" w:hAnsi="Arial" w:cs="Arial"/>
          <w:bCs/>
          <w:strike/>
          <w:sz w:val="22"/>
          <w:szCs w:val="22"/>
          <w:lang w:eastAsia="zh-CN"/>
        </w:rPr>
        <w:t>Neplatí pro pilařské provozy v tzv. manipulačních či expedičních skladech (krácení kmenů).</w:t>
      </w:r>
    </w:p>
    <w:p w14:paraId="52B8AE43" w14:textId="77777777" w:rsidR="008F52C8" w:rsidRPr="0030358C" w:rsidRDefault="008F52C8" w:rsidP="008F52C8">
      <w:pPr>
        <w:spacing w:before="60"/>
        <w:rPr>
          <w:rFonts w:ascii="Arial" w:hAnsi="Arial" w:cs="Arial"/>
          <w:b/>
          <w:strike/>
          <w:sz w:val="22"/>
          <w:szCs w:val="22"/>
          <w:lang w:eastAsia="zh-CN"/>
        </w:rPr>
      </w:pPr>
    </w:p>
    <w:tbl>
      <w:tblPr>
        <w:tblW w:w="0" w:type="auto"/>
        <w:tblInd w:w="-15" w:type="dxa"/>
        <w:tblLayout w:type="fixed"/>
        <w:tblLook w:val="0000" w:firstRow="0" w:lastRow="0" w:firstColumn="0" w:lastColumn="0" w:noHBand="0" w:noVBand="0"/>
      </w:tblPr>
      <w:tblGrid>
        <w:gridCol w:w="4224"/>
        <w:gridCol w:w="2977"/>
        <w:gridCol w:w="2997"/>
      </w:tblGrid>
      <w:tr w:rsidR="00E40657" w14:paraId="6D474685" w14:textId="77777777" w:rsidTr="00732453">
        <w:trPr>
          <w:cantSplit/>
          <w:trHeight w:hRule="exact" w:val="340"/>
        </w:trPr>
        <w:tc>
          <w:tcPr>
            <w:tcW w:w="7201" w:type="dxa"/>
            <w:gridSpan w:val="2"/>
            <w:tcBorders>
              <w:top w:val="single" w:sz="4" w:space="0" w:color="000000"/>
              <w:left w:val="single" w:sz="4" w:space="0" w:color="000000"/>
              <w:bottom w:val="single" w:sz="4" w:space="0" w:color="000000"/>
            </w:tcBorders>
            <w:shd w:val="clear" w:color="auto" w:fill="auto"/>
            <w:vAlign w:val="center"/>
          </w:tcPr>
          <w:p w14:paraId="12021922"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9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8AEA31"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BA32ED2" w14:textId="77777777" w:rsidTr="00732453">
        <w:trPr>
          <w:cantSplit/>
          <w:trHeight w:hRule="exact" w:val="558"/>
        </w:trPr>
        <w:tc>
          <w:tcPr>
            <w:tcW w:w="4224" w:type="dxa"/>
            <w:tcBorders>
              <w:left w:val="single" w:sz="4" w:space="0" w:color="000000"/>
              <w:bottom w:val="single" w:sz="4" w:space="0" w:color="000000"/>
            </w:tcBorders>
            <w:shd w:val="clear" w:color="auto" w:fill="auto"/>
            <w:vAlign w:val="center"/>
          </w:tcPr>
          <w:p w14:paraId="62694BBC"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2977" w:type="dxa"/>
            <w:tcBorders>
              <w:left w:val="single" w:sz="4" w:space="0" w:color="000000"/>
              <w:bottom w:val="single" w:sz="4" w:space="0" w:color="000000"/>
            </w:tcBorders>
            <w:shd w:val="clear" w:color="auto" w:fill="auto"/>
            <w:vAlign w:val="center"/>
          </w:tcPr>
          <w:p w14:paraId="7C8B490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TOC</w:t>
            </w:r>
            <w:r w:rsidRPr="0030358C">
              <w:rPr>
                <w:rFonts w:ascii="Arial" w:hAnsi="Arial" w:cs="Arial"/>
                <w:b/>
                <w:strike/>
                <w:sz w:val="22"/>
                <w:szCs w:val="22"/>
                <w:vertAlign w:val="superscript"/>
                <w:lang w:eastAsia="zh-CN"/>
              </w:rPr>
              <w:t>2)</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7D9AAA" w14:textId="77777777" w:rsidR="008F52C8" w:rsidRPr="0030358C" w:rsidRDefault="008F52C8" w:rsidP="00732453">
            <w:pPr>
              <w:snapToGrid w:val="0"/>
              <w:rPr>
                <w:rFonts w:ascii="Arial" w:hAnsi="Arial" w:cs="Arial"/>
                <w:b/>
                <w:strike/>
                <w:sz w:val="22"/>
                <w:szCs w:val="22"/>
                <w:lang w:eastAsia="zh-CN"/>
              </w:rPr>
            </w:pPr>
          </w:p>
        </w:tc>
      </w:tr>
      <w:tr w:rsidR="00E40657" w14:paraId="7329F53B" w14:textId="77777777" w:rsidTr="00732453">
        <w:trPr>
          <w:trHeight w:hRule="exact" w:val="830"/>
        </w:trPr>
        <w:tc>
          <w:tcPr>
            <w:tcW w:w="4224" w:type="dxa"/>
            <w:tcBorders>
              <w:left w:val="single" w:sz="4" w:space="0" w:color="000000"/>
              <w:bottom w:val="single" w:sz="4" w:space="0" w:color="000000"/>
            </w:tcBorders>
            <w:shd w:val="clear" w:color="auto" w:fill="auto"/>
            <w:vAlign w:val="center"/>
          </w:tcPr>
          <w:p w14:paraId="5E47F791"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w:t>
            </w:r>
          </w:p>
          <w:p w14:paraId="09F1683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1)</w:t>
            </w:r>
          </w:p>
        </w:tc>
        <w:tc>
          <w:tcPr>
            <w:tcW w:w="2977" w:type="dxa"/>
            <w:tcBorders>
              <w:left w:val="single" w:sz="4" w:space="0" w:color="000000"/>
              <w:bottom w:val="single" w:sz="4" w:space="0" w:color="000000"/>
            </w:tcBorders>
            <w:shd w:val="clear" w:color="auto" w:fill="auto"/>
            <w:vAlign w:val="center"/>
          </w:tcPr>
          <w:p w14:paraId="0D38E1F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250</w:t>
            </w:r>
          </w:p>
        </w:tc>
        <w:tc>
          <w:tcPr>
            <w:tcW w:w="2997" w:type="dxa"/>
            <w:tcBorders>
              <w:left w:val="single" w:sz="4" w:space="0" w:color="000000"/>
              <w:bottom w:val="single" w:sz="4" w:space="0" w:color="000000"/>
              <w:right w:val="single" w:sz="4" w:space="0" w:color="000000"/>
            </w:tcBorders>
            <w:shd w:val="clear" w:color="auto" w:fill="auto"/>
            <w:vAlign w:val="center"/>
          </w:tcPr>
          <w:p w14:paraId="5A40EF6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082E4C18"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r w:rsidRPr="0030358C">
              <w:rPr>
                <w:rFonts w:ascii="Arial" w:hAnsi="Arial" w:cs="Arial"/>
                <w:bCs/>
                <w:strike/>
                <w:sz w:val="22"/>
                <w:szCs w:val="22"/>
                <w:vertAlign w:val="superscript"/>
                <w:lang w:eastAsia="zh-CN"/>
              </w:rPr>
              <w:t>2)</w:t>
            </w:r>
          </w:p>
        </w:tc>
      </w:tr>
    </w:tbl>
    <w:p w14:paraId="2BB1C156" w14:textId="77777777" w:rsidR="008F52C8" w:rsidRPr="0030358C" w:rsidRDefault="00000000" w:rsidP="008F52C8">
      <w:pPr>
        <w:widowControl w:val="0"/>
        <w:autoSpaceDE w:val="0"/>
        <w:spacing w:before="120"/>
        <w:jc w:val="both"/>
        <w:rPr>
          <w:rFonts w:ascii="Arial" w:hAnsi="Arial" w:cs="Arial"/>
          <w:bCs/>
          <w:iCs/>
          <w:strike/>
          <w:sz w:val="22"/>
          <w:szCs w:val="22"/>
          <w:lang w:eastAsia="zh-CN"/>
        </w:rPr>
      </w:pPr>
      <w:r w:rsidRPr="0030358C">
        <w:rPr>
          <w:rFonts w:ascii="Arial" w:hAnsi="Arial" w:cs="Arial"/>
          <w:bCs/>
          <w:strike/>
          <w:sz w:val="22"/>
          <w:szCs w:val="22"/>
          <w:lang w:eastAsia="zh-CN"/>
        </w:rPr>
        <w:t>Vysvětlivky</w:t>
      </w:r>
      <w:r w:rsidRPr="0030358C">
        <w:rPr>
          <w:rFonts w:ascii="Arial" w:hAnsi="Arial" w:cs="Arial"/>
          <w:bCs/>
          <w:iCs/>
          <w:strike/>
          <w:sz w:val="22"/>
          <w:szCs w:val="22"/>
          <w:lang w:eastAsia="zh-CN"/>
        </w:rPr>
        <w:t>:</w:t>
      </w:r>
    </w:p>
    <w:p w14:paraId="5D52BF1B" w14:textId="77777777" w:rsidR="008F52C8" w:rsidRPr="0030358C" w:rsidRDefault="00000000" w:rsidP="008F52C8">
      <w:pPr>
        <w:widowControl w:val="0"/>
        <w:tabs>
          <w:tab w:val="left" w:pos="284"/>
        </w:tabs>
        <w:autoSpaceDE w:val="0"/>
        <w:jc w:val="both"/>
        <w:rPr>
          <w:rFonts w:ascii="Arial" w:hAnsi="Arial" w:cs="Arial"/>
          <w:bCs/>
          <w:iCs/>
          <w:strike/>
          <w:sz w:val="22"/>
          <w:szCs w:val="22"/>
          <w:lang w:eastAsia="zh-CN"/>
        </w:rPr>
      </w:pPr>
      <w:r w:rsidRPr="0030358C">
        <w:rPr>
          <w:rFonts w:ascii="Arial" w:hAnsi="Arial" w:cs="Arial"/>
          <w:bCs/>
          <w:iCs/>
          <w:strike/>
          <w:sz w:val="22"/>
          <w:szCs w:val="22"/>
          <w:lang w:eastAsia="zh-CN"/>
        </w:rPr>
        <w:t>1) Platí pro broušení.</w:t>
      </w:r>
    </w:p>
    <w:p w14:paraId="4A7A57DC" w14:textId="77777777" w:rsidR="008F52C8" w:rsidRPr="0030358C" w:rsidRDefault="00000000" w:rsidP="008F52C8">
      <w:pPr>
        <w:widowControl w:val="0"/>
        <w:tabs>
          <w:tab w:val="left" w:pos="284"/>
        </w:tabs>
        <w:autoSpaceDE w:val="0"/>
        <w:jc w:val="both"/>
        <w:rPr>
          <w:rFonts w:ascii="Arial" w:hAnsi="Arial" w:cs="Arial"/>
          <w:bCs/>
          <w:iCs/>
          <w:strike/>
          <w:sz w:val="22"/>
          <w:szCs w:val="22"/>
          <w:lang w:eastAsia="zh-CN"/>
        </w:rPr>
      </w:pPr>
      <w:r w:rsidRPr="0030358C">
        <w:rPr>
          <w:rFonts w:ascii="Arial" w:hAnsi="Arial" w:cs="Arial"/>
          <w:bCs/>
          <w:iCs/>
          <w:strike/>
          <w:sz w:val="22"/>
          <w:szCs w:val="22"/>
          <w:lang w:eastAsia="zh-CN"/>
        </w:rPr>
        <w:t xml:space="preserve">2) Platí pro sušení třísek a dřevních vláken. </w:t>
      </w:r>
    </w:p>
    <w:p w14:paraId="52895FB9"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7B2A1D03" w14:textId="77777777" w:rsidR="008F52C8" w:rsidRPr="0030358C" w:rsidRDefault="00000000" w:rsidP="008F52C8">
      <w:pPr>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19A7F002" w14:textId="77777777" w:rsidR="008F52C8" w:rsidRPr="0030358C" w:rsidRDefault="00000000" w:rsidP="008F52C8">
      <w:pPr>
        <w:ind w:left="284" w:hanging="284"/>
        <w:jc w:val="both"/>
        <w:rPr>
          <w:rFonts w:ascii="Arial" w:hAnsi="Arial" w:cs="Arial"/>
          <w:bCs/>
          <w:iCs/>
          <w:strike/>
          <w:sz w:val="22"/>
          <w:szCs w:val="22"/>
          <w:lang w:eastAsia="zh-CN"/>
        </w:rPr>
      </w:pPr>
      <w:r w:rsidRPr="0030358C">
        <w:rPr>
          <w:rFonts w:ascii="Arial" w:hAnsi="Arial" w:cs="Arial"/>
          <w:bCs/>
          <w:strike/>
          <w:sz w:val="22"/>
          <w:szCs w:val="22"/>
          <w:lang w:eastAsia="zh-CN"/>
        </w:rPr>
        <w:t>Teplota při sušení třísek a pilin musí být omezena tak, aby nedocházelo k jejich doutnání.</w:t>
      </w:r>
    </w:p>
    <w:p w14:paraId="5AAF3033"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0DD90C91" w14:textId="77777777" w:rsidR="008F52C8" w:rsidRPr="0030358C" w:rsidRDefault="008F52C8" w:rsidP="008F52C8">
      <w:pPr>
        <w:rPr>
          <w:rFonts w:ascii="Arial" w:hAnsi="Arial" w:cs="Arial"/>
          <w:b/>
          <w:strike/>
          <w:sz w:val="22"/>
          <w:szCs w:val="22"/>
          <w:lang w:eastAsia="zh-CN"/>
        </w:rPr>
      </w:pPr>
    </w:p>
    <w:p w14:paraId="5AC3C9B3" w14:textId="77777777" w:rsidR="008F52C8" w:rsidRPr="0030358C" w:rsidRDefault="00000000" w:rsidP="008F52C8">
      <w:pPr>
        <w:keepNext/>
        <w:numPr>
          <w:ilvl w:val="2"/>
          <w:numId w:val="0"/>
        </w:numPr>
        <w:tabs>
          <w:tab w:val="num" w:pos="0"/>
        </w:tabs>
        <w:spacing w:before="60"/>
        <w:jc w:val="both"/>
        <w:outlineLvl w:val="2"/>
        <w:rPr>
          <w:rFonts w:ascii="Arial" w:hAnsi="Arial" w:cs="Arial"/>
          <w:b/>
          <w:strike/>
          <w:sz w:val="22"/>
          <w:szCs w:val="22"/>
          <w:lang w:eastAsia="zh-CN"/>
        </w:rPr>
      </w:pPr>
      <w:r w:rsidRPr="0030358C">
        <w:rPr>
          <w:rFonts w:ascii="Arial" w:hAnsi="Arial" w:cs="Arial"/>
          <w:b/>
          <w:strike/>
          <w:sz w:val="22"/>
          <w:szCs w:val="22"/>
          <w:lang w:eastAsia="zh-CN"/>
        </w:rPr>
        <w:t>6.7. Výroba dřevotřískových, dřevovláknitých a OSB desek o celkové projektované roční kapacitě větší než 150 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 xml:space="preserve"> včetně </w:t>
      </w:r>
      <w:r w:rsidRPr="0030358C">
        <w:rPr>
          <w:rFonts w:ascii="Arial" w:hAnsi="Arial" w:cs="Arial"/>
          <w:bCs/>
          <w:strike/>
          <w:sz w:val="22"/>
          <w:szCs w:val="22"/>
          <w:lang w:eastAsia="zh-CN"/>
        </w:rPr>
        <w:t>(kód 7.8. dle přílohy č. 2 zákona)</w:t>
      </w:r>
    </w:p>
    <w:tbl>
      <w:tblPr>
        <w:tblW w:w="0" w:type="auto"/>
        <w:tblInd w:w="-118" w:type="dxa"/>
        <w:tblLayout w:type="fixed"/>
        <w:tblCellMar>
          <w:left w:w="0" w:type="dxa"/>
          <w:right w:w="0" w:type="dxa"/>
        </w:tblCellMar>
        <w:tblLook w:val="0000" w:firstRow="0" w:lastRow="0" w:firstColumn="0" w:lastColumn="0" w:noHBand="0" w:noVBand="0"/>
      </w:tblPr>
      <w:tblGrid>
        <w:gridCol w:w="2266"/>
        <w:gridCol w:w="2417"/>
        <w:gridCol w:w="2040"/>
        <w:gridCol w:w="2047"/>
        <w:gridCol w:w="51"/>
      </w:tblGrid>
      <w:tr w:rsidR="00E40657" w14:paraId="591CFD53" w14:textId="77777777" w:rsidTr="00732453">
        <w:trPr>
          <w:cantSplit/>
          <w:trHeight w:hRule="exact" w:val="371"/>
        </w:trPr>
        <w:tc>
          <w:tcPr>
            <w:tcW w:w="6723" w:type="dxa"/>
            <w:gridSpan w:val="3"/>
            <w:tcBorders>
              <w:top w:val="single" w:sz="4" w:space="0" w:color="000000"/>
              <w:left w:val="single" w:sz="4" w:space="0" w:color="000000"/>
              <w:bottom w:val="single" w:sz="4" w:space="0" w:color="000000"/>
            </w:tcBorders>
            <w:shd w:val="clear" w:color="auto" w:fill="auto"/>
            <w:vAlign w:val="center"/>
          </w:tcPr>
          <w:p w14:paraId="241DCC9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047" w:type="dxa"/>
            <w:vMerge w:val="restart"/>
            <w:tcBorders>
              <w:top w:val="single" w:sz="4" w:space="0" w:color="000000"/>
              <w:left w:val="single" w:sz="4" w:space="0" w:color="000000"/>
              <w:bottom w:val="single" w:sz="4" w:space="0" w:color="000000"/>
            </w:tcBorders>
            <w:shd w:val="clear" w:color="auto" w:fill="auto"/>
            <w:vAlign w:val="center"/>
          </w:tcPr>
          <w:p w14:paraId="263F952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c>
          <w:tcPr>
            <w:tcW w:w="51" w:type="dxa"/>
            <w:tcBorders>
              <w:left w:val="single" w:sz="4" w:space="0" w:color="000000"/>
            </w:tcBorders>
            <w:shd w:val="clear" w:color="auto" w:fill="auto"/>
          </w:tcPr>
          <w:p w14:paraId="7049C525" w14:textId="77777777" w:rsidR="008F52C8" w:rsidRPr="0030358C" w:rsidRDefault="008F52C8" w:rsidP="00732453">
            <w:pPr>
              <w:snapToGrid w:val="0"/>
              <w:rPr>
                <w:rFonts w:ascii="Arial" w:hAnsi="Arial" w:cs="Arial"/>
                <w:b/>
                <w:strike/>
                <w:sz w:val="22"/>
                <w:szCs w:val="22"/>
                <w:lang w:eastAsia="zh-CN"/>
              </w:rPr>
            </w:pPr>
          </w:p>
        </w:tc>
      </w:tr>
      <w:tr w:rsidR="00E40657" w14:paraId="352E66B4" w14:textId="77777777" w:rsidTr="00732453">
        <w:trPr>
          <w:cantSplit/>
          <w:trHeight w:hRule="exact" w:val="609"/>
        </w:trPr>
        <w:tc>
          <w:tcPr>
            <w:tcW w:w="2266" w:type="dxa"/>
            <w:tcBorders>
              <w:left w:val="single" w:sz="4" w:space="0" w:color="000000"/>
              <w:bottom w:val="single" w:sz="4" w:space="0" w:color="000000"/>
            </w:tcBorders>
            <w:shd w:val="clear" w:color="auto" w:fill="auto"/>
            <w:vAlign w:val="center"/>
          </w:tcPr>
          <w:p w14:paraId="482F2DB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2417" w:type="dxa"/>
            <w:tcBorders>
              <w:left w:val="single" w:sz="4" w:space="0" w:color="000000"/>
              <w:bottom w:val="single" w:sz="4" w:space="0" w:color="000000"/>
            </w:tcBorders>
            <w:shd w:val="clear" w:color="auto" w:fill="auto"/>
            <w:vAlign w:val="center"/>
          </w:tcPr>
          <w:p w14:paraId="54FAD4FF" w14:textId="77777777" w:rsidR="008F52C8" w:rsidRPr="0030358C" w:rsidRDefault="00000000" w:rsidP="00732453">
            <w:pPr>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TOC</w:t>
            </w:r>
            <w:r w:rsidRPr="0030358C">
              <w:rPr>
                <w:rFonts w:ascii="Arial" w:hAnsi="Arial" w:cs="Arial"/>
                <w:b/>
                <w:strike/>
                <w:sz w:val="22"/>
                <w:szCs w:val="22"/>
                <w:vertAlign w:val="superscript"/>
                <w:lang w:eastAsia="zh-CN"/>
              </w:rPr>
              <w:t>2)</w:t>
            </w:r>
          </w:p>
        </w:tc>
        <w:tc>
          <w:tcPr>
            <w:tcW w:w="2040" w:type="dxa"/>
            <w:tcBorders>
              <w:left w:val="single" w:sz="4" w:space="0" w:color="000000"/>
              <w:bottom w:val="single" w:sz="4" w:space="0" w:color="000000"/>
            </w:tcBorders>
            <w:shd w:val="clear" w:color="auto" w:fill="auto"/>
            <w:vAlign w:val="center"/>
          </w:tcPr>
          <w:p w14:paraId="35CA27F5" w14:textId="77777777" w:rsidR="008F52C8" w:rsidRPr="0030358C" w:rsidRDefault="00000000" w:rsidP="00732453">
            <w:pPr>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Formaldehyd</w:t>
            </w:r>
            <w:r w:rsidRPr="0030358C">
              <w:rPr>
                <w:rFonts w:ascii="Arial" w:hAnsi="Arial" w:cs="Arial"/>
                <w:b/>
                <w:strike/>
                <w:sz w:val="22"/>
                <w:szCs w:val="22"/>
                <w:vertAlign w:val="superscript"/>
                <w:lang w:eastAsia="zh-CN"/>
              </w:rPr>
              <w:t>3)</w:t>
            </w:r>
          </w:p>
        </w:tc>
        <w:tc>
          <w:tcPr>
            <w:tcW w:w="2047" w:type="dxa"/>
            <w:vMerge/>
            <w:tcBorders>
              <w:top w:val="single" w:sz="4" w:space="0" w:color="000000"/>
              <w:left w:val="single" w:sz="4" w:space="0" w:color="000000"/>
              <w:bottom w:val="single" w:sz="4" w:space="0" w:color="000000"/>
            </w:tcBorders>
            <w:shd w:val="clear" w:color="auto" w:fill="auto"/>
            <w:vAlign w:val="center"/>
          </w:tcPr>
          <w:p w14:paraId="276BBC5F" w14:textId="77777777" w:rsidR="008F52C8" w:rsidRPr="0030358C" w:rsidRDefault="008F52C8" w:rsidP="00732453">
            <w:pPr>
              <w:snapToGrid w:val="0"/>
              <w:rPr>
                <w:rFonts w:ascii="Arial" w:hAnsi="Arial" w:cs="Arial"/>
                <w:b/>
                <w:strike/>
                <w:sz w:val="22"/>
                <w:szCs w:val="22"/>
                <w:lang w:eastAsia="zh-CN"/>
              </w:rPr>
            </w:pPr>
          </w:p>
        </w:tc>
        <w:tc>
          <w:tcPr>
            <w:tcW w:w="51" w:type="dxa"/>
            <w:tcBorders>
              <w:left w:val="single" w:sz="4" w:space="0" w:color="000000"/>
            </w:tcBorders>
            <w:shd w:val="clear" w:color="auto" w:fill="auto"/>
          </w:tcPr>
          <w:p w14:paraId="6B263E3C" w14:textId="77777777" w:rsidR="008F52C8" w:rsidRPr="0030358C" w:rsidRDefault="008F52C8" w:rsidP="00732453">
            <w:pPr>
              <w:snapToGrid w:val="0"/>
              <w:rPr>
                <w:rFonts w:ascii="Arial" w:hAnsi="Arial" w:cs="Arial"/>
                <w:b/>
                <w:strike/>
                <w:sz w:val="22"/>
                <w:szCs w:val="22"/>
                <w:lang w:eastAsia="zh-CN"/>
              </w:rPr>
            </w:pPr>
          </w:p>
        </w:tc>
      </w:tr>
      <w:tr w:rsidR="00E40657" w14:paraId="727B6160" w14:textId="77777777" w:rsidTr="00732453">
        <w:trPr>
          <w:trHeight w:hRule="exact" w:val="1438"/>
        </w:trPr>
        <w:tc>
          <w:tcPr>
            <w:tcW w:w="2266" w:type="dxa"/>
            <w:tcBorders>
              <w:left w:val="single" w:sz="4" w:space="0" w:color="000000"/>
              <w:bottom w:val="single" w:sz="4" w:space="0" w:color="000000"/>
            </w:tcBorders>
            <w:shd w:val="clear" w:color="auto" w:fill="auto"/>
            <w:vAlign w:val="center"/>
          </w:tcPr>
          <w:p w14:paraId="5026D83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30</w:t>
            </w:r>
          </w:p>
          <w:p w14:paraId="7D42759F"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w:t>
            </w:r>
            <w:r w:rsidRPr="0030358C">
              <w:rPr>
                <w:rFonts w:ascii="Arial" w:hAnsi="Arial" w:cs="Arial"/>
                <w:bCs/>
                <w:strike/>
                <w:sz w:val="22"/>
                <w:szCs w:val="22"/>
                <w:vertAlign w:val="superscript"/>
                <w:lang w:eastAsia="zh-CN"/>
              </w:rPr>
              <w:t>1)</w:t>
            </w:r>
          </w:p>
        </w:tc>
        <w:tc>
          <w:tcPr>
            <w:tcW w:w="2417" w:type="dxa"/>
            <w:tcBorders>
              <w:left w:val="single" w:sz="4" w:space="0" w:color="000000"/>
              <w:bottom w:val="single" w:sz="4" w:space="0" w:color="000000"/>
            </w:tcBorders>
            <w:shd w:val="clear" w:color="auto" w:fill="auto"/>
            <w:vAlign w:val="center"/>
          </w:tcPr>
          <w:p w14:paraId="79A75051" w14:textId="77777777" w:rsidR="008F52C8" w:rsidRPr="0030358C" w:rsidRDefault="008F52C8" w:rsidP="00732453">
            <w:pPr>
              <w:snapToGrid w:val="0"/>
              <w:jc w:val="center"/>
              <w:rPr>
                <w:rFonts w:ascii="Arial" w:hAnsi="Arial" w:cs="Arial"/>
                <w:bCs/>
                <w:strike/>
                <w:sz w:val="22"/>
                <w:szCs w:val="22"/>
                <w:lang w:eastAsia="zh-CN"/>
              </w:rPr>
            </w:pPr>
          </w:p>
          <w:p w14:paraId="22C1217F"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 xml:space="preserve">  250</w:t>
            </w:r>
          </w:p>
          <w:p w14:paraId="662ED888" w14:textId="77777777" w:rsidR="008F52C8" w:rsidRPr="0030358C" w:rsidRDefault="008F52C8" w:rsidP="00732453">
            <w:pPr>
              <w:snapToGrid w:val="0"/>
              <w:jc w:val="center"/>
              <w:rPr>
                <w:rFonts w:ascii="Arial" w:hAnsi="Arial" w:cs="Arial"/>
                <w:bCs/>
                <w:strike/>
                <w:sz w:val="22"/>
                <w:szCs w:val="22"/>
                <w:vertAlign w:val="superscript"/>
                <w:lang w:eastAsia="zh-CN"/>
              </w:rPr>
            </w:pPr>
          </w:p>
        </w:tc>
        <w:tc>
          <w:tcPr>
            <w:tcW w:w="2040" w:type="dxa"/>
            <w:tcBorders>
              <w:left w:val="single" w:sz="4" w:space="0" w:color="000000"/>
              <w:bottom w:val="single" w:sz="4" w:space="0" w:color="000000"/>
            </w:tcBorders>
            <w:shd w:val="clear" w:color="auto" w:fill="auto"/>
            <w:vAlign w:val="center"/>
          </w:tcPr>
          <w:p w14:paraId="2E35B99E"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15</w:t>
            </w:r>
          </w:p>
        </w:tc>
        <w:tc>
          <w:tcPr>
            <w:tcW w:w="2047" w:type="dxa"/>
            <w:tcBorders>
              <w:left w:val="single" w:sz="4" w:space="0" w:color="000000"/>
              <w:bottom w:val="single" w:sz="4" w:space="0" w:color="000000"/>
            </w:tcBorders>
            <w:shd w:val="clear" w:color="auto" w:fill="auto"/>
            <w:vAlign w:val="center"/>
          </w:tcPr>
          <w:p w14:paraId="5E1E9E9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57B5F50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r w:rsidRPr="0030358C">
              <w:rPr>
                <w:rFonts w:ascii="Arial" w:hAnsi="Arial" w:cs="Arial"/>
                <w:bCs/>
                <w:strike/>
                <w:sz w:val="22"/>
                <w:szCs w:val="22"/>
                <w:vertAlign w:val="superscript"/>
                <w:lang w:eastAsia="zh-CN"/>
              </w:rPr>
              <w:t>2)</w:t>
            </w:r>
          </w:p>
          <w:p w14:paraId="7A869510"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4)</w:t>
            </w:r>
          </w:p>
        </w:tc>
        <w:tc>
          <w:tcPr>
            <w:tcW w:w="51" w:type="dxa"/>
            <w:tcBorders>
              <w:left w:val="single" w:sz="4" w:space="0" w:color="000000"/>
            </w:tcBorders>
            <w:shd w:val="clear" w:color="auto" w:fill="auto"/>
          </w:tcPr>
          <w:p w14:paraId="18118080" w14:textId="77777777" w:rsidR="008F52C8" w:rsidRPr="0030358C" w:rsidRDefault="008F52C8" w:rsidP="00732453">
            <w:pPr>
              <w:snapToGrid w:val="0"/>
              <w:rPr>
                <w:rFonts w:ascii="Arial" w:hAnsi="Arial" w:cs="Arial"/>
                <w:b/>
                <w:strike/>
                <w:sz w:val="22"/>
                <w:szCs w:val="22"/>
                <w:lang w:eastAsia="zh-CN"/>
              </w:rPr>
            </w:pPr>
          </w:p>
        </w:tc>
      </w:tr>
    </w:tbl>
    <w:p w14:paraId="02538688" w14:textId="77777777" w:rsidR="008F52C8" w:rsidRPr="0030358C" w:rsidRDefault="00000000" w:rsidP="008F52C8">
      <w:pPr>
        <w:widowControl w:val="0"/>
        <w:autoSpaceDE w:val="0"/>
        <w:spacing w:before="120"/>
        <w:jc w:val="both"/>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595CBD30" w14:textId="77777777" w:rsidR="008F52C8" w:rsidRPr="0030358C" w:rsidRDefault="00000000" w:rsidP="008F52C8">
      <w:pPr>
        <w:widowControl w:val="0"/>
        <w:tabs>
          <w:tab w:val="left" w:pos="28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1) Platí pro broušení.</w:t>
      </w:r>
    </w:p>
    <w:p w14:paraId="55D2B39A" w14:textId="77777777" w:rsidR="008F52C8" w:rsidRPr="0030358C" w:rsidRDefault="00000000" w:rsidP="008F52C8">
      <w:pPr>
        <w:widowControl w:val="0"/>
        <w:tabs>
          <w:tab w:val="left" w:pos="28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 xml:space="preserve">2) Platí pro sušení třísek a dřevních vláken. </w:t>
      </w:r>
    </w:p>
    <w:p w14:paraId="0F4111A3" w14:textId="77777777" w:rsidR="008F52C8" w:rsidRPr="0030358C" w:rsidRDefault="00000000" w:rsidP="008F52C8">
      <w:pPr>
        <w:widowControl w:val="0"/>
        <w:tabs>
          <w:tab w:val="left" w:pos="284"/>
        </w:tabs>
        <w:autoSpaceDE w:val="0"/>
        <w:jc w:val="both"/>
        <w:rPr>
          <w:rFonts w:ascii="Arial" w:hAnsi="Arial" w:cs="Arial"/>
          <w:iCs/>
          <w:strike/>
          <w:sz w:val="22"/>
          <w:szCs w:val="22"/>
          <w:lang w:eastAsia="zh-CN"/>
        </w:rPr>
      </w:pPr>
      <w:r w:rsidRPr="0030358C">
        <w:rPr>
          <w:rFonts w:ascii="Arial" w:hAnsi="Arial" w:cs="Arial"/>
          <w:iCs/>
          <w:strike/>
          <w:sz w:val="22"/>
          <w:szCs w:val="22"/>
          <w:lang w:eastAsia="zh-CN"/>
        </w:rPr>
        <w:t xml:space="preserve">3) Platí pro lisování dřevotřískových, dřevovláknitých a OSB desek, kde je využíváno pryskyřic na bázi formaldehydu. </w:t>
      </w:r>
    </w:p>
    <w:p w14:paraId="4E4E42E6" w14:textId="77777777" w:rsidR="008F52C8" w:rsidRPr="0030358C" w:rsidRDefault="00000000" w:rsidP="008F52C8">
      <w:pPr>
        <w:widowControl w:val="0"/>
        <w:tabs>
          <w:tab w:val="left" w:pos="284"/>
        </w:tabs>
        <w:autoSpaceDE w:val="0"/>
        <w:jc w:val="both"/>
        <w:rPr>
          <w:rFonts w:ascii="Arial" w:hAnsi="Arial" w:cs="Arial"/>
          <w:strike/>
          <w:sz w:val="22"/>
          <w:szCs w:val="22"/>
          <w:lang w:eastAsia="zh-CN"/>
        </w:rPr>
      </w:pPr>
      <w:r w:rsidRPr="0030358C">
        <w:rPr>
          <w:rFonts w:ascii="Arial" w:hAnsi="Arial" w:cs="Arial"/>
          <w:strike/>
          <w:sz w:val="22"/>
          <w:szCs w:val="22"/>
          <w:lang w:eastAsia="zh-CN"/>
        </w:rPr>
        <w:t>4) Platí při výrobní kapacitě větší než 600 m</w:t>
      </w:r>
      <w:r w:rsidRPr="0030358C">
        <w:rPr>
          <w:rFonts w:ascii="Arial" w:hAnsi="Arial" w:cs="Arial"/>
          <w:strike/>
          <w:sz w:val="22"/>
          <w:szCs w:val="22"/>
          <w:vertAlign w:val="superscript"/>
          <w:lang w:eastAsia="zh-CN"/>
        </w:rPr>
        <w:t>3</w:t>
      </w:r>
      <w:r w:rsidRPr="0030358C">
        <w:rPr>
          <w:rFonts w:ascii="Arial" w:hAnsi="Arial" w:cs="Arial"/>
          <w:strike/>
          <w:sz w:val="22"/>
          <w:szCs w:val="22"/>
          <w:lang w:eastAsia="zh-CN"/>
        </w:rPr>
        <w:t xml:space="preserve">/den. </w:t>
      </w:r>
    </w:p>
    <w:p w14:paraId="2B696399" w14:textId="77777777" w:rsidR="008F52C8" w:rsidRPr="0030358C" w:rsidRDefault="008F52C8" w:rsidP="008F52C8">
      <w:pPr>
        <w:widowControl w:val="0"/>
        <w:tabs>
          <w:tab w:val="left" w:pos="284"/>
        </w:tabs>
        <w:autoSpaceDE w:val="0"/>
        <w:jc w:val="both"/>
        <w:rPr>
          <w:rFonts w:ascii="Arial" w:hAnsi="Arial" w:cs="Arial"/>
          <w:b/>
          <w:strike/>
          <w:sz w:val="22"/>
          <w:szCs w:val="22"/>
          <w:lang w:eastAsia="zh-CN"/>
        </w:rPr>
      </w:pPr>
    </w:p>
    <w:p w14:paraId="051EA998" w14:textId="77777777" w:rsidR="008F52C8" w:rsidRPr="0030358C" w:rsidRDefault="008F52C8" w:rsidP="008F52C8">
      <w:pPr>
        <w:widowControl w:val="0"/>
        <w:tabs>
          <w:tab w:val="left" w:pos="284"/>
        </w:tabs>
        <w:autoSpaceDE w:val="0"/>
        <w:jc w:val="both"/>
        <w:rPr>
          <w:rFonts w:ascii="Arial" w:hAnsi="Arial" w:cs="Arial"/>
          <w:b/>
          <w:strike/>
          <w:sz w:val="22"/>
          <w:szCs w:val="22"/>
          <w:lang w:eastAsia="zh-CN"/>
        </w:rPr>
      </w:pPr>
    </w:p>
    <w:p w14:paraId="045CEADD" w14:textId="77777777" w:rsidR="008F52C8" w:rsidRPr="0030358C" w:rsidRDefault="008F52C8" w:rsidP="008F52C8">
      <w:pPr>
        <w:widowControl w:val="0"/>
        <w:tabs>
          <w:tab w:val="left" w:pos="284"/>
        </w:tabs>
        <w:autoSpaceDE w:val="0"/>
        <w:jc w:val="both"/>
        <w:rPr>
          <w:rFonts w:ascii="Arial" w:hAnsi="Arial" w:cs="Arial"/>
          <w:b/>
          <w:strike/>
          <w:sz w:val="22"/>
          <w:szCs w:val="22"/>
          <w:lang w:eastAsia="zh-CN"/>
        </w:rPr>
      </w:pPr>
    </w:p>
    <w:p w14:paraId="7BAACE10" w14:textId="77777777" w:rsidR="008F52C8" w:rsidRPr="0030358C" w:rsidRDefault="008F52C8" w:rsidP="008F52C8">
      <w:pPr>
        <w:ind w:left="284" w:hanging="284"/>
        <w:jc w:val="both"/>
        <w:rPr>
          <w:rFonts w:ascii="Arial" w:hAnsi="Arial" w:cs="Arial"/>
          <w:b/>
          <w:strike/>
          <w:sz w:val="22"/>
          <w:szCs w:val="22"/>
          <w:lang w:eastAsia="zh-CN"/>
        </w:rPr>
      </w:pPr>
    </w:p>
    <w:p w14:paraId="62B03B57" w14:textId="77777777" w:rsidR="008F52C8" w:rsidRPr="0030358C" w:rsidRDefault="00000000" w:rsidP="008F52C8">
      <w:pPr>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1DE15871" w14:textId="77777777" w:rsidR="008F52C8" w:rsidRPr="0030358C" w:rsidRDefault="00000000" w:rsidP="008F52C8">
      <w:pPr>
        <w:ind w:left="284" w:hanging="284"/>
        <w:jc w:val="both"/>
        <w:rPr>
          <w:rFonts w:ascii="Arial" w:hAnsi="Arial" w:cs="Arial"/>
          <w:bCs/>
          <w:strike/>
          <w:sz w:val="22"/>
          <w:szCs w:val="22"/>
          <w:lang w:eastAsia="zh-CN"/>
        </w:rPr>
      </w:pPr>
      <w:r w:rsidRPr="0030358C">
        <w:rPr>
          <w:rFonts w:ascii="Arial" w:hAnsi="Arial" w:cs="Arial"/>
          <w:bCs/>
          <w:strike/>
          <w:sz w:val="22"/>
          <w:szCs w:val="22"/>
          <w:lang w:eastAsia="zh-CN"/>
        </w:rPr>
        <w:t>Teplota při sušení třísek a pilin musí být omezena tak, aby nedocházelo k jejich doutnání.</w:t>
      </w:r>
    </w:p>
    <w:p w14:paraId="690AA6BD" w14:textId="77777777" w:rsidR="008F52C8" w:rsidRPr="0030358C" w:rsidRDefault="008F52C8" w:rsidP="008F52C8">
      <w:pPr>
        <w:widowControl w:val="0"/>
        <w:tabs>
          <w:tab w:val="left" w:pos="284"/>
        </w:tabs>
        <w:autoSpaceDE w:val="0"/>
        <w:jc w:val="both"/>
        <w:rPr>
          <w:rFonts w:ascii="Arial" w:hAnsi="Arial" w:cs="Arial"/>
          <w:b/>
          <w:iCs/>
          <w:strike/>
          <w:sz w:val="22"/>
          <w:szCs w:val="22"/>
          <w:lang w:eastAsia="zh-CN"/>
        </w:rPr>
      </w:pPr>
    </w:p>
    <w:p w14:paraId="58AB89A2" w14:textId="77777777" w:rsidR="008F52C8" w:rsidRPr="0030358C" w:rsidRDefault="008F52C8" w:rsidP="008F52C8">
      <w:pPr>
        <w:keepNext/>
        <w:keepLines/>
        <w:autoSpaceDE w:val="0"/>
        <w:jc w:val="both"/>
        <w:rPr>
          <w:rFonts w:ascii="Arial" w:hAnsi="Arial" w:cs="Arial"/>
          <w:b/>
          <w:strike/>
          <w:sz w:val="22"/>
          <w:szCs w:val="22"/>
          <w:lang w:eastAsia="zh-CN"/>
        </w:rPr>
      </w:pPr>
    </w:p>
    <w:p w14:paraId="47CBF80C" w14:textId="77777777" w:rsidR="008F52C8" w:rsidRPr="0030358C" w:rsidRDefault="00000000" w:rsidP="008F52C8">
      <w:pPr>
        <w:keepNext/>
        <w:keepLines/>
        <w:numPr>
          <w:ilvl w:val="2"/>
          <w:numId w:val="0"/>
        </w:numPr>
        <w:tabs>
          <w:tab w:val="num" w:pos="0"/>
        </w:tabs>
        <w:outlineLvl w:val="2"/>
        <w:rPr>
          <w:rFonts w:ascii="Arial" w:hAnsi="Arial" w:cs="Arial"/>
          <w:bCs/>
          <w:strike/>
          <w:sz w:val="22"/>
          <w:szCs w:val="22"/>
          <w:lang w:eastAsia="zh-CN"/>
        </w:rPr>
      </w:pPr>
      <w:r w:rsidRPr="0030358C">
        <w:rPr>
          <w:rFonts w:ascii="Arial" w:hAnsi="Arial" w:cs="Arial"/>
          <w:b/>
          <w:strike/>
          <w:sz w:val="22"/>
          <w:szCs w:val="22"/>
          <w:lang w:eastAsia="zh-CN"/>
        </w:rPr>
        <w:t xml:space="preserve">6.8. Výroba buničiny ze dřeva a papíru z panenské buničiny </w:t>
      </w:r>
      <w:r w:rsidRPr="0030358C">
        <w:rPr>
          <w:rFonts w:ascii="Arial" w:hAnsi="Arial" w:cs="Arial"/>
          <w:bCs/>
          <w:strike/>
          <w:sz w:val="22"/>
          <w:szCs w:val="22"/>
          <w:lang w:eastAsia="zh-CN"/>
        </w:rPr>
        <w:t xml:space="preserve">(kód 7.9. dle přílohy č. 2 zákona) </w:t>
      </w:r>
    </w:p>
    <w:tbl>
      <w:tblPr>
        <w:tblW w:w="0" w:type="auto"/>
        <w:tblInd w:w="-15" w:type="dxa"/>
        <w:tblLayout w:type="fixed"/>
        <w:tblLook w:val="0000" w:firstRow="0" w:lastRow="0" w:firstColumn="0" w:lastColumn="0" w:noHBand="0" w:noVBand="0"/>
      </w:tblPr>
      <w:tblGrid>
        <w:gridCol w:w="2596"/>
        <w:gridCol w:w="3732"/>
        <w:gridCol w:w="1623"/>
        <w:gridCol w:w="1649"/>
      </w:tblGrid>
      <w:tr w:rsidR="00E40657" w14:paraId="3E4DD0D3" w14:textId="77777777" w:rsidTr="00732453">
        <w:trPr>
          <w:cantSplit/>
          <w:trHeight w:hRule="exact" w:val="686"/>
        </w:trPr>
        <w:tc>
          <w:tcPr>
            <w:tcW w:w="2596" w:type="dxa"/>
            <w:tcBorders>
              <w:top w:val="single" w:sz="4" w:space="0" w:color="000000"/>
              <w:left w:val="single" w:sz="4" w:space="0" w:color="000000"/>
              <w:bottom w:val="single" w:sz="4" w:space="0" w:color="000000"/>
            </w:tcBorders>
            <w:shd w:val="clear" w:color="auto" w:fill="auto"/>
            <w:vAlign w:val="center"/>
          </w:tcPr>
          <w:p w14:paraId="76F7C949"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3732" w:type="dxa"/>
            <w:tcBorders>
              <w:top w:val="single" w:sz="4" w:space="0" w:color="000000"/>
              <w:left w:val="single" w:sz="4" w:space="0" w:color="000000"/>
              <w:bottom w:val="single" w:sz="4" w:space="0" w:color="000000"/>
            </w:tcBorders>
            <w:shd w:val="clear" w:color="auto" w:fill="auto"/>
            <w:vAlign w:val="center"/>
          </w:tcPr>
          <w:p w14:paraId="1AF1E910" w14:textId="77777777" w:rsidR="008F52C8" w:rsidRPr="0030358C" w:rsidRDefault="008F52C8" w:rsidP="00732453">
            <w:pPr>
              <w:keepNext/>
              <w:keepLines/>
              <w:snapToGrid w:val="0"/>
              <w:jc w:val="center"/>
              <w:rPr>
                <w:rFonts w:ascii="Arial" w:hAnsi="Arial" w:cs="Arial"/>
                <w:b/>
                <w:strike/>
                <w:sz w:val="22"/>
                <w:szCs w:val="22"/>
                <w:lang w:eastAsia="zh-CN"/>
              </w:rPr>
            </w:pPr>
          </w:p>
          <w:p w14:paraId="4D86C1E2"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[g/t]</w:t>
            </w:r>
          </w:p>
          <w:p w14:paraId="45C8E859" w14:textId="77777777" w:rsidR="008F52C8" w:rsidRPr="0030358C" w:rsidRDefault="008F52C8" w:rsidP="00732453">
            <w:pPr>
              <w:keepNext/>
              <w:keepLines/>
              <w:snapToGrid w:val="0"/>
              <w:jc w:val="center"/>
              <w:rPr>
                <w:rFonts w:ascii="Arial" w:hAnsi="Arial" w:cs="Arial"/>
                <w:b/>
                <w:strike/>
                <w:sz w:val="22"/>
                <w:szCs w:val="22"/>
                <w:lang w:eastAsia="zh-CN"/>
              </w:rPr>
            </w:pPr>
          </w:p>
        </w:tc>
        <w:tc>
          <w:tcPr>
            <w:tcW w:w="1623" w:type="dxa"/>
            <w:vMerge w:val="restart"/>
            <w:tcBorders>
              <w:top w:val="single" w:sz="4" w:space="0" w:color="000000"/>
              <w:left w:val="single" w:sz="4" w:space="0" w:color="000000"/>
              <w:bottom w:val="single" w:sz="4" w:space="0" w:color="000000"/>
            </w:tcBorders>
            <w:shd w:val="clear" w:color="auto" w:fill="auto"/>
            <w:vAlign w:val="center"/>
          </w:tcPr>
          <w:p w14:paraId="478671BA" w14:textId="77777777" w:rsidR="008F52C8" w:rsidRPr="0030358C" w:rsidRDefault="00000000" w:rsidP="00732453">
            <w:pPr>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O</w:t>
            </w:r>
            <w:r w:rsidRPr="0030358C">
              <w:rPr>
                <w:rFonts w:ascii="Arial" w:hAnsi="Arial" w:cs="Arial"/>
                <w:b/>
                <w:strike/>
                <w:sz w:val="22"/>
                <w:szCs w:val="22"/>
                <w:vertAlign w:val="subscript"/>
                <w:lang w:eastAsia="zh-CN"/>
              </w:rPr>
              <w:t>2R</w:t>
            </w:r>
            <w:r w:rsidRPr="0030358C">
              <w:rPr>
                <w:rFonts w:ascii="Arial" w:hAnsi="Arial" w:cs="Arial"/>
                <w:b/>
                <w:strike/>
                <w:sz w:val="22"/>
                <w:szCs w:val="22"/>
                <w:lang w:eastAsia="zh-CN"/>
              </w:rPr>
              <w:t xml:space="preserve"> [%]</w:t>
            </w:r>
          </w:p>
        </w:tc>
        <w:tc>
          <w:tcPr>
            <w:tcW w:w="16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C5CCC8"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21C985A1" w14:textId="77777777" w:rsidTr="00732453">
        <w:trPr>
          <w:cantSplit/>
          <w:trHeight w:hRule="exact" w:val="569"/>
        </w:trPr>
        <w:tc>
          <w:tcPr>
            <w:tcW w:w="2596" w:type="dxa"/>
            <w:tcBorders>
              <w:top w:val="single" w:sz="4" w:space="0" w:color="000000"/>
              <w:left w:val="single" w:sz="4" w:space="0" w:color="000000"/>
              <w:bottom w:val="single" w:sz="4" w:space="0" w:color="000000"/>
            </w:tcBorders>
            <w:shd w:val="clear" w:color="auto" w:fill="auto"/>
            <w:vAlign w:val="center"/>
          </w:tcPr>
          <w:p w14:paraId="4A510305" w14:textId="77777777" w:rsidR="008F52C8" w:rsidRPr="0030358C" w:rsidRDefault="00000000" w:rsidP="00732453">
            <w:pPr>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3732" w:type="dxa"/>
            <w:tcBorders>
              <w:top w:val="single" w:sz="4" w:space="0" w:color="000000"/>
              <w:left w:val="single" w:sz="4" w:space="0" w:color="000000"/>
              <w:bottom w:val="single" w:sz="4" w:space="0" w:color="000000"/>
            </w:tcBorders>
            <w:shd w:val="clear" w:color="auto" w:fill="auto"/>
            <w:vAlign w:val="center"/>
          </w:tcPr>
          <w:p w14:paraId="20EDC4E3" w14:textId="77777777" w:rsidR="008F52C8" w:rsidRPr="0030358C" w:rsidRDefault="00000000" w:rsidP="00732453">
            <w:pPr>
              <w:keepLines/>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síra a její sloučeniny</w:t>
            </w:r>
            <w:r w:rsidRPr="0030358C">
              <w:rPr>
                <w:rFonts w:ascii="Arial" w:hAnsi="Arial" w:cs="Arial"/>
                <w:b/>
                <w:strike/>
                <w:sz w:val="22"/>
                <w:szCs w:val="22"/>
                <w:vertAlign w:val="superscript"/>
                <w:lang w:eastAsia="zh-CN"/>
              </w:rPr>
              <w:t>1)</w:t>
            </w:r>
          </w:p>
        </w:tc>
        <w:tc>
          <w:tcPr>
            <w:tcW w:w="1623" w:type="dxa"/>
            <w:vMerge/>
            <w:tcBorders>
              <w:top w:val="single" w:sz="4" w:space="0" w:color="000000"/>
              <w:left w:val="single" w:sz="4" w:space="0" w:color="000000"/>
              <w:bottom w:val="single" w:sz="4" w:space="0" w:color="000000"/>
            </w:tcBorders>
            <w:shd w:val="clear" w:color="auto" w:fill="auto"/>
            <w:vAlign w:val="center"/>
          </w:tcPr>
          <w:p w14:paraId="5CA70BC9" w14:textId="77777777" w:rsidR="008F52C8" w:rsidRPr="0030358C" w:rsidRDefault="008F52C8" w:rsidP="00732453">
            <w:pPr>
              <w:keepLines/>
              <w:snapToGrid w:val="0"/>
              <w:jc w:val="center"/>
              <w:rPr>
                <w:rFonts w:ascii="Arial" w:hAnsi="Arial" w:cs="Arial"/>
                <w:b/>
                <w:strike/>
                <w:sz w:val="22"/>
                <w:szCs w:val="22"/>
                <w:lang w:eastAsia="zh-CN"/>
              </w:rPr>
            </w:pPr>
          </w:p>
        </w:tc>
        <w:tc>
          <w:tcPr>
            <w:tcW w:w="16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7BF743" w14:textId="77777777" w:rsidR="008F52C8" w:rsidRPr="0030358C" w:rsidRDefault="008F52C8" w:rsidP="00732453">
            <w:pPr>
              <w:keepLines/>
              <w:snapToGrid w:val="0"/>
              <w:jc w:val="center"/>
              <w:rPr>
                <w:rFonts w:ascii="Arial" w:hAnsi="Arial" w:cs="Arial"/>
                <w:b/>
                <w:strike/>
                <w:sz w:val="22"/>
                <w:szCs w:val="22"/>
                <w:lang w:eastAsia="zh-CN"/>
              </w:rPr>
            </w:pPr>
          </w:p>
        </w:tc>
      </w:tr>
      <w:tr w:rsidR="00E40657" w14:paraId="4B53BEDE" w14:textId="77777777" w:rsidTr="00732453">
        <w:trPr>
          <w:trHeight w:hRule="exact" w:val="705"/>
        </w:trPr>
        <w:tc>
          <w:tcPr>
            <w:tcW w:w="2596" w:type="dxa"/>
            <w:tcBorders>
              <w:top w:val="single" w:sz="4" w:space="0" w:color="000000"/>
              <w:left w:val="single" w:sz="4" w:space="0" w:color="000000"/>
              <w:bottom w:val="single" w:sz="4" w:space="0" w:color="000000"/>
            </w:tcBorders>
            <w:shd w:val="clear" w:color="auto" w:fill="auto"/>
            <w:vAlign w:val="center"/>
          </w:tcPr>
          <w:p w14:paraId="4B18457C" w14:textId="77777777" w:rsidR="008F52C8" w:rsidRPr="0030358C" w:rsidRDefault="00000000" w:rsidP="00732453">
            <w:pPr>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2), 5)</w:t>
            </w:r>
          </w:p>
        </w:tc>
        <w:tc>
          <w:tcPr>
            <w:tcW w:w="3732" w:type="dxa"/>
            <w:tcBorders>
              <w:top w:val="single" w:sz="4" w:space="0" w:color="000000"/>
              <w:left w:val="single" w:sz="4" w:space="0" w:color="000000"/>
              <w:bottom w:val="single" w:sz="4" w:space="0" w:color="000000"/>
            </w:tcBorders>
            <w:shd w:val="clear" w:color="auto" w:fill="auto"/>
            <w:vAlign w:val="center"/>
          </w:tcPr>
          <w:p w14:paraId="7D2E7145" w14:textId="77777777" w:rsidR="008F52C8" w:rsidRPr="0030358C" w:rsidRDefault="00000000" w:rsidP="00732453">
            <w:pPr>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2000</w:t>
            </w:r>
            <w:r w:rsidRPr="0030358C">
              <w:rPr>
                <w:rFonts w:ascii="Arial" w:hAnsi="Arial" w:cs="Arial"/>
                <w:bCs/>
                <w:strike/>
                <w:sz w:val="22"/>
                <w:szCs w:val="22"/>
                <w:vertAlign w:val="superscript"/>
                <w:lang w:eastAsia="zh-CN"/>
              </w:rPr>
              <w:t>3)</w:t>
            </w:r>
          </w:p>
          <w:p w14:paraId="79BC725A" w14:textId="77777777" w:rsidR="008F52C8" w:rsidRPr="0030358C" w:rsidRDefault="00000000" w:rsidP="00732453">
            <w:pPr>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350</w:t>
            </w:r>
            <w:r w:rsidRPr="0030358C">
              <w:rPr>
                <w:rFonts w:ascii="Arial" w:hAnsi="Arial" w:cs="Arial"/>
                <w:bCs/>
                <w:strike/>
                <w:sz w:val="22"/>
                <w:szCs w:val="22"/>
                <w:vertAlign w:val="superscript"/>
                <w:lang w:eastAsia="zh-CN"/>
              </w:rPr>
              <w:t>4)</w:t>
            </w:r>
          </w:p>
        </w:tc>
        <w:tc>
          <w:tcPr>
            <w:tcW w:w="1623" w:type="dxa"/>
            <w:tcBorders>
              <w:top w:val="single" w:sz="4" w:space="0" w:color="000000"/>
              <w:left w:val="single" w:sz="4" w:space="0" w:color="000000"/>
              <w:bottom w:val="single" w:sz="4" w:space="0" w:color="000000"/>
            </w:tcBorders>
            <w:shd w:val="clear" w:color="auto" w:fill="auto"/>
            <w:vAlign w:val="center"/>
          </w:tcPr>
          <w:p w14:paraId="4D7BE480" w14:textId="77777777" w:rsidR="008F52C8" w:rsidRPr="0030358C" w:rsidRDefault="00000000" w:rsidP="00732453">
            <w:pPr>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w:t>
            </w:r>
            <w:r w:rsidRPr="0030358C">
              <w:rPr>
                <w:rFonts w:ascii="Arial" w:hAnsi="Arial" w:cs="Arial"/>
                <w:bCs/>
                <w:strike/>
                <w:sz w:val="22"/>
                <w:szCs w:val="22"/>
                <w:vertAlign w:val="superscript"/>
                <w:lang w:eastAsia="zh-CN"/>
              </w:rPr>
              <w:t>2)</w:t>
            </w:r>
          </w:p>
          <w:p w14:paraId="24F9DB71" w14:textId="77777777" w:rsidR="008F52C8" w:rsidRPr="0030358C" w:rsidRDefault="00000000" w:rsidP="00732453">
            <w:pPr>
              <w:keepLines/>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6</w:t>
            </w:r>
            <w:r w:rsidRPr="0030358C">
              <w:rPr>
                <w:rFonts w:ascii="Arial" w:hAnsi="Arial" w:cs="Arial"/>
                <w:bCs/>
                <w:strike/>
                <w:sz w:val="22"/>
                <w:szCs w:val="22"/>
                <w:vertAlign w:val="superscript"/>
                <w:lang w:eastAsia="zh-CN"/>
              </w:rPr>
              <w:t>5)</w:t>
            </w:r>
          </w:p>
          <w:p w14:paraId="206448D5" w14:textId="77777777" w:rsidR="008F52C8" w:rsidRPr="0030358C" w:rsidRDefault="008F52C8" w:rsidP="00732453">
            <w:pPr>
              <w:keepLines/>
              <w:snapToGrid w:val="0"/>
              <w:jc w:val="center"/>
              <w:rPr>
                <w:rFonts w:ascii="Arial" w:hAnsi="Arial" w:cs="Arial"/>
                <w:bCs/>
                <w:strike/>
                <w:sz w:val="22"/>
                <w:szCs w:val="22"/>
                <w:vertAlign w:val="superscript"/>
                <w:lang w:eastAsia="zh-CN"/>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D17F" w14:textId="77777777" w:rsidR="008F52C8" w:rsidRPr="0030358C" w:rsidRDefault="00000000" w:rsidP="00732453">
            <w:pPr>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66CE1A4C" w14:textId="77777777" w:rsidR="008F52C8" w:rsidRPr="0030358C" w:rsidRDefault="00000000" w:rsidP="008F52C8">
      <w:pPr>
        <w:keepLines/>
        <w:spacing w:before="120"/>
        <w:jc w:val="both"/>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0BD3B2AC" w14:textId="77777777" w:rsidR="008F52C8" w:rsidRPr="0030358C" w:rsidRDefault="00000000" w:rsidP="008F52C8">
      <w:pPr>
        <w:keepLines/>
        <w:numPr>
          <w:ilvl w:val="0"/>
          <w:numId w:val="183"/>
        </w:numPr>
        <w:suppressAutoHyphens/>
        <w:ind w:left="284" w:hanging="284"/>
        <w:jc w:val="both"/>
        <w:rPr>
          <w:rFonts w:ascii="Arial" w:hAnsi="Arial" w:cs="Arial"/>
          <w:strike/>
          <w:sz w:val="22"/>
          <w:szCs w:val="22"/>
          <w:lang w:eastAsia="zh-CN"/>
        </w:rPr>
      </w:pPr>
      <w:r w:rsidRPr="0030358C">
        <w:rPr>
          <w:rFonts w:ascii="Arial" w:hAnsi="Arial" w:cs="Arial"/>
          <w:iCs/>
          <w:strike/>
          <w:sz w:val="22"/>
          <w:szCs w:val="22"/>
          <w:lang w:eastAsia="zh-CN"/>
        </w:rPr>
        <w:t xml:space="preserve">Vyjádřené jako síra na hmotnostní </w:t>
      </w:r>
      <w:r w:rsidRPr="0030358C">
        <w:rPr>
          <w:rFonts w:ascii="Arial" w:hAnsi="Arial" w:cs="Arial"/>
          <w:strike/>
          <w:sz w:val="22"/>
          <w:szCs w:val="22"/>
          <w:lang w:eastAsia="zh-CN"/>
        </w:rPr>
        <w:t>jednotku vyrobené absolutně suché vařákové buničiny.</w:t>
      </w:r>
    </w:p>
    <w:p w14:paraId="537A3AE3" w14:textId="77777777" w:rsidR="008F52C8" w:rsidRPr="0030358C" w:rsidRDefault="00000000" w:rsidP="008F52C8">
      <w:pPr>
        <w:keepLines/>
        <w:widowControl w:val="0"/>
        <w:numPr>
          <w:ilvl w:val="0"/>
          <w:numId w:val="183"/>
        </w:numPr>
        <w:tabs>
          <w:tab w:val="left" w:pos="426"/>
        </w:tabs>
        <w:suppressAutoHyphens/>
        <w:autoSpaceDE w:val="0"/>
        <w:snapToGrid w:val="0"/>
        <w:ind w:left="284" w:hanging="284"/>
        <w:jc w:val="both"/>
        <w:rPr>
          <w:rFonts w:ascii="Arial" w:hAnsi="Arial" w:cs="Arial"/>
          <w:strike/>
          <w:sz w:val="22"/>
          <w:szCs w:val="22"/>
          <w:lang w:eastAsia="zh-CN"/>
        </w:rPr>
      </w:pPr>
      <w:r w:rsidRPr="0030358C">
        <w:rPr>
          <w:rFonts w:ascii="Arial" w:hAnsi="Arial" w:cs="Arial"/>
          <w:strike/>
          <w:sz w:val="22"/>
          <w:szCs w:val="22"/>
          <w:lang w:eastAsia="zh-CN"/>
        </w:rPr>
        <w:t xml:space="preserve">Platí pro regenerační kotle při sulfitovém způsobu výroby. </w:t>
      </w:r>
    </w:p>
    <w:p w14:paraId="1331FE78" w14:textId="77777777" w:rsidR="008F52C8" w:rsidRPr="0030358C" w:rsidRDefault="00000000" w:rsidP="008F52C8">
      <w:pPr>
        <w:keepLines/>
        <w:widowControl w:val="0"/>
        <w:numPr>
          <w:ilvl w:val="0"/>
          <w:numId w:val="183"/>
        </w:numPr>
        <w:tabs>
          <w:tab w:val="left" w:pos="426"/>
        </w:tabs>
        <w:suppressAutoHyphens/>
        <w:autoSpaceDE w:val="0"/>
        <w:snapToGrid w:val="0"/>
        <w:ind w:left="284" w:hanging="284"/>
        <w:jc w:val="both"/>
        <w:rPr>
          <w:rFonts w:ascii="Arial" w:hAnsi="Arial" w:cs="Arial"/>
          <w:iCs/>
          <w:strike/>
          <w:sz w:val="22"/>
          <w:szCs w:val="22"/>
          <w:lang w:eastAsia="zh-CN"/>
        </w:rPr>
      </w:pPr>
      <w:r w:rsidRPr="0030358C">
        <w:rPr>
          <w:rFonts w:ascii="Arial" w:hAnsi="Arial" w:cs="Arial"/>
          <w:strike/>
          <w:sz w:val="22"/>
          <w:szCs w:val="22"/>
          <w:lang w:eastAsia="zh-CN"/>
        </w:rPr>
        <w:t>Platí při sulfitovém způsobu výroby včetně emisí ze spalování sulfitových výluhů.</w:t>
      </w:r>
      <w:r w:rsidRPr="0030358C">
        <w:rPr>
          <w:rFonts w:ascii="Arial" w:hAnsi="Arial" w:cs="Arial"/>
          <w:strike/>
          <w:sz w:val="22"/>
          <w:szCs w:val="22"/>
          <w:lang w:eastAsia="zh-CN"/>
        </w:rPr>
        <w:tab/>
      </w:r>
      <w:r w:rsidRPr="0030358C">
        <w:rPr>
          <w:rFonts w:ascii="Arial" w:hAnsi="Arial" w:cs="Arial"/>
          <w:iCs/>
          <w:strike/>
          <w:sz w:val="22"/>
          <w:szCs w:val="22"/>
          <w:lang w:eastAsia="zh-CN"/>
        </w:rPr>
        <w:t xml:space="preserve"> </w:t>
      </w:r>
    </w:p>
    <w:p w14:paraId="7FFBF990" w14:textId="77777777" w:rsidR="008F52C8" w:rsidRPr="0030358C" w:rsidRDefault="00000000" w:rsidP="008F52C8">
      <w:pPr>
        <w:keepNext/>
        <w:keepLines/>
        <w:numPr>
          <w:ilvl w:val="0"/>
          <w:numId w:val="183"/>
        </w:numPr>
        <w:tabs>
          <w:tab w:val="left" w:pos="284"/>
        </w:tabs>
        <w:suppressAutoHyphens/>
        <w:autoSpaceDE w:val="0"/>
        <w:snapToGrid w:val="0"/>
        <w:ind w:left="284" w:hanging="284"/>
        <w:jc w:val="both"/>
        <w:rPr>
          <w:rFonts w:ascii="Arial" w:hAnsi="Arial" w:cs="Arial"/>
          <w:strike/>
          <w:sz w:val="22"/>
          <w:szCs w:val="22"/>
          <w:lang w:eastAsia="zh-CN"/>
        </w:rPr>
      </w:pPr>
      <w:r w:rsidRPr="0030358C">
        <w:rPr>
          <w:rFonts w:ascii="Arial" w:hAnsi="Arial" w:cs="Arial"/>
          <w:strike/>
          <w:sz w:val="22"/>
          <w:szCs w:val="22"/>
          <w:lang w:eastAsia="zh-CN"/>
        </w:rPr>
        <w:t>Platí při sulfátovém způsobu výroby pro centrálním odstraňování zapáchajících látek.</w:t>
      </w:r>
    </w:p>
    <w:p w14:paraId="00A1FD75" w14:textId="77777777" w:rsidR="008F52C8" w:rsidRPr="0030358C" w:rsidRDefault="00000000" w:rsidP="008F52C8">
      <w:pPr>
        <w:keepNext/>
        <w:keepLines/>
        <w:numPr>
          <w:ilvl w:val="0"/>
          <w:numId w:val="183"/>
        </w:numPr>
        <w:tabs>
          <w:tab w:val="left" w:pos="284"/>
        </w:tabs>
        <w:suppressAutoHyphens/>
        <w:autoSpaceDE w:val="0"/>
        <w:snapToGrid w:val="0"/>
        <w:ind w:left="284" w:hanging="284"/>
        <w:jc w:val="both"/>
        <w:rPr>
          <w:rFonts w:ascii="Arial" w:hAnsi="Arial" w:cs="Arial"/>
          <w:strike/>
          <w:sz w:val="22"/>
          <w:szCs w:val="22"/>
          <w:lang w:eastAsia="zh-CN"/>
        </w:rPr>
      </w:pPr>
      <w:r w:rsidRPr="0030358C">
        <w:rPr>
          <w:rFonts w:ascii="Arial" w:hAnsi="Arial" w:cs="Arial"/>
          <w:strike/>
          <w:sz w:val="22"/>
          <w:szCs w:val="22"/>
          <w:lang w:eastAsia="zh-CN"/>
        </w:rPr>
        <w:t>Platí pro regenerační kotle a vápenné pece při sulfátovém způsobu výroby.</w:t>
      </w:r>
    </w:p>
    <w:p w14:paraId="61851398" w14:textId="77777777" w:rsidR="008F52C8" w:rsidRPr="0030358C" w:rsidRDefault="008F52C8" w:rsidP="008F52C8">
      <w:pPr>
        <w:keepNext/>
        <w:keepLines/>
        <w:tabs>
          <w:tab w:val="left" w:pos="284"/>
        </w:tabs>
        <w:autoSpaceDE w:val="0"/>
        <w:snapToGrid w:val="0"/>
        <w:ind w:left="360"/>
        <w:jc w:val="both"/>
        <w:rPr>
          <w:rFonts w:ascii="Arial" w:hAnsi="Arial" w:cs="Arial"/>
          <w:b/>
          <w:strike/>
          <w:sz w:val="22"/>
          <w:szCs w:val="22"/>
          <w:lang w:eastAsia="zh-CN"/>
        </w:rPr>
      </w:pPr>
    </w:p>
    <w:p w14:paraId="494DA0DC" w14:textId="77777777" w:rsidR="008F52C8" w:rsidRPr="0030358C" w:rsidRDefault="00000000" w:rsidP="008F52C8">
      <w:pPr>
        <w:keepNext/>
        <w:keepLines/>
        <w:autoSpaceDE w:val="0"/>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4220F9C7" w14:textId="77777777" w:rsidR="008F52C8" w:rsidRPr="0030358C" w:rsidRDefault="00000000" w:rsidP="008F52C8">
      <w:pPr>
        <w:keepNext/>
        <w:keepLines/>
        <w:jc w:val="both"/>
        <w:rPr>
          <w:rFonts w:ascii="Arial" w:hAnsi="Arial" w:cs="Arial"/>
          <w:bCs/>
          <w:strike/>
          <w:sz w:val="22"/>
          <w:szCs w:val="22"/>
          <w:lang w:eastAsia="zh-CN"/>
        </w:rPr>
      </w:pPr>
      <w:r w:rsidRPr="0030358C">
        <w:rPr>
          <w:rFonts w:ascii="Arial" w:hAnsi="Arial" w:cs="Arial"/>
          <w:bCs/>
          <w:strike/>
          <w:sz w:val="22"/>
          <w:szCs w:val="22"/>
          <w:lang w:eastAsia="zh-CN"/>
        </w:rPr>
        <w:t>Za účelem předcházení emisí znečišťujících látek obtěžujících zápachem využívat opatření ke snižování emisí znečišťujících látek, např. provedením místního nebo centrálního odsávání odpadních plynů z varny, z odparky, vyvařovací kolony do zařízení ke snižování emisí.</w:t>
      </w:r>
    </w:p>
    <w:p w14:paraId="061B29AD" w14:textId="77777777" w:rsidR="008F52C8" w:rsidRPr="0030358C" w:rsidRDefault="008F52C8" w:rsidP="008F52C8">
      <w:pPr>
        <w:keepNext/>
        <w:keepLines/>
        <w:autoSpaceDE w:val="0"/>
        <w:jc w:val="both"/>
        <w:rPr>
          <w:rFonts w:ascii="Arial" w:hAnsi="Arial" w:cs="Arial"/>
          <w:bCs/>
          <w:strike/>
          <w:sz w:val="22"/>
          <w:szCs w:val="22"/>
          <w:lang w:eastAsia="zh-CN"/>
        </w:rPr>
      </w:pPr>
    </w:p>
    <w:p w14:paraId="5B1A9847" w14:textId="77777777" w:rsidR="008F52C8" w:rsidRPr="0030358C" w:rsidRDefault="008F52C8" w:rsidP="008F52C8">
      <w:pPr>
        <w:keepNext/>
        <w:keepLines/>
        <w:autoSpaceDE w:val="0"/>
        <w:jc w:val="both"/>
        <w:rPr>
          <w:rFonts w:ascii="Arial" w:hAnsi="Arial" w:cs="Arial"/>
          <w:b/>
          <w:strike/>
          <w:sz w:val="22"/>
          <w:szCs w:val="22"/>
          <w:lang w:eastAsia="zh-CN"/>
        </w:rPr>
      </w:pPr>
    </w:p>
    <w:p w14:paraId="2650D21B"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6.9. Výroby papíru a lepenky, které nespadají pod bod 6.8. (kód 7.10. dle přílohy č. 2 zákona)</w:t>
      </w:r>
    </w:p>
    <w:p w14:paraId="05992862" w14:textId="77777777" w:rsidR="008F52C8" w:rsidRPr="0030358C" w:rsidRDefault="00000000" w:rsidP="008F52C8">
      <w:pPr>
        <w:spacing w:before="60"/>
        <w:jc w:val="both"/>
        <w:rPr>
          <w:rFonts w:ascii="Arial" w:hAnsi="Arial" w:cs="Arial"/>
          <w:b/>
          <w:strike/>
          <w:sz w:val="22"/>
          <w:szCs w:val="22"/>
          <w:lang w:eastAsia="zh-CN"/>
        </w:rPr>
      </w:pPr>
      <w:r w:rsidRPr="0030358C">
        <w:rPr>
          <w:rFonts w:ascii="Arial" w:hAnsi="Arial" w:cs="Arial"/>
          <w:b/>
          <w:strike/>
          <w:sz w:val="22"/>
          <w:szCs w:val="22"/>
          <w:lang w:eastAsia="zh-CN"/>
        </w:rPr>
        <w:t>Platí pro výroby papíru a lepenky papírenskou technologií, které přímo nenavazují na výrobu buničiny nebo výroby lepenky z papíru.</w:t>
      </w:r>
    </w:p>
    <w:tbl>
      <w:tblPr>
        <w:tblW w:w="0" w:type="auto"/>
        <w:tblInd w:w="-15" w:type="dxa"/>
        <w:tblLayout w:type="fixed"/>
        <w:tblLook w:val="0000" w:firstRow="0" w:lastRow="0" w:firstColumn="0" w:lastColumn="0" w:noHBand="0" w:noVBand="0"/>
      </w:tblPr>
      <w:tblGrid>
        <w:gridCol w:w="5110"/>
        <w:gridCol w:w="4490"/>
      </w:tblGrid>
      <w:tr w:rsidR="00E40657" w14:paraId="6D4C762C" w14:textId="77777777" w:rsidTr="00732453">
        <w:trPr>
          <w:cantSplit/>
          <w:trHeight w:hRule="exact" w:val="630"/>
        </w:trPr>
        <w:tc>
          <w:tcPr>
            <w:tcW w:w="5110" w:type="dxa"/>
            <w:tcBorders>
              <w:top w:val="single" w:sz="4" w:space="0" w:color="000000"/>
              <w:left w:val="single" w:sz="4" w:space="0" w:color="000000"/>
              <w:bottom w:val="single" w:sz="4" w:space="0" w:color="000000"/>
            </w:tcBorders>
            <w:shd w:val="clear" w:color="auto" w:fill="auto"/>
            <w:vAlign w:val="center"/>
          </w:tcPr>
          <w:p w14:paraId="5FAEF185"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464D1"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4E68038" w14:textId="77777777" w:rsidTr="00732453">
        <w:trPr>
          <w:cantSplit/>
          <w:trHeight w:val="439"/>
        </w:trPr>
        <w:tc>
          <w:tcPr>
            <w:tcW w:w="5110" w:type="dxa"/>
            <w:tcBorders>
              <w:left w:val="single" w:sz="4" w:space="0" w:color="000000"/>
              <w:bottom w:val="single" w:sz="4" w:space="0" w:color="000000"/>
            </w:tcBorders>
            <w:shd w:val="clear" w:color="auto" w:fill="auto"/>
            <w:vAlign w:val="center"/>
          </w:tcPr>
          <w:p w14:paraId="295E646E" w14:textId="77777777" w:rsidR="008F52C8" w:rsidRPr="0030358C" w:rsidRDefault="00000000" w:rsidP="00732453">
            <w:pPr>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TOC</w:t>
            </w:r>
            <w:r w:rsidRPr="0030358C">
              <w:rPr>
                <w:rFonts w:ascii="Arial" w:hAnsi="Arial" w:cs="Arial"/>
                <w:b/>
                <w:strike/>
                <w:sz w:val="22"/>
                <w:szCs w:val="22"/>
                <w:vertAlign w:val="superscript"/>
                <w:lang w:eastAsia="zh-CN"/>
              </w:rPr>
              <w:t>1)</w:t>
            </w:r>
          </w:p>
        </w:tc>
        <w:tc>
          <w:tcPr>
            <w:tcW w:w="4490" w:type="dxa"/>
            <w:vMerge w:val="restart"/>
            <w:tcBorders>
              <w:top w:val="single" w:sz="4" w:space="0" w:color="000000"/>
              <w:left w:val="single" w:sz="4" w:space="0" w:color="000000"/>
              <w:right w:val="single" w:sz="4" w:space="0" w:color="000000"/>
            </w:tcBorders>
            <w:shd w:val="clear" w:color="auto" w:fill="auto"/>
            <w:vAlign w:val="center"/>
          </w:tcPr>
          <w:p w14:paraId="253F9FE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B</w:t>
            </w:r>
          </w:p>
        </w:tc>
      </w:tr>
      <w:tr w:rsidR="00E40657" w14:paraId="13D05D5B" w14:textId="77777777" w:rsidTr="00732453">
        <w:trPr>
          <w:cantSplit/>
          <w:trHeight w:val="439"/>
        </w:trPr>
        <w:tc>
          <w:tcPr>
            <w:tcW w:w="5110" w:type="dxa"/>
            <w:tcBorders>
              <w:left w:val="single" w:sz="4" w:space="0" w:color="000000"/>
              <w:bottom w:val="single" w:sz="4" w:space="0" w:color="000000"/>
            </w:tcBorders>
            <w:shd w:val="clear" w:color="auto" w:fill="auto"/>
            <w:vAlign w:val="center"/>
          </w:tcPr>
          <w:p w14:paraId="69D19E4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40</w:t>
            </w:r>
          </w:p>
        </w:tc>
        <w:tc>
          <w:tcPr>
            <w:tcW w:w="4490" w:type="dxa"/>
            <w:vMerge/>
            <w:tcBorders>
              <w:left w:val="single" w:sz="4" w:space="0" w:color="000000"/>
              <w:bottom w:val="single" w:sz="4" w:space="0" w:color="000000"/>
              <w:right w:val="single" w:sz="4" w:space="0" w:color="000000"/>
            </w:tcBorders>
            <w:shd w:val="clear" w:color="auto" w:fill="auto"/>
            <w:vAlign w:val="center"/>
          </w:tcPr>
          <w:p w14:paraId="29B159D7" w14:textId="77777777" w:rsidR="008F52C8" w:rsidRPr="0030358C" w:rsidRDefault="008F52C8" w:rsidP="00732453">
            <w:pPr>
              <w:snapToGrid w:val="0"/>
              <w:jc w:val="center"/>
              <w:rPr>
                <w:rFonts w:ascii="Arial" w:hAnsi="Arial" w:cs="Arial"/>
                <w:b/>
                <w:strike/>
                <w:sz w:val="22"/>
                <w:szCs w:val="22"/>
                <w:lang w:eastAsia="zh-CN"/>
              </w:rPr>
            </w:pPr>
          </w:p>
        </w:tc>
      </w:tr>
    </w:tbl>
    <w:p w14:paraId="3B9A3424" w14:textId="77777777" w:rsidR="008F52C8" w:rsidRPr="0030358C" w:rsidRDefault="00000000" w:rsidP="008F52C8">
      <w:pPr>
        <w:spacing w:before="60"/>
        <w:rPr>
          <w:rFonts w:ascii="Arial" w:hAnsi="Arial" w:cs="Arial"/>
          <w:strike/>
          <w:sz w:val="22"/>
          <w:szCs w:val="22"/>
          <w:lang w:eastAsia="zh-CN"/>
        </w:rPr>
      </w:pPr>
      <w:r w:rsidRPr="0030358C">
        <w:rPr>
          <w:rFonts w:ascii="Arial" w:hAnsi="Arial" w:cs="Arial"/>
          <w:strike/>
          <w:sz w:val="22"/>
          <w:szCs w:val="22"/>
          <w:lang w:eastAsia="zh-CN"/>
        </w:rPr>
        <w:t>Vysvětlivka</w:t>
      </w:r>
      <w:r w:rsidRPr="0030358C">
        <w:rPr>
          <w:rFonts w:ascii="Arial" w:hAnsi="Arial" w:cs="Arial"/>
          <w:strike/>
          <w:sz w:val="22"/>
          <w:szCs w:val="22"/>
          <w:lang w:eastAsia="cs-CZ"/>
        </w:rPr>
        <w:t>:</w:t>
      </w:r>
    </w:p>
    <w:p w14:paraId="25CF18E1" w14:textId="77777777" w:rsidR="008F52C8" w:rsidRPr="0030358C" w:rsidRDefault="00000000" w:rsidP="008F52C8">
      <w:pPr>
        <w:spacing w:before="60"/>
        <w:rPr>
          <w:rFonts w:ascii="Arial" w:hAnsi="Arial" w:cs="Arial"/>
          <w:strike/>
          <w:sz w:val="22"/>
          <w:szCs w:val="22"/>
          <w:lang w:eastAsia="cs-CZ"/>
        </w:rPr>
      </w:pPr>
      <w:r w:rsidRPr="0030358C">
        <w:rPr>
          <w:rFonts w:ascii="Arial" w:hAnsi="Arial" w:cs="Arial"/>
          <w:strike/>
          <w:sz w:val="22"/>
          <w:szCs w:val="22"/>
          <w:lang w:eastAsia="cs-CZ"/>
        </w:rPr>
        <w:t>1) Platí při impregnaci s použitím těkavých organických látek a při výrobě speciálních papírů s použitím těkavých organických látek ve výrobním procesu.</w:t>
      </w:r>
    </w:p>
    <w:p w14:paraId="14FA3460" w14:textId="77777777" w:rsidR="008F52C8" w:rsidRPr="0030358C" w:rsidRDefault="008F52C8" w:rsidP="008F52C8">
      <w:pPr>
        <w:spacing w:before="120" w:after="120"/>
        <w:ind w:left="2880"/>
        <w:rPr>
          <w:rFonts w:ascii="Arial" w:hAnsi="Arial" w:cs="Arial"/>
          <w:b/>
          <w:strike/>
          <w:sz w:val="22"/>
          <w:szCs w:val="22"/>
          <w:lang w:eastAsia="zh-CN"/>
        </w:rPr>
      </w:pPr>
    </w:p>
    <w:p w14:paraId="5DB80909" w14:textId="77777777" w:rsidR="008F52C8" w:rsidRPr="0030358C" w:rsidRDefault="00000000" w:rsidP="008F52C8">
      <w:pPr>
        <w:keepNext/>
        <w:numPr>
          <w:ilvl w:val="2"/>
          <w:numId w:val="0"/>
        </w:numPr>
        <w:tabs>
          <w:tab w:val="num" w:pos="0"/>
        </w:tabs>
        <w:spacing w:before="60"/>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6.10. Předúpravy (operace jako praní, bělení, mercerace) nebo barvení vláken či textilií; technologická linka, jejíž celková projektovaná zpracovatelská kapacita je od 1 t za den </w:t>
      </w:r>
      <w:r w:rsidRPr="0030358C">
        <w:rPr>
          <w:rFonts w:ascii="Arial" w:hAnsi="Arial" w:cs="Arial"/>
          <w:bCs/>
          <w:strike/>
          <w:sz w:val="22"/>
          <w:szCs w:val="22"/>
          <w:lang w:eastAsia="zh-CN"/>
        </w:rPr>
        <w:t>(kód 7.11. dle přílohy č. 2 zákona)</w:t>
      </w:r>
    </w:p>
    <w:p w14:paraId="783F8704" w14:textId="77777777" w:rsidR="008F52C8" w:rsidRPr="0030358C" w:rsidRDefault="008F52C8" w:rsidP="008F52C8">
      <w:pPr>
        <w:keepNext/>
        <w:keepLines/>
        <w:rPr>
          <w:rFonts w:ascii="Arial" w:hAnsi="Arial" w:cs="Arial"/>
          <w:b/>
          <w:strike/>
          <w:sz w:val="22"/>
          <w:szCs w:val="22"/>
          <w:lang w:eastAsia="zh-CN"/>
        </w:rPr>
      </w:pPr>
    </w:p>
    <w:p w14:paraId="382BA21C" w14:textId="77777777" w:rsidR="008F52C8" w:rsidRPr="0030358C" w:rsidRDefault="00000000" w:rsidP="008F52C8">
      <w:pPr>
        <w:keepNext/>
        <w:keepLines/>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7CF6D72C" w14:textId="77777777" w:rsidR="008F52C8" w:rsidRPr="0030358C" w:rsidRDefault="00000000" w:rsidP="008F52C8">
      <w:pPr>
        <w:keepNext/>
        <w:numPr>
          <w:ilvl w:val="2"/>
          <w:numId w:val="0"/>
        </w:numPr>
        <w:tabs>
          <w:tab w:val="num" w:pos="0"/>
        </w:tabs>
        <w:spacing w:before="60"/>
        <w:jc w:val="both"/>
        <w:outlineLvl w:val="2"/>
        <w:rPr>
          <w:rFonts w:ascii="Arial" w:hAnsi="Arial" w:cs="Arial"/>
          <w:bCs/>
          <w:strike/>
          <w:sz w:val="22"/>
          <w:szCs w:val="22"/>
          <w:lang w:eastAsia="zh-CN"/>
        </w:rPr>
      </w:pPr>
      <w:r w:rsidRPr="0030358C">
        <w:rPr>
          <w:rFonts w:ascii="Arial" w:hAnsi="Arial" w:cs="Arial"/>
          <w:bCs/>
          <w:strike/>
          <w:sz w:val="22"/>
          <w:szCs w:val="22"/>
          <w:lang w:eastAsia="zh-CN"/>
        </w:rPr>
        <w:t xml:space="preserve">Za účelem předcházení emisí znečišťujících látek obtěžujících zápachem využívat opatření ke snižování emisí znečišťujících látek, například odsávání odpadních plynů do zařízení ke snižování emisí. </w:t>
      </w:r>
    </w:p>
    <w:p w14:paraId="24A9AC5F" w14:textId="77777777" w:rsidR="008F52C8" w:rsidRPr="0030358C" w:rsidRDefault="008F52C8" w:rsidP="008F52C8">
      <w:pPr>
        <w:rPr>
          <w:rFonts w:ascii="Arial" w:hAnsi="Arial" w:cs="Arial"/>
          <w:b/>
          <w:strike/>
          <w:sz w:val="22"/>
          <w:szCs w:val="22"/>
          <w:lang w:eastAsia="zh-CN"/>
        </w:rPr>
      </w:pPr>
    </w:p>
    <w:p w14:paraId="1C4675E1"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strike/>
          <w:sz w:val="22"/>
          <w:szCs w:val="22"/>
          <w:lang w:eastAsia="zh-CN"/>
        </w:rPr>
      </w:pPr>
      <w:r w:rsidRPr="0030358C">
        <w:rPr>
          <w:rFonts w:ascii="Arial" w:hAnsi="Arial" w:cs="Arial"/>
          <w:b/>
          <w:strike/>
          <w:sz w:val="22"/>
          <w:szCs w:val="22"/>
          <w:lang w:eastAsia="zh-CN"/>
        </w:rPr>
        <w:lastRenderedPageBreak/>
        <w:t>6.11. Vydělávání kůží a kožešin (kód 7.12. dle přílohy č. 2 zákona)</w:t>
      </w:r>
    </w:p>
    <w:p w14:paraId="56250983" w14:textId="77777777" w:rsidR="008F52C8" w:rsidRPr="0030358C" w:rsidRDefault="008F52C8" w:rsidP="008F52C8">
      <w:pPr>
        <w:keepNext/>
        <w:keepLines/>
        <w:rPr>
          <w:rFonts w:ascii="Arial" w:hAnsi="Arial" w:cs="Arial"/>
          <w:b/>
          <w:i/>
          <w:strike/>
          <w:sz w:val="22"/>
          <w:szCs w:val="22"/>
          <w:lang w:eastAsia="zh-CN"/>
        </w:rPr>
      </w:pPr>
    </w:p>
    <w:p w14:paraId="65EAB915" w14:textId="77777777" w:rsidR="008F52C8" w:rsidRPr="0030358C" w:rsidRDefault="00000000" w:rsidP="008F52C8">
      <w:pPr>
        <w:keepNext/>
        <w:keepLines/>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78CB5A4E" w14:textId="77777777" w:rsidR="008F52C8" w:rsidRPr="0030358C" w:rsidRDefault="00000000" w:rsidP="008F52C8">
      <w:pPr>
        <w:keepNext/>
        <w:numPr>
          <w:ilvl w:val="2"/>
          <w:numId w:val="0"/>
        </w:numPr>
        <w:tabs>
          <w:tab w:val="num" w:pos="0"/>
        </w:tabs>
        <w:spacing w:before="60" w:line="300" w:lineRule="exact"/>
        <w:jc w:val="both"/>
        <w:outlineLvl w:val="2"/>
        <w:rPr>
          <w:rFonts w:ascii="Arial" w:hAnsi="Arial" w:cs="Arial"/>
          <w:bCs/>
          <w:strike/>
          <w:sz w:val="22"/>
          <w:szCs w:val="22"/>
          <w:lang w:eastAsia="zh-CN"/>
        </w:rPr>
      </w:pPr>
      <w:r w:rsidRPr="0030358C">
        <w:rPr>
          <w:rFonts w:ascii="Arial" w:hAnsi="Arial" w:cs="Arial"/>
          <w:bCs/>
          <w:strike/>
          <w:sz w:val="22"/>
          <w:szCs w:val="22"/>
          <w:lang w:eastAsia="zh-CN"/>
        </w:rPr>
        <w:t>Za účelem předcházení emisím znečišťujících látek obtěžujících zápachem zajistit např. pravidelnou údržbu a čištění výrobních zařízení a skladovacích prostor, surové kůže a odpady skladovat v uzavřených prostorech, popřípadě prostory chladit, řízené odsávání emisí těchto látek do zařízení ke snižování emisí (např. mokrá pračka, biofiltr).</w:t>
      </w:r>
    </w:p>
    <w:p w14:paraId="2C544FF5" w14:textId="77777777" w:rsidR="008F52C8" w:rsidRPr="0030358C" w:rsidRDefault="00000000" w:rsidP="008F52C8">
      <w:pPr>
        <w:keepNext/>
        <w:keepLines/>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 neplatí pro provozy s projektovanou kapacitou nižší než 12 t hotových výrobků ročně.</w:t>
      </w:r>
    </w:p>
    <w:p w14:paraId="398C39F4" w14:textId="77777777" w:rsidR="008F52C8" w:rsidRPr="0030358C" w:rsidRDefault="008F52C8" w:rsidP="008F52C8">
      <w:pPr>
        <w:rPr>
          <w:rFonts w:ascii="Arial" w:hAnsi="Arial" w:cs="Arial"/>
          <w:b/>
          <w:strike/>
          <w:sz w:val="22"/>
          <w:szCs w:val="22"/>
          <w:lang w:eastAsia="zh-CN"/>
        </w:rPr>
      </w:pPr>
    </w:p>
    <w:p w14:paraId="53981836" w14:textId="77777777" w:rsidR="008F52C8" w:rsidRPr="0030358C" w:rsidRDefault="00000000" w:rsidP="008F52C8">
      <w:pPr>
        <w:keepNext/>
        <w:numPr>
          <w:ilvl w:val="2"/>
          <w:numId w:val="0"/>
        </w:numPr>
        <w:tabs>
          <w:tab w:val="num" w:pos="0"/>
        </w:tabs>
        <w:spacing w:before="60"/>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6.12. Zařízení na výrobu uhlíku (vysokoteplotní karbonizací uhlí) nebo elekrografitu vypalováním či grafitací a zpracování uhlíkatých materiálů </w:t>
      </w:r>
      <w:r w:rsidRPr="0030358C">
        <w:rPr>
          <w:rFonts w:ascii="Arial" w:hAnsi="Arial" w:cs="Arial"/>
          <w:bCs/>
          <w:strike/>
          <w:sz w:val="22"/>
          <w:szCs w:val="22"/>
          <w:lang w:eastAsia="zh-CN"/>
        </w:rPr>
        <w:t>(kód 7.14. dle přílohy č. 2 zákona)</w:t>
      </w:r>
    </w:p>
    <w:tbl>
      <w:tblPr>
        <w:tblW w:w="0" w:type="auto"/>
        <w:tblInd w:w="-15" w:type="dxa"/>
        <w:tblLayout w:type="fixed"/>
        <w:tblLook w:val="0000" w:firstRow="0" w:lastRow="0" w:firstColumn="0" w:lastColumn="0" w:noHBand="0" w:noVBand="0"/>
      </w:tblPr>
      <w:tblGrid>
        <w:gridCol w:w="2390"/>
        <w:gridCol w:w="2391"/>
        <w:gridCol w:w="2391"/>
        <w:gridCol w:w="2428"/>
      </w:tblGrid>
      <w:tr w:rsidR="00E40657" w14:paraId="47348D56" w14:textId="77777777" w:rsidTr="00732453">
        <w:trPr>
          <w:cantSplit/>
          <w:trHeight w:hRule="exact" w:val="340"/>
        </w:trPr>
        <w:tc>
          <w:tcPr>
            <w:tcW w:w="7172" w:type="dxa"/>
            <w:gridSpan w:val="3"/>
            <w:tcBorders>
              <w:top w:val="single" w:sz="4" w:space="0" w:color="000000"/>
              <w:left w:val="single" w:sz="4" w:space="0" w:color="000000"/>
              <w:bottom w:val="single" w:sz="6" w:space="0" w:color="000000"/>
            </w:tcBorders>
            <w:shd w:val="clear" w:color="auto" w:fill="auto"/>
            <w:vAlign w:val="center"/>
          </w:tcPr>
          <w:p w14:paraId="0CE5AFE7"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2428"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14:paraId="6299F40D"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76D64663" w14:textId="77777777" w:rsidTr="00732453">
        <w:trPr>
          <w:cantSplit/>
          <w:trHeight w:hRule="exact" w:val="340"/>
        </w:trPr>
        <w:tc>
          <w:tcPr>
            <w:tcW w:w="2390" w:type="dxa"/>
            <w:tcBorders>
              <w:top w:val="single" w:sz="6" w:space="0" w:color="000000"/>
              <w:left w:val="single" w:sz="4" w:space="0" w:color="000000"/>
              <w:bottom w:val="single" w:sz="6" w:space="0" w:color="000000"/>
            </w:tcBorders>
            <w:shd w:val="clear" w:color="auto" w:fill="auto"/>
            <w:vAlign w:val="center"/>
          </w:tcPr>
          <w:p w14:paraId="461EE453"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2391" w:type="dxa"/>
            <w:tcBorders>
              <w:top w:val="single" w:sz="6" w:space="0" w:color="000000"/>
              <w:left w:val="single" w:sz="6" w:space="0" w:color="000000"/>
              <w:bottom w:val="single" w:sz="6" w:space="0" w:color="000000"/>
            </w:tcBorders>
            <w:shd w:val="clear" w:color="auto" w:fill="auto"/>
            <w:vAlign w:val="center"/>
          </w:tcPr>
          <w:p w14:paraId="2A2A13F4"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TOC</w:t>
            </w:r>
          </w:p>
        </w:tc>
        <w:tc>
          <w:tcPr>
            <w:tcW w:w="2391" w:type="dxa"/>
            <w:tcBorders>
              <w:top w:val="single" w:sz="6" w:space="0" w:color="000000"/>
              <w:left w:val="single" w:sz="6" w:space="0" w:color="000000"/>
              <w:bottom w:val="single" w:sz="6" w:space="0" w:color="000000"/>
            </w:tcBorders>
            <w:shd w:val="clear" w:color="auto" w:fill="auto"/>
            <w:vAlign w:val="center"/>
          </w:tcPr>
          <w:p w14:paraId="2B4C3C47" w14:textId="77777777" w:rsidR="008F52C8" w:rsidRPr="0030358C" w:rsidRDefault="00000000" w:rsidP="00732453">
            <w:pPr>
              <w:snapToGrid w:val="0"/>
              <w:jc w:val="center"/>
              <w:rPr>
                <w:rFonts w:ascii="Arial" w:hAnsi="Arial" w:cs="Arial"/>
                <w:b/>
                <w:strike/>
                <w:sz w:val="22"/>
                <w:szCs w:val="22"/>
                <w:vertAlign w:val="superscript"/>
                <w:lang w:eastAsia="zh-CN"/>
              </w:rPr>
            </w:pPr>
            <w:r w:rsidRPr="0030358C">
              <w:rPr>
                <w:rFonts w:ascii="Arial" w:hAnsi="Arial" w:cs="Arial"/>
                <w:b/>
                <w:strike/>
                <w:sz w:val="22"/>
                <w:szCs w:val="22"/>
                <w:lang w:eastAsia="zh-CN"/>
              </w:rPr>
              <w:t>PAH</w:t>
            </w:r>
            <w:r w:rsidRPr="0030358C">
              <w:rPr>
                <w:rFonts w:ascii="Arial" w:hAnsi="Arial" w:cs="Arial"/>
                <w:b/>
                <w:strike/>
                <w:sz w:val="22"/>
                <w:szCs w:val="22"/>
                <w:vertAlign w:val="superscript"/>
                <w:lang w:eastAsia="zh-CN"/>
              </w:rPr>
              <w:t>4)</w:t>
            </w:r>
          </w:p>
        </w:tc>
        <w:tc>
          <w:tcPr>
            <w:tcW w:w="2428"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26B131F5" w14:textId="77777777" w:rsidR="008F52C8" w:rsidRPr="0030358C" w:rsidRDefault="008F52C8" w:rsidP="00732453">
            <w:pPr>
              <w:snapToGrid w:val="0"/>
              <w:rPr>
                <w:rFonts w:ascii="Arial" w:hAnsi="Arial" w:cs="Arial"/>
                <w:b/>
                <w:strike/>
                <w:sz w:val="22"/>
                <w:szCs w:val="22"/>
                <w:lang w:eastAsia="zh-CN"/>
              </w:rPr>
            </w:pPr>
          </w:p>
        </w:tc>
      </w:tr>
      <w:tr w:rsidR="00E40657" w14:paraId="03A4B294" w14:textId="77777777" w:rsidTr="00732453">
        <w:trPr>
          <w:trHeight w:hRule="exact" w:val="935"/>
        </w:trPr>
        <w:tc>
          <w:tcPr>
            <w:tcW w:w="2390" w:type="dxa"/>
            <w:tcBorders>
              <w:top w:val="single" w:sz="6" w:space="0" w:color="000000"/>
              <w:left w:val="single" w:sz="4" w:space="0" w:color="000000"/>
              <w:bottom w:val="single" w:sz="4" w:space="0" w:color="000000"/>
            </w:tcBorders>
            <w:shd w:val="clear" w:color="auto" w:fill="auto"/>
            <w:vAlign w:val="center"/>
          </w:tcPr>
          <w:p w14:paraId="1557419F"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2391" w:type="dxa"/>
            <w:tcBorders>
              <w:top w:val="single" w:sz="6" w:space="0" w:color="000000"/>
              <w:left w:val="single" w:sz="6" w:space="0" w:color="000000"/>
              <w:bottom w:val="single" w:sz="4" w:space="0" w:color="000000"/>
            </w:tcBorders>
            <w:shd w:val="clear" w:color="auto" w:fill="auto"/>
            <w:vAlign w:val="center"/>
          </w:tcPr>
          <w:p w14:paraId="4F7D3BC4"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100</w:t>
            </w:r>
            <w:r w:rsidRPr="0030358C">
              <w:rPr>
                <w:rFonts w:ascii="Arial" w:hAnsi="Arial" w:cs="Arial"/>
                <w:bCs/>
                <w:strike/>
                <w:sz w:val="22"/>
                <w:szCs w:val="22"/>
                <w:vertAlign w:val="superscript"/>
                <w:lang w:eastAsia="zh-CN"/>
              </w:rPr>
              <w:t>1)</w:t>
            </w:r>
          </w:p>
          <w:p w14:paraId="126AA13A"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200</w:t>
            </w:r>
            <w:r w:rsidRPr="0030358C">
              <w:rPr>
                <w:rFonts w:ascii="Arial" w:hAnsi="Arial" w:cs="Arial"/>
                <w:bCs/>
                <w:strike/>
                <w:sz w:val="22"/>
                <w:szCs w:val="22"/>
                <w:vertAlign w:val="superscript"/>
                <w:lang w:eastAsia="zh-CN"/>
              </w:rPr>
              <w:t>2)</w:t>
            </w:r>
          </w:p>
          <w:p w14:paraId="1FB7EB70" w14:textId="77777777" w:rsidR="008F52C8" w:rsidRPr="0030358C" w:rsidRDefault="00000000" w:rsidP="00732453">
            <w:pPr>
              <w:snapToGrid w:val="0"/>
              <w:jc w:val="center"/>
              <w:rPr>
                <w:rFonts w:ascii="Arial" w:hAnsi="Arial" w:cs="Arial"/>
                <w:bCs/>
                <w:strike/>
                <w:sz w:val="22"/>
                <w:szCs w:val="22"/>
                <w:vertAlign w:val="superscript"/>
                <w:lang w:eastAsia="zh-CN"/>
              </w:rPr>
            </w:pPr>
            <w:r w:rsidRPr="0030358C">
              <w:rPr>
                <w:rFonts w:ascii="Arial" w:hAnsi="Arial" w:cs="Arial"/>
                <w:bCs/>
                <w:strike/>
                <w:sz w:val="22"/>
                <w:szCs w:val="22"/>
                <w:lang w:eastAsia="zh-CN"/>
              </w:rPr>
              <w:t>50</w:t>
            </w:r>
            <w:r w:rsidRPr="0030358C">
              <w:rPr>
                <w:rFonts w:ascii="Arial" w:hAnsi="Arial" w:cs="Arial"/>
                <w:bCs/>
                <w:strike/>
                <w:sz w:val="22"/>
                <w:szCs w:val="22"/>
                <w:vertAlign w:val="superscript"/>
                <w:lang w:eastAsia="zh-CN"/>
              </w:rPr>
              <w:t>3)</w:t>
            </w:r>
          </w:p>
        </w:tc>
        <w:tc>
          <w:tcPr>
            <w:tcW w:w="2391" w:type="dxa"/>
            <w:tcBorders>
              <w:top w:val="single" w:sz="6" w:space="0" w:color="000000"/>
              <w:left w:val="single" w:sz="6" w:space="0" w:color="000000"/>
              <w:bottom w:val="single" w:sz="4" w:space="0" w:color="000000"/>
            </w:tcBorders>
            <w:shd w:val="clear" w:color="auto" w:fill="auto"/>
            <w:vAlign w:val="center"/>
          </w:tcPr>
          <w:p w14:paraId="6DCFF87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0,2</w:t>
            </w:r>
          </w:p>
        </w:tc>
        <w:tc>
          <w:tcPr>
            <w:tcW w:w="2428"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E7B995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C</w:t>
            </w:r>
          </w:p>
          <w:p w14:paraId="46B75E2D"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r w:rsidRPr="0030358C">
              <w:rPr>
                <w:rFonts w:ascii="Arial" w:hAnsi="Arial" w:cs="Arial"/>
                <w:bCs/>
                <w:strike/>
                <w:sz w:val="22"/>
                <w:szCs w:val="22"/>
                <w:vertAlign w:val="superscript"/>
                <w:lang w:eastAsia="zh-CN"/>
              </w:rPr>
              <w:t>5)</w:t>
            </w:r>
          </w:p>
        </w:tc>
      </w:tr>
    </w:tbl>
    <w:p w14:paraId="60637D27" w14:textId="77777777" w:rsidR="008F52C8" w:rsidRPr="0030358C" w:rsidRDefault="00000000" w:rsidP="008F52C8">
      <w:pPr>
        <w:spacing w:before="60"/>
        <w:jc w:val="both"/>
        <w:rPr>
          <w:rFonts w:ascii="Arial" w:hAnsi="Arial" w:cs="Arial"/>
          <w:iCs/>
          <w:strike/>
          <w:sz w:val="22"/>
          <w:szCs w:val="22"/>
          <w:lang w:eastAsia="zh-CN"/>
        </w:rPr>
      </w:pPr>
      <w:r w:rsidRPr="0030358C">
        <w:rPr>
          <w:rFonts w:ascii="Arial" w:hAnsi="Arial" w:cs="Arial"/>
          <w:strike/>
          <w:sz w:val="22"/>
          <w:szCs w:val="22"/>
          <w:lang w:eastAsia="zh-CN"/>
        </w:rPr>
        <w:t>Vysvětlivky</w:t>
      </w:r>
      <w:r w:rsidRPr="0030358C">
        <w:rPr>
          <w:rFonts w:ascii="Arial" w:hAnsi="Arial" w:cs="Arial"/>
          <w:iCs/>
          <w:strike/>
          <w:sz w:val="22"/>
          <w:szCs w:val="22"/>
          <w:lang w:eastAsia="zh-CN"/>
        </w:rPr>
        <w:t>:</w:t>
      </w:r>
    </w:p>
    <w:p w14:paraId="63C53382" w14:textId="77777777" w:rsidR="008F52C8" w:rsidRPr="0030358C" w:rsidRDefault="00000000" w:rsidP="008F52C8">
      <w:pPr>
        <w:jc w:val="both"/>
        <w:rPr>
          <w:rFonts w:ascii="Arial" w:hAnsi="Arial" w:cs="Arial"/>
          <w:iCs/>
          <w:strike/>
          <w:sz w:val="22"/>
          <w:szCs w:val="22"/>
          <w:lang w:eastAsia="zh-CN"/>
        </w:rPr>
      </w:pPr>
      <w:r w:rsidRPr="0030358C">
        <w:rPr>
          <w:rFonts w:ascii="Arial" w:hAnsi="Arial" w:cs="Arial"/>
          <w:iCs/>
          <w:strike/>
          <w:sz w:val="22"/>
          <w:szCs w:val="22"/>
          <w:lang w:eastAsia="zh-CN"/>
        </w:rPr>
        <w:t>1) Platí pro formovací a mísicí zařízení, v nichž se zpracovávají smola, dehet nebo jiná kapalná pojiva při zvýšené teplotě.</w:t>
      </w:r>
    </w:p>
    <w:p w14:paraId="1F55E31C" w14:textId="77777777" w:rsidR="008F52C8" w:rsidRPr="0030358C" w:rsidRDefault="00000000" w:rsidP="008F52C8">
      <w:pPr>
        <w:jc w:val="both"/>
        <w:rPr>
          <w:rFonts w:ascii="Arial" w:hAnsi="Arial" w:cs="Arial"/>
          <w:iCs/>
          <w:strike/>
          <w:sz w:val="22"/>
          <w:szCs w:val="22"/>
          <w:lang w:eastAsia="zh-CN"/>
        </w:rPr>
      </w:pPr>
      <w:r w:rsidRPr="0030358C">
        <w:rPr>
          <w:rFonts w:ascii="Arial" w:hAnsi="Arial" w:cs="Arial"/>
          <w:iCs/>
          <w:strike/>
          <w:sz w:val="22"/>
          <w:szCs w:val="22"/>
          <w:lang w:eastAsia="zh-CN"/>
        </w:rPr>
        <w:t>2) Platí pro kruhové pece pro grafitové elektrody, uhlíkové elektrody a uhlíkové cihly.</w:t>
      </w:r>
    </w:p>
    <w:p w14:paraId="3CF67DB1" w14:textId="77777777" w:rsidR="008F52C8" w:rsidRPr="0030358C" w:rsidRDefault="00000000" w:rsidP="008F52C8">
      <w:pPr>
        <w:jc w:val="both"/>
        <w:rPr>
          <w:rFonts w:ascii="Arial" w:hAnsi="Arial" w:cs="Arial"/>
          <w:iCs/>
          <w:strike/>
          <w:sz w:val="22"/>
          <w:szCs w:val="22"/>
          <w:lang w:eastAsia="zh-CN"/>
        </w:rPr>
      </w:pPr>
      <w:r w:rsidRPr="0030358C">
        <w:rPr>
          <w:rFonts w:ascii="Arial" w:hAnsi="Arial" w:cs="Arial"/>
          <w:iCs/>
          <w:strike/>
          <w:sz w:val="22"/>
          <w:szCs w:val="22"/>
          <w:lang w:eastAsia="zh-CN"/>
        </w:rPr>
        <w:t>3) Platí pro jednotlivé komorové pece, spojené komorové a tunelové pece z impregnačních zařízení, v nichž se používají impregnační prostředky na bázi dehtu.</w:t>
      </w:r>
    </w:p>
    <w:p w14:paraId="5740C4F1" w14:textId="77777777" w:rsidR="008F52C8" w:rsidRPr="0030358C" w:rsidRDefault="00000000" w:rsidP="008F52C8">
      <w:pPr>
        <w:jc w:val="both"/>
        <w:rPr>
          <w:rFonts w:ascii="Arial" w:hAnsi="Arial" w:cs="Arial"/>
          <w:strike/>
          <w:sz w:val="22"/>
          <w:szCs w:val="22"/>
          <w:lang w:eastAsia="zh-CN"/>
        </w:rPr>
      </w:pPr>
      <w:r w:rsidRPr="0030358C">
        <w:rPr>
          <w:rFonts w:ascii="Arial" w:hAnsi="Arial" w:cs="Arial"/>
          <w:iCs/>
          <w:strike/>
          <w:sz w:val="22"/>
          <w:szCs w:val="22"/>
          <w:lang w:eastAsia="zh-CN"/>
        </w:rPr>
        <w:t xml:space="preserve">4) </w:t>
      </w:r>
      <w:r w:rsidRPr="0030358C">
        <w:rPr>
          <w:rFonts w:ascii="Arial" w:hAnsi="Arial" w:cs="Arial"/>
          <w:strike/>
          <w:sz w:val="22"/>
          <w:szCs w:val="22"/>
          <w:lang w:eastAsia="zh-CN"/>
        </w:rPr>
        <w:t xml:space="preserve">Benzo(b)fluoranten, benzo(a)pyren, indeno(1,2,3-c,d)pyren, benzo(k)fluoranten. </w:t>
      </w:r>
      <w:r w:rsidRPr="0030358C">
        <w:rPr>
          <w:rFonts w:ascii="Arial" w:hAnsi="Arial" w:cs="Arial"/>
          <w:strike/>
          <w:sz w:val="22"/>
          <w:szCs w:val="22"/>
        </w:rPr>
        <w:t>Platí pro zpracování pevného dehtu, z výroby surové pasty a surových bloků, z vypalování a opakovaného vypalování a z impregnace při výrobě uhlíku a/nebo grafitu.</w:t>
      </w:r>
    </w:p>
    <w:p w14:paraId="6AD042FD" w14:textId="77777777" w:rsidR="008F52C8" w:rsidRPr="0030358C" w:rsidRDefault="00000000" w:rsidP="008F52C8">
      <w:pPr>
        <w:jc w:val="both"/>
        <w:rPr>
          <w:rFonts w:ascii="Arial" w:hAnsi="Arial" w:cs="Arial"/>
          <w:strike/>
          <w:sz w:val="22"/>
          <w:szCs w:val="22"/>
          <w:lang w:eastAsia="zh-CN"/>
        </w:rPr>
      </w:pPr>
      <w:r w:rsidRPr="0030358C">
        <w:rPr>
          <w:rFonts w:ascii="Arial" w:hAnsi="Arial" w:cs="Arial"/>
          <w:strike/>
          <w:sz w:val="22"/>
          <w:szCs w:val="22"/>
          <w:lang w:eastAsia="zh-CN"/>
        </w:rPr>
        <w:t>5) Platí pouze pro stacionární zdroje zahrnuté do kategorie 6.8. přílohy č. 1 zákona č. 76/2002 Sb., o integrované prevenci a omezování znečištění, o integrovaném registru znečišťování a o změně některých zákonů (zákon o integrované prevenci).</w:t>
      </w:r>
    </w:p>
    <w:p w14:paraId="52A6E443" w14:textId="77777777" w:rsidR="008F52C8" w:rsidRPr="0030358C" w:rsidRDefault="008F52C8" w:rsidP="008F52C8">
      <w:pPr>
        <w:jc w:val="both"/>
        <w:rPr>
          <w:rFonts w:ascii="Arial" w:hAnsi="Arial" w:cs="Arial"/>
          <w:b/>
          <w:strike/>
          <w:sz w:val="22"/>
          <w:szCs w:val="22"/>
          <w:lang w:eastAsia="zh-CN"/>
        </w:rPr>
      </w:pPr>
    </w:p>
    <w:p w14:paraId="678FBE05"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1079C44C"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Cs/>
          <w:strike/>
          <w:sz w:val="22"/>
          <w:szCs w:val="22"/>
          <w:lang w:eastAsia="zh-CN"/>
        </w:rPr>
        <w:t>Odvádění emisí VOC z tepelných procesů při výrobě uhlíkatých materiálů do  zařízení ke snižování emisí.</w:t>
      </w:r>
    </w:p>
    <w:p w14:paraId="2A6C6277" w14:textId="77777777" w:rsidR="008F52C8" w:rsidRPr="0030358C" w:rsidRDefault="008F52C8" w:rsidP="008F52C8">
      <w:pPr>
        <w:spacing w:before="60"/>
        <w:jc w:val="both"/>
        <w:rPr>
          <w:rFonts w:ascii="Arial" w:hAnsi="Arial" w:cs="Arial"/>
          <w:b/>
          <w:strike/>
          <w:sz w:val="22"/>
          <w:szCs w:val="22"/>
          <w:lang w:eastAsia="zh-CN"/>
        </w:rPr>
      </w:pPr>
    </w:p>
    <w:p w14:paraId="1B0A3451" w14:textId="77777777" w:rsidR="008F52C8" w:rsidRPr="0030358C" w:rsidRDefault="00000000" w:rsidP="008F52C8">
      <w:pPr>
        <w:keepNext/>
        <w:numPr>
          <w:ilvl w:val="2"/>
          <w:numId w:val="0"/>
        </w:numPr>
        <w:tabs>
          <w:tab w:val="num" w:pos="0"/>
          <w:tab w:val="left" w:pos="851"/>
        </w:tabs>
        <w:spacing w:before="60"/>
        <w:ind w:left="567" w:hanging="567"/>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6.13. Krematoria a zařízení k výhradnímu spalování těl zvířat </w:t>
      </w:r>
      <w:r w:rsidRPr="0030358C">
        <w:rPr>
          <w:rFonts w:ascii="Arial" w:hAnsi="Arial" w:cs="Arial"/>
          <w:bCs/>
          <w:strike/>
          <w:sz w:val="22"/>
          <w:szCs w:val="22"/>
          <w:lang w:eastAsia="zh-CN"/>
        </w:rPr>
        <w:t>(kód 7.15. dle přílohy č. 2 zákona)</w:t>
      </w:r>
    </w:p>
    <w:p w14:paraId="7185CD08" w14:textId="77777777" w:rsidR="008F52C8" w:rsidRPr="0030358C" w:rsidRDefault="00000000" w:rsidP="008F52C8">
      <w:pPr>
        <w:spacing w:before="60"/>
        <w:rPr>
          <w:rFonts w:ascii="Arial" w:hAnsi="Arial" w:cs="Arial"/>
          <w:b/>
          <w:strike/>
          <w:sz w:val="22"/>
          <w:szCs w:val="22"/>
          <w:lang w:eastAsia="zh-CN"/>
        </w:rPr>
      </w:pPr>
      <w:r w:rsidRPr="0030358C">
        <w:rPr>
          <w:rFonts w:ascii="Arial" w:hAnsi="Arial" w:cs="Arial"/>
          <w:b/>
          <w:strike/>
          <w:sz w:val="22"/>
          <w:szCs w:val="22"/>
          <w:lang w:eastAsia="zh-CN"/>
        </w:rPr>
        <w:t>Platí i pro veterinární spalovny v případě výhradního spalování těl zvířat a živočišných zbytků.</w:t>
      </w:r>
    </w:p>
    <w:tbl>
      <w:tblPr>
        <w:tblW w:w="0" w:type="auto"/>
        <w:tblInd w:w="-15" w:type="dxa"/>
        <w:tblLayout w:type="fixed"/>
        <w:tblCellMar>
          <w:left w:w="70" w:type="dxa"/>
          <w:right w:w="70" w:type="dxa"/>
        </w:tblCellMar>
        <w:tblLook w:val="0000" w:firstRow="0" w:lastRow="0" w:firstColumn="0" w:lastColumn="0" w:noHBand="0" w:noVBand="0"/>
      </w:tblPr>
      <w:tblGrid>
        <w:gridCol w:w="1681"/>
        <w:gridCol w:w="1460"/>
        <w:gridCol w:w="1462"/>
        <w:gridCol w:w="1606"/>
        <w:gridCol w:w="1992"/>
        <w:gridCol w:w="1323"/>
      </w:tblGrid>
      <w:tr w:rsidR="00E40657" w14:paraId="59206D95" w14:textId="77777777" w:rsidTr="00732453">
        <w:trPr>
          <w:cantSplit/>
          <w:trHeight w:hRule="exact" w:val="340"/>
        </w:trPr>
        <w:tc>
          <w:tcPr>
            <w:tcW w:w="6209" w:type="dxa"/>
            <w:gridSpan w:val="4"/>
            <w:tcBorders>
              <w:top w:val="single" w:sz="4" w:space="0" w:color="000000"/>
              <w:left w:val="single" w:sz="4" w:space="0" w:color="000000"/>
              <w:bottom w:val="single" w:sz="4" w:space="0" w:color="000000"/>
            </w:tcBorders>
            <w:shd w:val="clear" w:color="auto" w:fill="auto"/>
            <w:vAlign w:val="center"/>
          </w:tcPr>
          <w:p w14:paraId="3517A24B"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992" w:type="dxa"/>
            <w:vMerge w:val="restart"/>
            <w:tcBorders>
              <w:top w:val="single" w:sz="4" w:space="0" w:color="000000"/>
              <w:left w:val="single" w:sz="4" w:space="0" w:color="000000"/>
              <w:bottom w:val="single" w:sz="4" w:space="0" w:color="000000"/>
            </w:tcBorders>
            <w:shd w:val="clear" w:color="auto" w:fill="auto"/>
            <w:vAlign w:val="center"/>
          </w:tcPr>
          <w:p w14:paraId="66B9F0C9"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O</w:t>
            </w:r>
            <w:r w:rsidRPr="0030358C">
              <w:rPr>
                <w:rFonts w:ascii="Arial" w:hAnsi="Arial" w:cs="Arial"/>
                <w:b/>
                <w:strike/>
                <w:sz w:val="22"/>
                <w:szCs w:val="22"/>
                <w:vertAlign w:val="subscript"/>
                <w:lang w:eastAsia="zh-CN"/>
              </w:rPr>
              <w:t xml:space="preserve">2R </w:t>
            </w:r>
            <w:r w:rsidRPr="0030358C">
              <w:rPr>
                <w:rFonts w:ascii="Arial" w:hAnsi="Arial" w:cs="Arial"/>
                <w:b/>
                <w:strike/>
                <w:sz w:val="22"/>
                <w:szCs w:val="22"/>
                <w:lang w:eastAsia="zh-CN"/>
              </w:rPr>
              <w:t>[%]</w:t>
            </w:r>
          </w:p>
        </w:tc>
        <w:tc>
          <w:tcPr>
            <w:tcW w:w="13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572B2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47A98AEC" w14:textId="77777777" w:rsidTr="00732453">
        <w:trPr>
          <w:cantSplit/>
          <w:trHeight w:hRule="exact" w:val="568"/>
        </w:trPr>
        <w:tc>
          <w:tcPr>
            <w:tcW w:w="1681" w:type="dxa"/>
            <w:tcBorders>
              <w:left w:val="single" w:sz="4" w:space="0" w:color="000000"/>
              <w:bottom w:val="single" w:sz="4" w:space="0" w:color="000000"/>
            </w:tcBorders>
            <w:shd w:val="clear" w:color="auto" w:fill="auto"/>
            <w:vAlign w:val="center"/>
          </w:tcPr>
          <w:p w14:paraId="4C18E038"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460" w:type="dxa"/>
            <w:tcBorders>
              <w:left w:val="single" w:sz="4" w:space="0" w:color="000000"/>
              <w:bottom w:val="single" w:sz="4" w:space="0" w:color="000000"/>
            </w:tcBorders>
            <w:shd w:val="clear" w:color="auto" w:fill="auto"/>
            <w:vAlign w:val="center"/>
          </w:tcPr>
          <w:p w14:paraId="715E9E2E" w14:textId="77777777" w:rsidR="008F52C8" w:rsidRPr="0030358C" w:rsidRDefault="00000000" w:rsidP="00732453">
            <w:pPr>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462" w:type="dxa"/>
            <w:tcBorders>
              <w:left w:val="single" w:sz="4" w:space="0" w:color="000000"/>
              <w:bottom w:val="single" w:sz="4" w:space="0" w:color="000000"/>
            </w:tcBorders>
            <w:shd w:val="clear" w:color="auto" w:fill="auto"/>
            <w:vAlign w:val="center"/>
          </w:tcPr>
          <w:p w14:paraId="55E742BF"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CO</w:t>
            </w:r>
          </w:p>
        </w:tc>
        <w:tc>
          <w:tcPr>
            <w:tcW w:w="1606" w:type="dxa"/>
            <w:tcBorders>
              <w:left w:val="single" w:sz="4" w:space="0" w:color="000000"/>
              <w:bottom w:val="single" w:sz="4" w:space="0" w:color="000000"/>
            </w:tcBorders>
            <w:shd w:val="clear" w:color="auto" w:fill="auto"/>
            <w:vAlign w:val="center"/>
          </w:tcPr>
          <w:p w14:paraId="23F872EE" w14:textId="77777777" w:rsidR="008F52C8" w:rsidRPr="0030358C" w:rsidRDefault="00000000" w:rsidP="00732453">
            <w:pPr>
              <w:snapToGrid w:val="0"/>
              <w:jc w:val="center"/>
              <w:rPr>
                <w:rFonts w:ascii="Arial" w:hAnsi="Arial" w:cs="Arial"/>
                <w:b/>
                <w:strike/>
                <w:sz w:val="22"/>
                <w:szCs w:val="22"/>
                <w:lang w:eastAsia="zh-CN"/>
              </w:rPr>
            </w:pPr>
            <w:r w:rsidRPr="0030358C">
              <w:rPr>
                <w:rFonts w:ascii="Arial" w:hAnsi="Arial" w:cs="Arial"/>
                <w:b/>
                <w:strike/>
                <w:sz w:val="22"/>
                <w:szCs w:val="22"/>
                <w:lang w:eastAsia="zh-CN"/>
              </w:rPr>
              <w:t>TOC</w:t>
            </w:r>
          </w:p>
        </w:tc>
        <w:tc>
          <w:tcPr>
            <w:tcW w:w="1992" w:type="dxa"/>
            <w:vMerge/>
            <w:tcBorders>
              <w:top w:val="single" w:sz="4" w:space="0" w:color="000000"/>
              <w:left w:val="single" w:sz="4" w:space="0" w:color="000000"/>
              <w:bottom w:val="single" w:sz="4" w:space="0" w:color="000000"/>
            </w:tcBorders>
            <w:shd w:val="clear" w:color="auto" w:fill="auto"/>
            <w:vAlign w:val="center"/>
          </w:tcPr>
          <w:p w14:paraId="0D5DCA43" w14:textId="77777777" w:rsidR="008F52C8" w:rsidRPr="0030358C" w:rsidRDefault="008F52C8" w:rsidP="00732453">
            <w:pPr>
              <w:snapToGrid w:val="0"/>
              <w:rPr>
                <w:rFonts w:ascii="Arial" w:hAnsi="Arial" w:cs="Arial"/>
                <w:b/>
                <w:strike/>
                <w:sz w:val="22"/>
                <w:szCs w:val="22"/>
                <w:lang w:eastAsia="zh-CN"/>
              </w:rPr>
            </w:pPr>
          </w:p>
        </w:tc>
        <w:tc>
          <w:tcPr>
            <w:tcW w:w="13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52FD9" w14:textId="77777777" w:rsidR="008F52C8" w:rsidRPr="0030358C" w:rsidRDefault="008F52C8" w:rsidP="00732453">
            <w:pPr>
              <w:snapToGrid w:val="0"/>
              <w:rPr>
                <w:rFonts w:ascii="Arial" w:hAnsi="Arial" w:cs="Arial"/>
                <w:b/>
                <w:strike/>
                <w:sz w:val="22"/>
                <w:szCs w:val="22"/>
                <w:lang w:eastAsia="zh-CN"/>
              </w:rPr>
            </w:pPr>
          </w:p>
        </w:tc>
      </w:tr>
      <w:tr w:rsidR="00E40657" w14:paraId="368D379A" w14:textId="77777777" w:rsidTr="00732453">
        <w:trPr>
          <w:trHeight w:hRule="exact" w:val="621"/>
        </w:trPr>
        <w:tc>
          <w:tcPr>
            <w:tcW w:w="1681" w:type="dxa"/>
            <w:tcBorders>
              <w:left w:val="single" w:sz="4" w:space="0" w:color="000000"/>
              <w:bottom w:val="single" w:sz="4" w:space="0" w:color="000000"/>
            </w:tcBorders>
            <w:shd w:val="clear" w:color="auto" w:fill="auto"/>
            <w:vAlign w:val="center"/>
          </w:tcPr>
          <w:p w14:paraId="4E435993"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460" w:type="dxa"/>
            <w:tcBorders>
              <w:left w:val="single" w:sz="4" w:space="0" w:color="000000"/>
              <w:bottom w:val="single" w:sz="4" w:space="0" w:color="000000"/>
            </w:tcBorders>
            <w:shd w:val="clear" w:color="auto" w:fill="auto"/>
            <w:vAlign w:val="center"/>
          </w:tcPr>
          <w:p w14:paraId="08D02E14"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350</w:t>
            </w:r>
          </w:p>
        </w:tc>
        <w:tc>
          <w:tcPr>
            <w:tcW w:w="1462" w:type="dxa"/>
            <w:tcBorders>
              <w:left w:val="single" w:sz="4" w:space="0" w:color="000000"/>
              <w:bottom w:val="single" w:sz="4" w:space="0" w:color="000000"/>
            </w:tcBorders>
            <w:shd w:val="clear" w:color="auto" w:fill="auto"/>
            <w:vAlign w:val="center"/>
          </w:tcPr>
          <w:p w14:paraId="3584684B"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100</w:t>
            </w:r>
          </w:p>
        </w:tc>
        <w:tc>
          <w:tcPr>
            <w:tcW w:w="1606" w:type="dxa"/>
            <w:tcBorders>
              <w:left w:val="single" w:sz="4" w:space="0" w:color="000000"/>
              <w:bottom w:val="single" w:sz="4" w:space="0" w:color="000000"/>
            </w:tcBorders>
            <w:shd w:val="clear" w:color="auto" w:fill="auto"/>
            <w:vAlign w:val="center"/>
          </w:tcPr>
          <w:p w14:paraId="33A1D379"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15</w:t>
            </w:r>
          </w:p>
        </w:tc>
        <w:tc>
          <w:tcPr>
            <w:tcW w:w="1992" w:type="dxa"/>
            <w:tcBorders>
              <w:left w:val="single" w:sz="4" w:space="0" w:color="000000"/>
              <w:bottom w:val="single" w:sz="4" w:space="0" w:color="000000"/>
            </w:tcBorders>
            <w:shd w:val="clear" w:color="auto" w:fill="auto"/>
            <w:vAlign w:val="center"/>
          </w:tcPr>
          <w:p w14:paraId="623A94B5"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17</w:t>
            </w:r>
          </w:p>
        </w:tc>
        <w:tc>
          <w:tcPr>
            <w:tcW w:w="1323" w:type="dxa"/>
            <w:tcBorders>
              <w:left w:val="single" w:sz="4" w:space="0" w:color="000000"/>
              <w:bottom w:val="single" w:sz="4" w:space="0" w:color="000000"/>
              <w:right w:val="single" w:sz="4" w:space="0" w:color="000000"/>
            </w:tcBorders>
            <w:shd w:val="clear" w:color="auto" w:fill="auto"/>
            <w:vAlign w:val="center"/>
          </w:tcPr>
          <w:p w14:paraId="7C67D617" w14:textId="77777777" w:rsidR="008F52C8" w:rsidRPr="0030358C" w:rsidRDefault="00000000" w:rsidP="00732453">
            <w:pPr>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629AE38A" w14:textId="77777777" w:rsidR="008F52C8" w:rsidRPr="0030358C" w:rsidRDefault="008F52C8" w:rsidP="008F52C8">
      <w:pPr>
        <w:rPr>
          <w:rFonts w:ascii="Arial" w:hAnsi="Arial" w:cs="Arial"/>
          <w:b/>
          <w:strike/>
          <w:sz w:val="22"/>
          <w:szCs w:val="22"/>
          <w:lang w:eastAsia="zh-CN"/>
        </w:rPr>
      </w:pPr>
    </w:p>
    <w:p w14:paraId="6B1801BE" w14:textId="77777777" w:rsidR="008F52C8" w:rsidRPr="0030358C" w:rsidRDefault="00000000" w:rsidP="008F52C8">
      <w:pPr>
        <w:spacing w:before="144"/>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1307C359" w14:textId="77777777" w:rsidR="008F52C8" w:rsidRPr="0030358C" w:rsidRDefault="00000000" w:rsidP="008F52C8">
      <w:pPr>
        <w:widowControl w:val="0"/>
        <w:autoSpaceDE w:val="0"/>
        <w:jc w:val="both"/>
        <w:rPr>
          <w:rFonts w:ascii="Arial" w:hAnsi="Arial" w:cs="Arial"/>
          <w:bCs/>
          <w:strike/>
          <w:sz w:val="22"/>
          <w:szCs w:val="22"/>
          <w:lang w:eastAsia="zh-CN"/>
        </w:rPr>
      </w:pPr>
      <w:r w:rsidRPr="0030358C">
        <w:rPr>
          <w:rFonts w:ascii="Arial" w:hAnsi="Arial" w:cs="Arial"/>
          <w:bCs/>
          <w:strike/>
          <w:sz w:val="22"/>
          <w:szCs w:val="22"/>
          <w:lang w:eastAsia="zh-CN"/>
        </w:rPr>
        <w:t>Udržování takové teploty ve spalovacím prostoru za posledním přívodem vzduchu, která zajišťuje termickou a oxidační destrukci všech odcházejících znečišťujících látek (nejméně 850° C) s dobou setrvání spalin nejméně 2 s.</w:t>
      </w:r>
    </w:p>
    <w:p w14:paraId="2BDDE169" w14:textId="77777777" w:rsidR="008F52C8" w:rsidRPr="0030358C" w:rsidRDefault="008F52C8" w:rsidP="008F52C8">
      <w:pPr>
        <w:spacing w:before="120"/>
        <w:rPr>
          <w:rFonts w:ascii="Arial" w:hAnsi="Arial" w:cs="Arial"/>
          <w:b/>
          <w:strike/>
          <w:sz w:val="22"/>
          <w:szCs w:val="22"/>
          <w:lang w:eastAsia="zh-CN"/>
        </w:rPr>
      </w:pPr>
    </w:p>
    <w:p w14:paraId="7A1D35D5" w14:textId="77777777" w:rsidR="008F52C8" w:rsidRPr="0030358C" w:rsidRDefault="00000000" w:rsidP="008F52C8">
      <w:pPr>
        <w:keepNext/>
        <w:numPr>
          <w:ilvl w:val="2"/>
          <w:numId w:val="0"/>
        </w:numPr>
        <w:tabs>
          <w:tab w:val="num" w:pos="0"/>
        </w:tabs>
        <w:spacing w:before="60" w:line="300" w:lineRule="exact"/>
        <w:ind w:left="720" w:hanging="720"/>
        <w:jc w:val="both"/>
        <w:outlineLvl w:val="2"/>
        <w:rPr>
          <w:rFonts w:ascii="Arial" w:hAnsi="Arial" w:cs="Arial"/>
          <w:bCs/>
          <w:strike/>
          <w:sz w:val="22"/>
          <w:szCs w:val="22"/>
          <w:lang w:eastAsia="zh-CN"/>
        </w:rPr>
      </w:pPr>
      <w:r w:rsidRPr="0030358C">
        <w:rPr>
          <w:rFonts w:ascii="Arial" w:hAnsi="Arial" w:cs="Arial"/>
          <w:b/>
          <w:strike/>
          <w:sz w:val="22"/>
          <w:szCs w:val="22"/>
          <w:lang w:eastAsia="zh-CN"/>
        </w:rPr>
        <w:t xml:space="preserve">6.14. Veterinární asanační zařízení </w:t>
      </w:r>
      <w:r w:rsidRPr="0030358C">
        <w:rPr>
          <w:rFonts w:ascii="Arial" w:hAnsi="Arial" w:cs="Arial"/>
          <w:bCs/>
          <w:strike/>
          <w:sz w:val="22"/>
          <w:szCs w:val="22"/>
          <w:lang w:eastAsia="zh-CN"/>
        </w:rPr>
        <w:t>(kód 7.16. dle přílohy č. 2 zákona)</w:t>
      </w:r>
    </w:p>
    <w:p w14:paraId="4DA73187" w14:textId="77777777" w:rsidR="008F52C8" w:rsidRPr="0030358C" w:rsidRDefault="00000000" w:rsidP="008F52C8">
      <w:pPr>
        <w:spacing w:before="60" w:line="300" w:lineRule="exact"/>
        <w:jc w:val="both"/>
        <w:rPr>
          <w:rFonts w:ascii="Arial" w:hAnsi="Arial" w:cs="Arial"/>
          <w:bCs/>
          <w:strike/>
          <w:sz w:val="22"/>
          <w:szCs w:val="22"/>
          <w:lang w:eastAsia="zh-CN"/>
        </w:rPr>
      </w:pPr>
      <w:r w:rsidRPr="0030358C">
        <w:rPr>
          <w:rFonts w:ascii="Arial" w:hAnsi="Arial" w:cs="Arial"/>
          <w:bCs/>
          <w:strike/>
          <w:sz w:val="22"/>
          <w:szCs w:val="22"/>
          <w:lang w:eastAsia="zh-CN"/>
        </w:rPr>
        <w:t>Platí pro sběr, přepravu a neškodné odstraňování a další zpracování vedlejších živočišných produktů</w:t>
      </w:r>
      <w:r>
        <w:rPr>
          <w:rStyle w:val="Znakapoznpodarou"/>
          <w:rFonts w:ascii="Arial" w:hAnsi="Arial" w:cs="Arial"/>
          <w:bCs/>
          <w:strike/>
          <w:sz w:val="22"/>
          <w:szCs w:val="22"/>
          <w:lang w:eastAsia="zh-CN"/>
        </w:rPr>
        <w:footnoteReference w:customMarkFollows="1" w:id="1"/>
        <w:t>7</w:t>
      </w:r>
      <w:r w:rsidRPr="0030358C">
        <w:rPr>
          <w:rFonts w:ascii="Arial" w:hAnsi="Arial" w:cs="Arial"/>
          <w:bCs/>
          <w:strike/>
          <w:sz w:val="22"/>
          <w:szCs w:val="22"/>
          <w:vertAlign w:val="superscript"/>
          <w:lang w:eastAsia="zh-CN"/>
        </w:rPr>
        <w:t>)</w:t>
      </w:r>
      <w:r w:rsidRPr="0030358C">
        <w:rPr>
          <w:rFonts w:ascii="Arial" w:hAnsi="Arial" w:cs="Arial"/>
          <w:bCs/>
          <w:strike/>
          <w:sz w:val="22"/>
          <w:szCs w:val="22"/>
          <w:lang w:eastAsia="zh-CN"/>
        </w:rPr>
        <w:t xml:space="preserve"> kategorie 1, 2</w:t>
      </w:r>
      <w:r w:rsidRPr="0030358C">
        <w:rPr>
          <w:rFonts w:ascii="Arial" w:hAnsi="Arial" w:cs="Arial"/>
          <w:bCs/>
          <w:strike/>
          <w:sz w:val="22"/>
          <w:szCs w:val="22"/>
          <w:vertAlign w:val="superscript"/>
          <w:lang w:eastAsia="zh-CN"/>
        </w:rPr>
        <w:t xml:space="preserve"> </w:t>
      </w:r>
      <w:r w:rsidRPr="0030358C">
        <w:rPr>
          <w:rFonts w:ascii="Arial" w:hAnsi="Arial" w:cs="Arial"/>
          <w:bCs/>
          <w:strike/>
          <w:sz w:val="22"/>
          <w:szCs w:val="22"/>
          <w:lang w:eastAsia="zh-CN"/>
        </w:rPr>
        <w:t xml:space="preserve">nebo 3 </w:t>
      </w:r>
      <w:r w:rsidRPr="0030358C">
        <w:rPr>
          <w:rFonts w:ascii="Arial" w:hAnsi="Arial" w:cs="Arial"/>
          <w:bCs/>
          <w:strike/>
          <w:sz w:val="22"/>
          <w:szCs w:val="22"/>
          <w:lang w:eastAsia="cs-CZ"/>
        </w:rPr>
        <w:t xml:space="preserve">podle </w:t>
      </w:r>
      <w:r w:rsidRPr="0030358C">
        <w:rPr>
          <w:rFonts w:ascii="Arial" w:hAnsi="Arial" w:cs="Arial"/>
          <w:bCs/>
          <w:strike/>
          <w:sz w:val="22"/>
          <w:szCs w:val="22"/>
          <w:lang w:eastAsia="zh-CN"/>
        </w:rPr>
        <w:t xml:space="preserve">Nařízení Evropského parlamentu a Rady </w:t>
      </w:r>
      <w:r w:rsidRPr="0030358C">
        <w:rPr>
          <w:rFonts w:ascii="Arial" w:hAnsi="Arial" w:cs="Arial"/>
          <w:bCs/>
          <w:strike/>
          <w:sz w:val="22"/>
          <w:szCs w:val="22"/>
          <w:lang w:eastAsia="cs-CZ"/>
        </w:rPr>
        <w:t xml:space="preserve">č. 1069/2009 </w:t>
      </w:r>
      <w:r w:rsidRPr="0030358C">
        <w:rPr>
          <w:rFonts w:ascii="Arial" w:hAnsi="Arial" w:cs="Arial"/>
          <w:bCs/>
          <w:strike/>
          <w:sz w:val="22"/>
          <w:szCs w:val="22"/>
          <w:lang w:eastAsia="zh-CN"/>
        </w:rPr>
        <w:t>na masokostní moučku, zpracované živočišné bílkoviny a tavený tuk</w:t>
      </w:r>
      <w:r>
        <w:rPr>
          <w:rStyle w:val="Znakapoznpodarou"/>
          <w:rFonts w:ascii="Arial" w:hAnsi="Arial" w:cs="Arial"/>
          <w:bCs/>
          <w:strike/>
          <w:sz w:val="22"/>
          <w:szCs w:val="22"/>
          <w:lang w:eastAsia="zh-CN"/>
        </w:rPr>
        <w:footnoteReference w:customMarkFollows="1" w:id="2"/>
        <w:t>8</w:t>
      </w:r>
      <w:r w:rsidRPr="0030358C">
        <w:rPr>
          <w:rFonts w:ascii="Arial" w:hAnsi="Arial" w:cs="Arial"/>
          <w:bCs/>
          <w:strike/>
          <w:sz w:val="22"/>
          <w:szCs w:val="22"/>
          <w:vertAlign w:val="superscript"/>
          <w:lang w:eastAsia="zh-CN"/>
        </w:rPr>
        <w:t>)</w:t>
      </w:r>
      <w:r w:rsidRPr="0030358C">
        <w:rPr>
          <w:rFonts w:ascii="Arial" w:hAnsi="Arial" w:cs="Arial"/>
          <w:bCs/>
          <w:strike/>
          <w:sz w:val="22"/>
          <w:szCs w:val="22"/>
          <w:lang w:eastAsia="zh-CN"/>
        </w:rPr>
        <w:t xml:space="preserve">. </w:t>
      </w:r>
    </w:p>
    <w:p w14:paraId="2223D958" w14:textId="77777777" w:rsidR="008F52C8" w:rsidRPr="0030358C" w:rsidRDefault="008F52C8" w:rsidP="008F52C8">
      <w:pPr>
        <w:spacing w:before="60" w:line="300" w:lineRule="exact"/>
        <w:jc w:val="both"/>
        <w:rPr>
          <w:rFonts w:ascii="Arial" w:hAnsi="Arial" w:cs="Arial"/>
          <w:b/>
          <w:strike/>
          <w:sz w:val="22"/>
          <w:szCs w:val="22"/>
          <w:lang w:eastAsia="zh-CN"/>
        </w:rPr>
      </w:pPr>
    </w:p>
    <w:p w14:paraId="5455BB84" w14:textId="77777777" w:rsidR="008F52C8" w:rsidRPr="0030358C" w:rsidRDefault="00000000" w:rsidP="008F52C8">
      <w:pPr>
        <w:widowControl w:val="0"/>
        <w:autoSpaceDE w:val="0"/>
        <w:spacing w:before="60" w:line="300" w:lineRule="exact"/>
        <w:jc w:val="both"/>
        <w:rPr>
          <w:rFonts w:ascii="Arial" w:hAnsi="Arial" w:cs="Arial"/>
          <w:bCs/>
          <w:strike/>
          <w:sz w:val="22"/>
          <w:szCs w:val="22"/>
          <w:lang w:eastAsia="zh-CN"/>
        </w:rPr>
      </w:pPr>
      <w:r w:rsidRPr="0030358C">
        <w:rPr>
          <w:rFonts w:ascii="Arial" w:hAnsi="Arial" w:cs="Arial"/>
          <w:bCs/>
          <w:strike/>
          <w:sz w:val="22"/>
          <w:szCs w:val="22"/>
          <w:lang w:eastAsia="zh-CN"/>
        </w:rPr>
        <w:t>Technická podmínka provozu:</w:t>
      </w:r>
    </w:p>
    <w:p w14:paraId="780799C8" w14:textId="77777777" w:rsidR="008F52C8" w:rsidRPr="0030358C" w:rsidRDefault="00000000" w:rsidP="008F52C8">
      <w:pPr>
        <w:spacing w:before="62" w:after="57"/>
        <w:jc w:val="both"/>
        <w:rPr>
          <w:rFonts w:ascii="Arial" w:hAnsi="Arial" w:cs="Arial"/>
          <w:bCs/>
          <w:strike/>
          <w:sz w:val="22"/>
          <w:szCs w:val="22"/>
          <w:lang w:eastAsia="zh-CN"/>
        </w:rPr>
      </w:pPr>
      <w:r w:rsidRPr="0030358C">
        <w:rPr>
          <w:rFonts w:ascii="Arial" w:hAnsi="Arial" w:cs="Arial"/>
          <w:bCs/>
          <w:strike/>
          <w:sz w:val="22"/>
          <w:szCs w:val="22"/>
          <w:lang w:eastAsia="zh-CN"/>
        </w:rPr>
        <w:t xml:space="preserve">Za účelem předcházení emisí znečišťujících látek obtěžujících zápachem zajistit např. odsávání odpadních plynů do zařízení k omezování emisí, skladování v uzavřených zásobnících a čištění přepravních zásobníků v uzavřených prostorech. </w:t>
      </w:r>
    </w:p>
    <w:p w14:paraId="56A37DE6" w14:textId="77777777" w:rsidR="008F52C8" w:rsidRPr="0030358C" w:rsidRDefault="008F52C8" w:rsidP="008F52C8">
      <w:pPr>
        <w:spacing w:before="62" w:after="57"/>
        <w:jc w:val="both"/>
        <w:rPr>
          <w:rFonts w:ascii="Arial" w:hAnsi="Arial" w:cs="Arial"/>
          <w:b/>
          <w:strike/>
          <w:sz w:val="22"/>
          <w:szCs w:val="22"/>
          <w:lang w:eastAsia="zh-CN"/>
        </w:rPr>
      </w:pPr>
    </w:p>
    <w:p w14:paraId="5921BE4A" w14:textId="77777777" w:rsidR="008F52C8" w:rsidRPr="0030358C" w:rsidRDefault="00000000" w:rsidP="008F52C8">
      <w:pPr>
        <w:spacing w:before="62" w:after="57"/>
        <w:rPr>
          <w:rFonts w:ascii="Arial" w:hAnsi="Arial" w:cs="Arial"/>
          <w:bCs/>
          <w:strike/>
          <w:sz w:val="22"/>
          <w:szCs w:val="22"/>
          <w:lang w:eastAsia="zh-CN"/>
        </w:rPr>
      </w:pPr>
      <w:r w:rsidRPr="0030358C">
        <w:rPr>
          <w:rFonts w:ascii="Arial" w:hAnsi="Arial" w:cs="Arial"/>
          <w:b/>
          <w:strike/>
          <w:sz w:val="22"/>
          <w:szCs w:val="22"/>
          <w:lang w:eastAsia="zh-CN"/>
        </w:rPr>
        <w:t xml:space="preserve">6.15. Regenerace a aktivace katalyzátorů pro katalytické štěpení ve fluidní vrstvě </w:t>
      </w:r>
      <w:r w:rsidRPr="0030358C">
        <w:rPr>
          <w:rFonts w:ascii="Arial" w:hAnsi="Arial" w:cs="Arial"/>
          <w:bCs/>
          <w:strike/>
          <w:sz w:val="22"/>
          <w:szCs w:val="22"/>
          <w:lang w:eastAsia="zh-CN"/>
        </w:rPr>
        <w:t>(kód 7.17. dle přílohy č. 2 zákona)</w:t>
      </w:r>
    </w:p>
    <w:tbl>
      <w:tblPr>
        <w:tblW w:w="0" w:type="auto"/>
        <w:tblInd w:w="-15" w:type="dxa"/>
        <w:tblLayout w:type="fixed"/>
        <w:tblLook w:val="0000" w:firstRow="0" w:lastRow="0" w:firstColumn="0" w:lastColumn="0" w:noHBand="0" w:noVBand="0"/>
      </w:tblPr>
      <w:tblGrid>
        <w:gridCol w:w="1884"/>
        <w:gridCol w:w="1884"/>
        <w:gridCol w:w="1883"/>
        <w:gridCol w:w="1569"/>
        <w:gridCol w:w="2380"/>
      </w:tblGrid>
      <w:tr w:rsidR="00E40657" w14:paraId="1F29B189" w14:textId="77777777" w:rsidTr="00732453">
        <w:trPr>
          <w:cantSplit/>
          <w:trHeight w:hRule="exact" w:val="348"/>
        </w:trPr>
        <w:tc>
          <w:tcPr>
            <w:tcW w:w="5651" w:type="dxa"/>
            <w:gridSpan w:val="3"/>
            <w:tcBorders>
              <w:top w:val="single" w:sz="4" w:space="0" w:color="000000"/>
              <w:left w:val="single" w:sz="4" w:space="0" w:color="000000"/>
              <w:bottom w:val="single" w:sz="4" w:space="0" w:color="000000"/>
            </w:tcBorders>
            <w:shd w:val="clear" w:color="auto" w:fill="auto"/>
            <w:vAlign w:val="center"/>
          </w:tcPr>
          <w:p w14:paraId="7E8DFFA3"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Emisní limity [mg/m</w:t>
            </w:r>
            <w:r w:rsidRPr="0030358C">
              <w:rPr>
                <w:rFonts w:ascii="Arial" w:hAnsi="Arial" w:cs="Arial"/>
                <w:b/>
                <w:strike/>
                <w:sz w:val="22"/>
                <w:szCs w:val="22"/>
                <w:vertAlign w:val="superscript"/>
                <w:lang w:eastAsia="zh-CN"/>
              </w:rPr>
              <w:t>3</w:t>
            </w:r>
            <w:r w:rsidRPr="0030358C">
              <w:rPr>
                <w:rFonts w:ascii="Arial" w:hAnsi="Arial" w:cs="Arial"/>
                <w:b/>
                <w:strike/>
                <w:sz w:val="22"/>
                <w:szCs w:val="22"/>
                <w:lang w:eastAsia="zh-CN"/>
              </w:rPr>
              <w:t>]</w:t>
            </w:r>
          </w:p>
        </w:tc>
        <w:tc>
          <w:tcPr>
            <w:tcW w:w="1569" w:type="dxa"/>
            <w:vMerge w:val="restart"/>
            <w:tcBorders>
              <w:top w:val="single" w:sz="4" w:space="0" w:color="000000"/>
              <w:left w:val="single" w:sz="4" w:space="0" w:color="000000"/>
              <w:bottom w:val="single" w:sz="4" w:space="0" w:color="000000"/>
            </w:tcBorders>
            <w:shd w:val="clear" w:color="auto" w:fill="auto"/>
            <w:vAlign w:val="center"/>
          </w:tcPr>
          <w:p w14:paraId="2894F97E" w14:textId="77777777" w:rsidR="008F52C8" w:rsidRPr="0030358C" w:rsidRDefault="00000000" w:rsidP="00732453">
            <w:pPr>
              <w:keepNext/>
              <w:keepLines/>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O</w:t>
            </w:r>
            <w:r w:rsidRPr="0030358C">
              <w:rPr>
                <w:rFonts w:ascii="Arial" w:hAnsi="Arial" w:cs="Arial"/>
                <w:b/>
                <w:strike/>
                <w:sz w:val="22"/>
                <w:szCs w:val="22"/>
                <w:vertAlign w:val="subscript"/>
                <w:lang w:eastAsia="zh-CN"/>
              </w:rPr>
              <w:t>2R</w:t>
            </w:r>
          </w:p>
          <w:p w14:paraId="76341230" w14:textId="77777777" w:rsidR="008F52C8" w:rsidRPr="0030358C" w:rsidRDefault="00000000" w:rsidP="00732453">
            <w:pPr>
              <w:keepNext/>
              <w:keepLines/>
              <w:jc w:val="center"/>
              <w:rPr>
                <w:rFonts w:ascii="Arial" w:hAnsi="Arial" w:cs="Arial"/>
                <w:b/>
                <w:strike/>
                <w:sz w:val="22"/>
                <w:szCs w:val="22"/>
                <w:lang w:eastAsia="zh-CN"/>
              </w:rPr>
            </w:pPr>
            <w:r w:rsidRPr="0030358C">
              <w:rPr>
                <w:rFonts w:ascii="Arial" w:hAnsi="Arial" w:cs="Arial"/>
                <w:b/>
                <w:strike/>
                <w:sz w:val="22"/>
                <w:szCs w:val="22"/>
                <w:lang w:eastAsia="zh-CN"/>
              </w:rPr>
              <w:t>[%]</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AABD37"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Vztažné podmínky</w:t>
            </w:r>
          </w:p>
        </w:tc>
      </w:tr>
      <w:tr w:rsidR="00E40657" w14:paraId="14225D3F" w14:textId="77777777" w:rsidTr="00732453">
        <w:trPr>
          <w:cantSplit/>
          <w:trHeight w:hRule="exact" w:val="586"/>
        </w:trPr>
        <w:tc>
          <w:tcPr>
            <w:tcW w:w="1884" w:type="dxa"/>
            <w:tcBorders>
              <w:left w:val="single" w:sz="4" w:space="0" w:color="000000"/>
              <w:bottom w:val="single" w:sz="4" w:space="0" w:color="000000"/>
            </w:tcBorders>
            <w:shd w:val="clear" w:color="auto" w:fill="auto"/>
            <w:vAlign w:val="center"/>
          </w:tcPr>
          <w:p w14:paraId="1D8CA459" w14:textId="77777777" w:rsidR="008F52C8" w:rsidRPr="0030358C" w:rsidRDefault="00000000" w:rsidP="00732453">
            <w:pPr>
              <w:keepNext/>
              <w:keepLines/>
              <w:snapToGrid w:val="0"/>
              <w:jc w:val="center"/>
              <w:rPr>
                <w:rFonts w:ascii="Arial" w:hAnsi="Arial" w:cs="Arial"/>
                <w:b/>
                <w:strike/>
                <w:sz w:val="22"/>
                <w:szCs w:val="22"/>
                <w:lang w:eastAsia="zh-CN"/>
              </w:rPr>
            </w:pPr>
            <w:r w:rsidRPr="0030358C">
              <w:rPr>
                <w:rFonts w:ascii="Arial" w:hAnsi="Arial" w:cs="Arial"/>
                <w:b/>
                <w:strike/>
                <w:sz w:val="22"/>
                <w:szCs w:val="22"/>
                <w:lang w:eastAsia="zh-CN"/>
              </w:rPr>
              <w:t>TZL</w:t>
            </w:r>
          </w:p>
        </w:tc>
        <w:tc>
          <w:tcPr>
            <w:tcW w:w="1884" w:type="dxa"/>
            <w:tcBorders>
              <w:left w:val="single" w:sz="4" w:space="0" w:color="000000"/>
              <w:bottom w:val="single" w:sz="4" w:space="0" w:color="000000"/>
            </w:tcBorders>
            <w:shd w:val="clear" w:color="auto" w:fill="auto"/>
            <w:vAlign w:val="center"/>
          </w:tcPr>
          <w:p w14:paraId="37899A10" w14:textId="77777777" w:rsidR="008F52C8" w:rsidRPr="0030358C" w:rsidRDefault="00000000" w:rsidP="00732453">
            <w:pPr>
              <w:keepNext/>
              <w:keepLines/>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SO</w:t>
            </w:r>
            <w:r w:rsidRPr="0030358C">
              <w:rPr>
                <w:rFonts w:ascii="Arial" w:hAnsi="Arial" w:cs="Arial"/>
                <w:b/>
                <w:strike/>
                <w:sz w:val="22"/>
                <w:szCs w:val="22"/>
                <w:vertAlign w:val="subscript"/>
                <w:lang w:eastAsia="zh-CN"/>
              </w:rPr>
              <w:t>2</w:t>
            </w:r>
          </w:p>
        </w:tc>
        <w:tc>
          <w:tcPr>
            <w:tcW w:w="1883" w:type="dxa"/>
            <w:tcBorders>
              <w:left w:val="single" w:sz="4" w:space="0" w:color="000000"/>
              <w:bottom w:val="single" w:sz="4" w:space="0" w:color="000000"/>
            </w:tcBorders>
            <w:shd w:val="clear" w:color="auto" w:fill="auto"/>
            <w:vAlign w:val="center"/>
          </w:tcPr>
          <w:p w14:paraId="34E82657" w14:textId="77777777" w:rsidR="008F52C8" w:rsidRPr="0030358C" w:rsidRDefault="00000000" w:rsidP="00732453">
            <w:pPr>
              <w:keepNext/>
              <w:keepLines/>
              <w:snapToGrid w:val="0"/>
              <w:jc w:val="center"/>
              <w:rPr>
                <w:rFonts w:ascii="Arial" w:hAnsi="Arial" w:cs="Arial"/>
                <w:b/>
                <w:strike/>
                <w:sz w:val="22"/>
                <w:szCs w:val="22"/>
                <w:vertAlign w:val="subscript"/>
                <w:lang w:eastAsia="zh-CN"/>
              </w:rPr>
            </w:pPr>
            <w:r w:rsidRPr="0030358C">
              <w:rPr>
                <w:rFonts w:ascii="Arial" w:hAnsi="Arial" w:cs="Arial"/>
                <w:b/>
                <w:strike/>
                <w:sz w:val="22"/>
                <w:szCs w:val="22"/>
                <w:lang w:eastAsia="zh-CN"/>
              </w:rPr>
              <w:t>NO</w:t>
            </w:r>
            <w:r w:rsidRPr="0030358C">
              <w:rPr>
                <w:rFonts w:ascii="Arial" w:hAnsi="Arial" w:cs="Arial"/>
                <w:b/>
                <w:strike/>
                <w:sz w:val="22"/>
                <w:szCs w:val="22"/>
                <w:vertAlign w:val="subscript"/>
                <w:lang w:eastAsia="zh-CN"/>
              </w:rPr>
              <w:t>x</w:t>
            </w:r>
          </w:p>
        </w:tc>
        <w:tc>
          <w:tcPr>
            <w:tcW w:w="1569" w:type="dxa"/>
            <w:vMerge/>
            <w:tcBorders>
              <w:top w:val="single" w:sz="4" w:space="0" w:color="000000"/>
              <w:left w:val="single" w:sz="4" w:space="0" w:color="000000"/>
              <w:bottom w:val="single" w:sz="4" w:space="0" w:color="000000"/>
            </w:tcBorders>
            <w:shd w:val="clear" w:color="auto" w:fill="auto"/>
            <w:vAlign w:val="center"/>
          </w:tcPr>
          <w:p w14:paraId="491398DE" w14:textId="77777777" w:rsidR="008F52C8" w:rsidRPr="0030358C" w:rsidRDefault="008F52C8" w:rsidP="00732453">
            <w:pPr>
              <w:keepNext/>
              <w:keepLines/>
              <w:snapToGrid w:val="0"/>
              <w:rPr>
                <w:rFonts w:ascii="Arial" w:hAnsi="Arial" w:cs="Arial"/>
                <w:b/>
                <w:strike/>
                <w:sz w:val="22"/>
                <w:szCs w:val="22"/>
                <w:lang w:eastAsia="zh-CN"/>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DC5E82" w14:textId="77777777" w:rsidR="008F52C8" w:rsidRPr="0030358C" w:rsidRDefault="008F52C8" w:rsidP="00732453">
            <w:pPr>
              <w:keepNext/>
              <w:keepLines/>
              <w:snapToGrid w:val="0"/>
              <w:rPr>
                <w:rFonts w:ascii="Arial" w:hAnsi="Arial" w:cs="Arial"/>
                <w:b/>
                <w:strike/>
                <w:sz w:val="22"/>
                <w:szCs w:val="22"/>
                <w:lang w:eastAsia="zh-CN"/>
              </w:rPr>
            </w:pPr>
          </w:p>
        </w:tc>
      </w:tr>
      <w:tr w:rsidR="00E40657" w14:paraId="48C11F6E" w14:textId="77777777" w:rsidTr="00732453">
        <w:trPr>
          <w:trHeight w:hRule="exact" w:val="348"/>
        </w:trPr>
        <w:tc>
          <w:tcPr>
            <w:tcW w:w="1884" w:type="dxa"/>
            <w:tcBorders>
              <w:left w:val="single" w:sz="4" w:space="0" w:color="000000"/>
              <w:bottom w:val="single" w:sz="4" w:space="0" w:color="000000"/>
            </w:tcBorders>
            <w:shd w:val="clear" w:color="auto" w:fill="auto"/>
            <w:vAlign w:val="center"/>
          </w:tcPr>
          <w:p w14:paraId="05600053"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50</w:t>
            </w:r>
          </w:p>
        </w:tc>
        <w:tc>
          <w:tcPr>
            <w:tcW w:w="1884" w:type="dxa"/>
            <w:tcBorders>
              <w:left w:val="single" w:sz="4" w:space="0" w:color="000000"/>
              <w:bottom w:val="single" w:sz="4" w:space="0" w:color="000000"/>
            </w:tcBorders>
            <w:shd w:val="clear" w:color="auto" w:fill="auto"/>
            <w:vAlign w:val="center"/>
          </w:tcPr>
          <w:p w14:paraId="4EF919BD"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1700</w:t>
            </w:r>
          </w:p>
        </w:tc>
        <w:tc>
          <w:tcPr>
            <w:tcW w:w="1883" w:type="dxa"/>
            <w:tcBorders>
              <w:left w:val="single" w:sz="4" w:space="0" w:color="000000"/>
              <w:bottom w:val="single" w:sz="4" w:space="0" w:color="000000"/>
            </w:tcBorders>
            <w:shd w:val="clear" w:color="auto" w:fill="auto"/>
            <w:vAlign w:val="center"/>
          </w:tcPr>
          <w:p w14:paraId="455D3A3B"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700</w:t>
            </w:r>
          </w:p>
        </w:tc>
        <w:tc>
          <w:tcPr>
            <w:tcW w:w="1569" w:type="dxa"/>
            <w:tcBorders>
              <w:left w:val="single" w:sz="4" w:space="0" w:color="000000"/>
              <w:bottom w:val="single" w:sz="4" w:space="0" w:color="000000"/>
            </w:tcBorders>
            <w:shd w:val="clear" w:color="auto" w:fill="auto"/>
            <w:vAlign w:val="center"/>
          </w:tcPr>
          <w:p w14:paraId="248FC9B8"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17</w:t>
            </w:r>
          </w:p>
        </w:tc>
        <w:tc>
          <w:tcPr>
            <w:tcW w:w="2380" w:type="dxa"/>
            <w:tcBorders>
              <w:left w:val="single" w:sz="4" w:space="0" w:color="000000"/>
              <w:bottom w:val="single" w:sz="4" w:space="0" w:color="000000"/>
              <w:right w:val="single" w:sz="4" w:space="0" w:color="000000"/>
            </w:tcBorders>
            <w:shd w:val="clear" w:color="auto" w:fill="auto"/>
            <w:vAlign w:val="center"/>
          </w:tcPr>
          <w:p w14:paraId="3B3A5AFB" w14:textId="77777777" w:rsidR="008F52C8" w:rsidRPr="0030358C" w:rsidRDefault="00000000" w:rsidP="00732453">
            <w:pPr>
              <w:keepNext/>
              <w:keepLines/>
              <w:snapToGrid w:val="0"/>
              <w:jc w:val="center"/>
              <w:rPr>
                <w:rFonts w:ascii="Arial" w:hAnsi="Arial" w:cs="Arial"/>
                <w:bCs/>
                <w:strike/>
                <w:sz w:val="22"/>
                <w:szCs w:val="22"/>
                <w:lang w:eastAsia="zh-CN"/>
              </w:rPr>
            </w:pPr>
            <w:r w:rsidRPr="0030358C">
              <w:rPr>
                <w:rFonts w:ascii="Arial" w:hAnsi="Arial" w:cs="Arial"/>
                <w:bCs/>
                <w:strike/>
                <w:sz w:val="22"/>
                <w:szCs w:val="22"/>
                <w:lang w:eastAsia="zh-CN"/>
              </w:rPr>
              <w:t>A</w:t>
            </w:r>
          </w:p>
        </w:tc>
      </w:tr>
    </w:tbl>
    <w:p w14:paraId="33DFAD68" w14:textId="77777777" w:rsidR="008F52C8" w:rsidRPr="0030358C" w:rsidRDefault="008F52C8" w:rsidP="008F52C8">
      <w:pPr>
        <w:rPr>
          <w:rFonts w:ascii="Arial" w:hAnsi="Arial" w:cs="Arial"/>
          <w:b/>
          <w:strike/>
          <w:sz w:val="22"/>
          <w:szCs w:val="22"/>
          <w:lang w:eastAsia="zh-CN"/>
        </w:rPr>
      </w:pPr>
    </w:p>
    <w:p w14:paraId="270C3E95" w14:textId="77777777" w:rsidR="008F52C8" w:rsidRPr="0030358C" w:rsidRDefault="008F52C8" w:rsidP="008F52C8">
      <w:pPr>
        <w:jc w:val="both"/>
        <w:rPr>
          <w:rFonts w:ascii="Arial" w:hAnsi="Arial" w:cs="Arial"/>
          <w:b/>
          <w:strike/>
          <w:sz w:val="22"/>
          <w:szCs w:val="22"/>
          <w:lang w:eastAsia="zh-CN"/>
        </w:rPr>
      </w:pPr>
    </w:p>
    <w:p w14:paraId="1BC99EC4" w14:textId="77777777" w:rsidR="008F52C8" w:rsidRPr="0030358C" w:rsidRDefault="00000000" w:rsidP="008F52C8">
      <w:pPr>
        <w:jc w:val="both"/>
        <w:rPr>
          <w:rFonts w:ascii="Arial" w:hAnsi="Arial" w:cs="Arial"/>
          <w:b/>
          <w:strike/>
          <w:sz w:val="22"/>
          <w:szCs w:val="22"/>
          <w:lang w:eastAsia="zh-CN"/>
        </w:rPr>
      </w:pPr>
      <w:r w:rsidRPr="0030358C">
        <w:rPr>
          <w:rFonts w:ascii="Arial" w:hAnsi="Arial" w:cs="Arial"/>
          <w:b/>
          <w:strike/>
          <w:sz w:val="22"/>
          <w:szCs w:val="22"/>
          <w:lang w:eastAsia="zh-CN"/>
        </w:rPr>
        <w:t>7. CHOVY HOSPODÁŘSKÝCH ZVÍŘAT</w:t>
      </w:r>
    </w:p>
    <w:p w14:paraId="20DC875E" w14:textId="77777777" w:rsidR="008F52C8" w:rsidRPr="0030358C" w:rsidRDefault="008F52C8" w:rsidP="008F52C8">
      <w:pPr>
        <w:jc w:val="both"/>
        <w:rPr>
          <w:rFonts w:ascii="Arial" w:hAnsi="Arial" w:cs="Arial"/>
          <w:b/>
          <w:strike/>
          <w:sz w:val="22"/>
          <w:szCs w:val="22"/>
          <w:lang w:eastAsia="zh-CN"/>
        </w:rPr>
      </w:pPr>
    </w:p>
    <w:p w14:paraId="4741E389" w14:textId="77777777" w:rsidR="008F52C8" w:rsidRPr="0030358C" w:rsidRDefault="00000000" w:rsidP="008F52C8">
      <w:pPr>
        <w:jc w:val="both"/>
        <w:rPr>
          <w:rFonts w:ascii="Arial" w:hAnsi="Arial" w:cs="Arial"/>
          <w:bCs/>
          <w:strike/>
          <w:sz w:val="22"/>
          <w:szCs w:val="22"/>
          <w:lang w:eastAsia="zh-CN"/>
        </w:rPr>
      </w:pPr>
      <w:r w:rsidRPr="0030358C">
        <w:rPr>
          <w:rFonts w:ascii="Arial" w:hAnsi="Arial" w:cs="Arial"/>
          <w:b/>
          <w:strike/>
          <w:sz w:val="22"/>
          <w:szCs w:val="22"/>
          <w:lang w:eastAsia="zh-CN"/>
        </w:rPr>
        <w:t xml:space="preserve">7.1. Chovy hospodářských zvířat s celkovou projektovanou roční emisí amoniaku nad 5 t včetně </w:t>
      </w:r>
      <w:r w:rsidRPr="0030358C">
        <w:rPr>
          <w:rFonts w:ascii="Arial" w:hAnsi="Arial" w:cs="Arial"/>
          <w:bCs/>
          <w:strike/>
          <w:sz w:val="22"/>
          <w:szCs w:val="22"/>
          <w:lang w:eastAsia="zh-CN"/>
        </w:rPr>
        <w:t>(kód 8. přílohy č. 2 zákona)</w:t>
      </w:r>
    </w:p>
    <w:p w14:paraId="45C2D610" w14:textId="77777777" w:rsidR="008F52C8" w:rsidRPr="0030358C" w:rsidRDefault="008F52C8" w:rsidP="008F52C8">
      <w:pPr>
        <w:jc w:val="both"/>
        <w:rPr>
          <w:rFonts w:ascii="Arial" w:hAnsi="Arial" w:cs="Arial"/>
          <w:b/>
          <w:strike/>
          <w:sz w:val="22"/>
          <w:szCs w:val="22"/>
          <w:lang w:eastAsia="zh-CN"/>
        </w:rPr>
      </w:pPr>
    </w:p>
    <w:p w14:paraId="5E9AEEBD" w14:textId="77777777" w:rsidR="008F52C8" w:rsidRPr="0030358C" w:rsidRDefault="00000000" w:rsidP="008F52C8">
      <w:pPr>
        <w:widowControl w:val="0"/>
        <w:autoSpaceDE w:val="0"/>
        <w:spacing w:after="120"/>
        <w:jc w:val="both"/>
        <w:rPr>
          <w:rFonts w:ascii="Arial" w:hAnsi="Arial" w:cs="Arial"/>
          <w:bCs/>
          <w:strike/>
          <w:sz w:val="22"/>
          <w:szCs w:val="22"/>
          <w:lang w:eastAsia="cs-CZ"/>
        </w:rPr>
      </w:pPr>
      <w:r w:rsidRPr="0030358C">
        <w:rPr>
          <w:rFonts w:ascii="Arial" w:hAnsi="Arial" w:cs="Arial"/>
          <w:bCs/>
          <w:strike/>
          <w:sz w:val="22"/>
          <w:szCs w:val="22"/>
          <w:lang w:eastAsia="cs-CZ"/>
        </w:rPr>
        <w:t>Technická podmínka provozu:</w:t>
      </w:r>
    </w:p>
    <w:p w14:paraId="78C5BB13" w14:textId="77777777" w:rsidR="008F52C8" w:rsidRPr="0030358C" w:rsidRDefault="00000000" w:rsidP="008F52C8">
      <w:pPr>
        <w:widowControl w:val="0"/>
        <w:autoSpaceDE w:val="0"/>
        <w:autoSpaceDN w:val="0"/>
        <w:adjustRightInd w:val="0"/>
        <w:jc w:val="both"/>
        <w:rPr>
          <w:rFonts w:ascii="Arial" w:hAnsi="Arial" w:cs="Arial"/>
          <w:bCs/>
          <w:sz w:val="22"/>
          <w:szCs w:val="22"/>
          <w:lang w:eastAsia="cs-CZ"/>
        </w:rPr>
      </w:pPr>
      <w:r w:rsidRPr="0030358C">
        <w:rPr>
          <w:rFonts w:ascii="Arial" w:hAnsi="Arial" w:cs="Arial"/>
          <w:bCs/>
          <w:strike/>
          <w:sz w:val="22"/>
          <w:szCs w:val="22"/>
          <w:lang w:eastAsia="cs-CZ"/>
        </w:rPr>
        <w:t xml:space="preserve">Za účelem předcházení emisí znečišťujících látek obtěžujících zápachem </w:t>
      </w:r>
      <w:r w:rsidRPr="0030358C">
        <w:rPr>
          <w:rFonts w:ascii="Arial" w:hAnsi="Arial" w:cs="Arial"/>
          <w:bCs/>
          <w:strike/>
          <w:sz w:val="22"/>
          <w:szCs w:val="22"/>
          <w:lang w:eastAsia="zh-CN"/>
        </w:rPr>
        <w:t>zajistit na všech částech technologie, včetně uskladnění a aplikace exkrementů, technicko-organizační opatření ke snížení těchto emisí např.</w:t>
      </w:r>
      <w:r w:rsidRPr="0030358C">
        <w:rPr>
          <w:rFonts w:ascii="Arial" w:hAnsi="Arial" w:cs="Arial"/>
          <w:bCs/>
          <w:strike/>
          <w:sz w:val="22"/>
          <w:szCs w:val="22"/>
          <w:lang w:eastAsia="cs-CZ"/>
        </w:rPr>
        <w:t xml:space="preserve"> využitím snižujících technologii, jejichž seznam je uveden ve Věstníku Ministerstva životního prostředí.</w:t>
      </w:r>
    </w:p>
    <w:p w14:paraId="54A6AFC1" w14:textId="77777777" w:rsidR="00A77B3E" w:rsidRPr="0030358C" w:rsidRDefault="00A77B3E" w:rsidP="008F52C8">
      <w:pPr>
        <w:spacing w:after="160" w:line="259" w:lineRule="auto"/>
        <w:rPr>
          <w:rFonts w:ascii="Arial" w:hAnsi="Arial" w:cs="Arial"/>
          <w:b/>
          <w:bCs/>
          <w:sz w:val="22"/>
          <w:szCs w:val="22"/>
        </w:rPr>
      </w:pPr>
    </w:p>
    <w:p w14:paraId="19B14FAA" w14:textId="77777777" w:rsidR="008F52C8" w:rsidRPr="0030358C" w:rsidRDefault="00000000" w:rsidP="008F52C8">
      <w:pPr>
        <w:jc w:val="right"/>
        <w:rPr>
          <w:rFonts w:ascii="Arial" w:hAnsi="Arial" w:cs="Arial"/>
          <w:b/>
          <w:bCs/>
          <w:sz w:val="22"/>
          <w:szCs w:val="22"/>
        </w:rPr>
      </w:pPr>
      <w:bookmarkStart w:id="59" w:name="_Hlk181603861"/>
      <w:r w:rsidRPr="0030358C">
        <w:rPr>
          <w:rFonts w:ascii="Arial" w:hAnsi="Arial" w:cs="Arial"/>
          <w:b/>
          <w:bCs/>
          <w:sz w:val="22"/>
          <w:szCs w:val="22"/>
        </w:rPr>
        <w:t>Příloha č. 8 k vyhlášce č. 415/2012 Sb.</w:t>
      </w:r>
    </w:p>
    <w:p w14:paraId="4249EA59" w14:textId="77777777" w:rsidR="008F52C8" w:rsidRPr="0030358C" w:rsidRDefault="008F52C8" w:rsidP="008F52C8">
      <w:pPr>
        <w:pStyle w:val="xl32"/>
        <w:spacing w:before="0" w:after="0"/>
        <w:jc w:val="right"/>
        <w:rPr>
          <w:rFonts w:ascii="Arial" w:hAnsi="Arial" w:cs="Arial"/>
          <w:sz w:val="22"/>
          <w:szCs w:val="22"/>
        </w:rPr>
      </w:pPr>
    </w:p>
    <w:p w14:paraId="28B03E03" w14:textId="77777777" w:rsidR="008F52C8" w:rsidRPr="0030358C" w:rsidRDefault="008F52C8" w:rsidP="008F52C8">
      <w:pPr>
        <w:widowControl w:val="0"/>
        <w:autoSpaceDE w:val="0"/>
        <w:jc w:val="center"/>
        <w:rPr>
          <w:rFonts w:ascii="Arial" w:hAnsi="Arial" w:cs="Arial"/>
          <w:b/>
          <w:bCs/>
          <w:caps/>
          <w:sz w:val="22"/>
          <w:szCs w:val="22"/>
        </w:rPr>
      </w:pPr>
    </w:p>
    <w:p w14:paraId="0C47BF3A" w14:textId="77777777" w:rsidR="008F52C8" w:rsidRPr="0030358C" w:rsidRDefault="00000000" w:rsidP="008F52C8">
      <w:pPr>
        <w:widowControl w:val="0"/>
        <w:autoSpaceDE w:val="0"/>
        <w:jc w:val="center"/>
        <w:rPr>
          <w:rFonts w:ascii="Arial" w:hAnsi="Arial" w:cs="Arial"/>
          <w:b/>
          <w:bCs/>
          <w:caps/>
          <w:sz w:val="22"/>
          <w:szCs w:val="22"/>
        </w:rPr>
      </w:pPr>
      <w:r w:rsidRPr="0030358C">
        <w:rPr>
          <w:rFonts w:ascii="Arial" w:hAnsi="Arial" w:cs="Arial"/>
          <w:b/>
          <w:bCs/>
          <w:sz w:val="22"/>
          <w:szCs w:val="22"/>
        </w:rPr>
        <w:t>Podmínky provozu pro ostatní stacionární zdroje</w:t>
      </w:r>
    </w:p>
    <w:p w14:paraId="377FC825" w14:textId="77777777" w:rsidR="008F52C8" w:rsidRPr="0030358C" w:rsidRDefault="008F52C8" w:rsidP="008F52C8">
      <w:pPr>
        <w:widowControl w:val="0"/>
        <w:autoSpaceDE w:val="0"/>
        <w:rPr>
          <w:rFonts w:ascii="Arial" w:hAnsi="Arial" w:cs="Arial"/>
          <w:b/>
          <w:bCs/>
          <w:caps/>
          <w:sz w:val="22"/>
          <w:szCs w:val="22"/>
        </w:rPr>
      </w:pPr>
    </w:p>
    <w:p w14:paraId="3C2E167F" w14:textId="77777777" w:rsidR="008F52C8" w:rsidRPr="0030358C" w:rsidRDefault="008F52C8" w:rsidP="008F52C8">
      <w:pPr>
        <w:widowControl w:val="0"/>
        <w:autoSpaceDE w:val="0"/>
        <w:rPr>
          <w:rFonts w:ascii="Arial" w:hAnsi="Arial" w:cs="Arial"/>
          <w:b/>
          <w:bCs/>
          <w:caps/>
          <w:sz w:val="22"/>
          <w:szCs w:val="22"/>
        </w:rPr>
      </w:pPr>
    </w:p>
    <w:p w14:paraId="4F21E4EC" w14:textId="77777777" w:rsidR="008F52C8" w:rsidRPr="0030358C" w:rsidRDefault="00000000" w:rsidP="008F52C8">
      <w:pPr>
        <w:widowControl w:val="0"/>
        <w:autoSpaceDE w:val="0"/>
        <w:jc w:val="center"/>
        <w:rPr>
          <w:rFonts w:ascii="Arial" w:hAnsi="Arial" w:cs="Arial"/>
          <w:b/>
          <w:bCs/>
          <w:sz w:val="22"/>
          <w:szCs w:val="22"/>
        </w:rPr>
      </w:pPr>
      <w:r w:rsidRPr="0030358C">
        <w:rPr>
          <w:rFonts w:ascii="Arial" w:hAnsi="Arial" w:cs="Arial"/>
          <w:b/>
          <w:bCs/>
          <w:sz w:val="22"/>
          <w:szCs w:val="22"/>
        </w:rPr>
        <w:t>Část I</w:t>
      </w:r>
    </w:p>
    <w:p w14:paraId="625802F4" w14:textId="77777777" w:rsidR="008F52C8" w:rsidRPr="0030358C" w:rsidRDefault="00000000" w:rsidP="008F52C8">
      <w:pPr>
        <w:widowControl w:val="0"/>
        <w:autoSpaceDE w:val="0"/>
        <w:jc w:val="center"/>
        <w:rPr>
          <w:rFonts w:ascii="Arial" w:hAnsi="Arial" w:cs="Arial"/>
          <w:b/>
          <w:bCs/>
          <w:sz w:val="22"/>
          <w:szCs w:val="22"/>
        </w:rPr>
      </w:pPr>
      <w:r w:rsidRPr="0030358C">
        <w:rPr>
          <w:rFonts w:ascii="Arial" w:hAnsi="Arial" w:cs="Arial"/>
          <w:b/>
          <w:bCs/>
          <w:sz w:val="22"/>
          <w:szCs w:val="22"/>
        </w:rPr>
        <w:t>Obecná ustanovení a pojmy</w:t>
      </w:r>
    </w:p>
    <w:p w14:paraId="657646F2" w14:textId="77777777" w:rsidR="008F52C8" w:rsidRPr="0030358C" w:rsidRDefault="008F52C8" w:rsidP="008F52C8">
      <w:pPr>
        <w:widowControl w:val="0"/>
        <w:autoSpaceDE w:val="0"/>
        <w:jc w:val="center"/>
        <w:rPr>
          <w:rFonts w:ascii="Arial" w:hAnsi="Arial" w:cs="Arial"/>
          <w:b/>
          <w:bCs/>
          <w:sz w:val="22"/>
          <w:szCs w:val="22"/>
        </w:rPr>
      </w:pPr>
    </w:p>
    <w:p w14:paraId="058C98DF" w14:textId="77777777" w:rsidR="008F52C8" w:rsidRPr="0030358C" w:rsidRDefault="00000000" w:rsidP="008F52C8">
      <w:pPr>
        <w:widowControl w:val="0"/>
        <w:autoSpaceDE w:val="0"/>
        <w:rPr>
          <w:rFonts w:ascii="Arial" w:hAnsi="Arial" w:cs="Arial"/>
          <w:b/>
          <w:bCs/>
          <w:sz w:val="22"/>
          <w:szCs w:val="22"/>
        </w:rPr>
      </w:pPr>
      <w:r w:rsidRPr="0030358C">
        <w:rPr>
          <w:rFonts w:ascii="Arial" w:hAnsi="Arial" w:cs="Arial"/>
          <w:b/>
          <w:bCs/>
          <w:sz w:val="22"/>
          <w:szCs w:val="22"/>
        </w:rPr>
        <w:t>1. Pojmy</w:t>
      </w:r>
    </w:p>
    <w:p w14:paraId="7DD14626" w14:textId="77777777" w:rsidR="008F52C8" w:rsidRPr="0030358C" w:rsidRDefault="008F52C8" w:rsidP="008F52C8">
      <w:pPr>
        <w:widowControl w:val="0"/>
        <w:autoSpaceDE w:val="0"/>
        <w:rPr>
          <w:rFonts w:ascii="Arial" w:hAnsi="Arial" w:cs="Arial"/>
          <w:b/>
          <w:bCs/>
          <w:sz w:val="22"/>
          <w:szCs w:val="22"/>
        </w:rPr>
      </w:pPr>
    </w:p>
    <w:p w14:paraId="607D2746" w14:textId="77777777" w:rsidR="008F52C8" w:rsidRPr="0030358C" w:rsidRDefault="00000000" w:rsidP="008F52C8">
      <w:pPr>
        <w:widowControl w:val="0"/>
        <w:autoSpaceDE w:val="0"/>
        <w:rPr>
          <w:rFonts w:ascii="Arial" w:hAnsi="Arial" w:cs="Arial"/>
          <w:b/>
          <w:bCs/>
          <w:sz w:val="22"/>
          <w:szCs w:val="22"/>
        </w:rPr>
      </w:pPr>
      <w:r w:rsidRPr="0030358C">
        <w:rPr>
          <w:rFonts w:ascii="Arial" w:hAnsi="Arial" w:cs="Arial"/>
          <w:b/>
          <w:bCs/>
          <w:sz w:val="22"/>
          <w:szCs w:val="22"/>
        </w:rPr>
        <w:t>Pro účely této přílohy se rozumí</w:t>
      </w:r>
    </w:p>
    <w:p w14:paraId="3C5891DB" w14:textId="77777777" w:rsidR="008F52C8" w:rsidRPr="0030358C" w:rsidRDefault="00000000" w:rsidP="008F52C8">
      <w:pPr>
        <w:pStyle w:val="Odstavecseseznamem"/>
        <w:widowControl w:val="0"/>
        <w:numPr>
          <w:ilvl w:val="0"/>
          <w:numId w:val="127"/>
        </w:numPr>
        <w:suppressAutoHyphens/>
        <w:autoSpaceDE w:val="0"/>
        <w:spacing w:before="60" w:after="0" w:line="300" w:lineRule="exact"/>
        <w:ind w:left="426" w:hanging="426"/>
        <w:contextualSpacing w:val="0"/>
        <w:jc w:val="both"/>
        <w:rPr>
          <w:rFonts w:ascii="Arial" w:hAnsi="Arial" w:cs="Arial"/>
          <w:b/>
          <w:bCs/>
        </w:rPr>
      </w:pPr>
      <w:r w:rsidRPr="0030358C">
        <w:rPr>
          <w:rFonts w:ascii="Arial" w:hAnsi="Arial" w:cs="Arial"/>
          <w:b/>
          <w:bCs/>
        </w:rPr>
        <w:t xml:space="preserve">vztažnými podmínkami A pro emisní </w:t>
      </w:r>
      <w:r w:rsidR="008834DE" w:rsidRPr="0030358C">
        <w:rPr>
          <w:rFonts w:ascii="Arial" w:hAnsi="Arial" w:cs="Arial"/>
          <w:b/>
          <w:bCs/>
        </w:rPr>
        <w:t>limit – koncentrace</w:t>
      </w:r>
      <w:r w:rsidRPr="0030358C">
        <w:rPr>
          <w:rFonts w:ascii="Arial" w:hAnsi="Arial" w:cs="Arial"/>
          <w:b/>
          <w:bCs/>
        </w:rPr>
        <w:t xml:space="preserve"> příslušné látky při normálních stavových podmínkách v suchém plynu, někdy s udáním referenčního obsahu některé látky v odpadním plynu, obvykle kyslíku,</w:t>
      </w:r>
    </w:p>
    <w:p w14:paraId="2CE047D7" w14:textId="77777777" w:rsidR="008F52C8" w:rsidRPr="0030358C" w:rsidRDefault="00000000" w:rsidP="008F52C8">
      <w:pPr>
        <w:pStyle w:val="Odstavecseseznamem"/>
        <w:widowControl w:val="0"/>
        <w:numPr>
          <w:ilvl w:val="0"/>
          <w:numId w:val="127"/>
        </w:numPr>
        <w:suppressAutoHyphens/>
        <w:autoSpaceDE w:val="0"/>
        <w:spacing w:before="60" w:after="0" w:line="300" w:lineRule="exact"/>
        <w:ind w:left="426" w:hanging="426"/>
        <w:contextualSpacing w:val="0"/>
        <w:jc w:val="both"/>
        <w:rPr>
          <w:rFonts w:ascii="Arial" w:hAnsi="Arial" w:cs="Arial"/>
          <w:b/>
          <w:bCs/>
        </w:rPr>
      </w:pPr>
      <w:r w:rsidRPr="0030358C">
        <w:rPr>
          <w:rFonts w:ascii="Arial" w:hAnsi="Arial" w:cs="Arial"/>
          <w:b/>
          <w:bCs/>
        </w:rPr>
        <w:lastRenderedPageBreak/>
        <w:t xml:space="preserve">vztažnými podmínkami B pro emisní </w:t>
      </w:r>
      <w:r w:rsidR="008834DE" w:rsidRPr="0030358C">
        <w:rPr>
          <w:rFonts w:ascii="Arial" w:hAnsi="Arial" w:cs="Arial"/>
          <w:b/>
          <w:bCs/>
        </w:rPr>
        <w:t>limit – koncentrace</w:t>
      </w:r>
      <w:r w:rsidRPr="0030358C">
        <w:rPr>
          <w:rFonts w:ascii="Arial" w:hAnsi="Arial" w:cs="Arial"/>
          <w:b/>
          <w:bCs/>
        </w:rPr>
        <w:t xml:space="preserve"> příslušné látky ve vlhkém plynu za normálních stavových podmínek, někdy s udáním referenčního obsahu některé látky v odpadním plynu, obvykle kyslíku,</w:t>
      </w:r>
    </w:p>
    <w:p w14:paraId="3330CF4F" w14:textId="77777777" w:rsidR="008F52C8" w:rsidRPr="0030358C" w:rsidRDefault="00000000" w:rsidP="008F52C8">
      <w:pPr>
        <w:pStyle w:val="Odstavecseseznamem"/>
        <w:widowControl w:val="0"/>
        <w:numPr>
          <w:ilvl w:val="0"/>
          <w:numId w:val="127"/>
        </w:numPr>
        <w:suppressAutoHyphens/>
        <w:autoSpaceDE w:val="0"/>
        <w:spacing w:before="60" w:after="0" w:line="300" w:lineRule="exact"/>
        <w:ind w:left="426" w:hanging="426"/>
        <w:contextualSpacing w:val="0"/>
        <w:jc w:val="both"/>
        <w:rPr>
          <w:rFonts w:ascii="Arial" w:hAnsi="Arial" w:cs="Arial"/>
          <w:b/>
          <w:bCs/>
        </w:rPr>
      </w:pPr>
      <w:r w:rsidRPr="0030358C">
        <w:rPr>
          <w:rFonts w:ascii="Arial" w:hAnsi="Arial" w:cs="Arial"/>
          <w:b/>
          <w:bCs/>
        </w:rPr>
        <w:t xml:space="preserve">vztažnými podmínkami C pro emisní </w:t>
      </w:r>
      <w:r w:rsidR="008834DE" w:rsidRPr="0030358C">
        <w:rPr>
          <w:rFonts w:ascii="Arial" w:hAnsi="Arial" w:cs="Arial"/>
          <w:b/>
          <w:bCs/>
        </w:rPr>
        <w:t>limit – koncentrace</w:t>
      </w:r>
      <w:r w:rsidRPr="0030358C">
        <w:rPr>
          <w:rFonts w:ascii="Arial" w:hAnsi="Arial" w:cs="Arial"/>
          <w:b/>
          <w:bCs/>
        </w:rPr>
        <w:t xml:space="preserve"> příslušné látky v odpadním plynu za obvyklých provozních podmínek,</w:t>
      </w:r>
    </w:p>
    <w:p w14:paraId="728DD91F" w14:textId="77777777" w:rsidR="008F52C8" w:rsidRPr="0030358C" w:rsidRDefault="00000000" w:rsidP="008F52C8">
      <w:pPr>
        <w:pStyle w:val="Odstavecseseznamem"/>
        <w:numPr>
          <w:ilvl w:val="0"/>
          <w:numId w:val="127"/>
        </w:numPr>
        <w:suppressAutoHyphens/>
        <w:spacing w:before="120" w:after="0" w:line="240" w:lineRule="auto"/>
        <w:ind w:left="426" w:hanging="426"/>
        <w:contextualSpacing w:val="0"/>
        <w:jc w:val="both"/>
        <w:rPr>
          <w:rFonts w:ascii="Arial" w:hAnsi="Arial" w:cs="Arial"/>
          <w:b/>
          <w:bCs/>
        </w:rPr>
      </w:pPr>
      <w:r w:rsidRPr="0030358C">
        <w:rPr>
          <w:rFonts w:ascii="Arial" w:hAnsi="Arial" w:cs="Arial"/>
          <w:b/>
          <w:bCs/>
        </w:rPr>
        <w:t xml:space="preserve">přímým procesním </w:t>
      </w:r>
      <w:r w:rsidR="008834DE" w:rsidRPr="0030358C">
        <w:rPr>
          <w:rFonts w:ascii="Arial" w:hAnsi="Arial" w:cs="Arial"/>
          <w:b/>
          <w:bCs/>
        </w:rPr>
        <w:t>ohřevem – ohřev</w:t>
      </w:r>
      <w:r w:rsidRPr="0030358C">
        <w:rPr>
          <w:rFonts w:ascii="Arial" w:hAnsi="Arial" w:cs="Arial"/>
          <w:b/>
          <w:bCs/>
        </w:rPr>
        <w:t>, u kterého jsou znečišťující látky vzniklé spalováním paliv odváděny a vnášeny do ovzduší společně se znečišťujícími látkami vzniklými v technologickém procesu,</w:t>
      </w:r>
    </w:p>
    <w:p w14:paraId="46CF68C8" w14:textId="77777777" w:rsidR="008F52C8" w:rsidRPr="0030358C" w:rsidRDefault="00000000" w:rsidP="008F52C8">
      <w:pPr>
        <w:pStyle w:val="Odstavecseseznamem"/>
        <w:numPr>
          <w:ilvl w:val="0"/>
          <w:numId w:val="127"/>
        </w:numPr>
        <w:suppressAutoHyphens/>
        <w:spacing w:before="120" w:after="0" w:line="240" w:lineRule="auto"/>
        <w:ind w:left="426" w:hanging="426"/>
        <w:contextualSpacing w:val="0"/>
        <w:jc w:val="both"/>
        <w:rPr>
          <w:rFonts w:ascii="Arial" w:hAnsi="Arial" w:cs="Arial"/>
          <w:b/>
          <w:bCs/>
        </w:rPr>
      </w:pPr>
      <w:r w:rsidRPr="0030358C">
        <w:rPr>
          <w:rFonts w:ascii="Arial" w:hAnsi="Arial" w:cs="Arial"/>
          <w:b/>
          <w:bCs/>
        </w:rPr>
        <w:t>flérou (pochodní) - zařízení pro snížení úrovně znečišťování, které pracuje jako havarijní výpust plynů do vnějšího ovzduší, při spojení technologických prostorů s vnějším ovzduším nebo při neustáleném a jinak těžce zpracovatelném přebytku plynů</w:t>
      </w:r>
      <w:r w:rsidRPr="0030358C">
        <w:rPr>
          <w:rFonts w:ascii="Arial" w:hAnsi="Arial" w:cs="Arial"/>
          <w:b/>
          <w:bCs/>
          <w:strike/>
        </w:rPr>
        <w:t>.</w:t>
      </w:r>
      <w:r w:rsidRPr="0030358C">
        <w:rPr>
          <w:rFonts w:ascii="Arial" w:hAnsi="Arial" w:cs="Arial"/>
          <w:b/>
          <w:bCs/>
        </w:rPr>
        <w:t>,</w:t>
      </w:r>
    </w:p>
    <w:p w14:paraId="1DF39780" w14:textId="77777777" w:rsidR="008F52C8" w:rsidRPr="0030358C" w:rsidRDefault="00000000" w:rsidP="008F52C8">
      <w:pPr>
        <w:pStyle w:val="Odstavecseseznamem"/>
        <w:numPr>
          <w:ilvl w:val="0"/>
          <w:numId w:val="127"/>
        </w:numPr>
        <w:suppressAutoHyphens/>
        <w:spacing w:before="120" w:after="0" w:line="240" w:lineRule="auto"/>
        <w:ind w:left="426" w:hanging="426"/>
        <w:contextualSpacing w:val="0"/>
        <w:jc w:val="both"/>
        <w:rPr>
          <w:rFonts w:ascii="Arial" w:hAnsi="Arial" w:cs="Arial"/>
          <w:b/>
          <w:bCs/>
        </w:rPr>
      </w:pPr>
      <w:r w:rsidRPr="0030358C">
        <w:rPr>
          <w:rFonts w:ascii="Arial" w:hAnsi="Arial" w:cs="Arial"/>
          <w:b/>
          <w:bCs/>
        </w:rPr>
        <w:t>TOC – hmotnostní koncentrace těkavých organických látek vyjádřených jako celkový organický uhlík.</w:t>
      </w:r>
    </w:p>
    <w:p w14:paraId="2507D0FC" w14:textId="77777777" w:rsidR="008F52C8" w:rsidRPr="0030358C" w:rsidRDefault="008F52C8" w:rsidP="008F52C8">
      <w:pPr>
        <w:pStyle w:val="Odstavecseseznamem"/>
        <w:spacing w:before="120"/>
        <w:ind w:left="9357" w:hanging="360"/>
        <w:jc w:val="both"/>
        <w:rPr>
          <w:rFonts w:ascii="Arial" w:hAnsi="Arial" w:cs="Arial"/>
          <w:b/>
          <w:bCs/>
        </w:rPr>
      </w:pPr>
    </w:p>
    <w:p w14:paraId="37E911F7" w14:textId="77777777" w:rsidR="008F52C8" w:rsidRPr="0030358C" w:rsidRDefault="008F52C8" w:rsidP="008F52C8">
      <w:pPr>
        <w:widowControl w:val="0"/>
        <w:autoSpaceDE w:val="0"/>
        <w:spacing w:before="60" w:line="300" w:lineRule="exact"/>
        <w:jc w:val="both"/>
        <w:rPr>
          <w:rFonts w:ascii="Arial" w:hAnsi="Arial" w:cs="Arial"/>
          <w:b/>
          <w:bCs/>
          <w:sz w:val="22"/>
          <w:szCs w:val="22"/>
        </w:rPr>
      </w:pPr>
    </w:p>
    <w:p w14:paraId="0362EFF9" w14:textId="77777777" w:rsidR="008F52C8" w:rsidRPr="0030358C" w:rsidRDefault="00000000" w:rsidP="008F52C8">
      <w:pPr>
        <w:widowControl w:val="0"/>
        <w:autoSpaceDE w:val="0"/>
        <w:spacing w:before="60" w:line="300" w:lineRule="exact"/>
        <w:jc w:val="both"/>
        <w:rPr>
          <w:rFonts w:ascii="Arial" w:hAnsi="Arial" w:cs="Arial"/>
          <w:b/>
          <w:bCs/>
          <w:sz w:val="22"/>
          <w:szCs w:val="22"/>
        </w:rPr>
      </w:pPr>
      <w:r w:rsidRPr="0030358C">
        <w:rPr>
          <w:rFonts w:ascii="Arial" w:hAnsi="Arial" w:cs="Arial"/>
          <w:b/>
          <w:bCs/>
          <w:sz w:val="22"/>
          <w:szCs w:val="22"/>
        </w:rPr>
        <w:t>2.  Technické podmínky provozu pro stacionární zdroje využívající fléry</w:t>
      </w:r>
    </w:p>
    <w:p w14:paraId="059CE2A0" w14:textId="77777777" w:rsidR="008F52C8" w:rsidRPr="0030358C" w:rsidRDefault="008F52C8" w:rsidP="008F52C8">
      <w:pPr>
        <w:widowControl w:val="0"/>
        <w:autoSpaceDE w:val="0"/>
        <w:spacing w:before="60" w:line="300" w:lineRule="exact"/>
        <w:jc w:val="both"/>
        <w:rPr>
          <w:rFonts w:ascii="Arial" w:hAnsi="Arial" w:cs="Arial"/>
          <w:b/>
          <w:bCs/>
          <w:sz w:val="22"/>
          <w:szCs w:val="22"/>
        </w:rPr>
      </w:pPr>
    </w:p>
    <w:p w14:paraId="6EAECC52" w14:textId="77777777" w:rsidR="008F52C8" w:rsidRPr="0030358C" w:rsidRDefault="00000000" w:rsidP="008F52C8">
      <w:pPr>
        <w:pStyle w:val="Odstavecseseznamem"/>
        <w:widowControl w:val="0"/>
        <w:numPr>
          <w:ilvl w:val="0"/>
          <w:numId w:val="128"/>
        </w:numPr>
        <w:suppressAutoHyphens/>
        <w:autoSpaceDE w:val="0"/>
        <w:spacing w:before="120" w:after="0" w:line="300" w:lineRule="exact"/>
        <w:ind w:left="425" w:hanging="425"/>
        <w:contextualSpacing w:val="0"/>
        <w:jc w:val="both"/>
        <w:rPr>
          <w:rFonts w:ascii="Arial" w:hAnsi="Arial" w:cs="Arial"/>
          <w:b/>
          <w:bCs/>
        </w:rPr>
      </w:pPr>
      <w:r w:rsidRPr="0030358C">
        <w:rPr>
          <w:rFonts w:ascii="Arial" w:hAnsi="Arial" w:cs="Arial"/>
          <w:b/>
          <w:bCs/>
        </w:rPr>
        <w:t>Všechna, i nouzová, technologická zařízení k likvidaci odpadních plynů jsou konstruována tak, aby při spalování odpadních plynů bylo zabezpečeno optimální vedení spalovacího režimu a snižování úrovně znečišťování.</w:t>
      </w:r>
    </w:p>
    <w:p w14:paraId="42E14878" w14:textId="77777777" w:rsidR="008F52C8" w:rsidRPr="0030358C" w:rsidRDefault="00000000" w:rsidP="008F52C8">
      <w:pPr>
        <w:pStyle w:val="Odstavecseseznamem"/>
        <w:widowControl w:val="0"/>
        <w:numPr>
          <w:ilvl w:val="0"/>
          <w:numId w:val="128"/>
        </w:numPr>
        <w:suppressAutoHyphens/>
        <w:autoSpaceDE w:val="0"/>
        <w:spacing w:before="120" w:after="0" w:line="300" w:lineRule="exact"/>
        <w:ind w:left="425" w:hanging="425"/>
        <w:contextualSpacing w:val="0"/>
        <w:jc w:val="both"/>
        <w:rPr>
          <w:rFonts w:ascii="Arial" w:hAnsi="Arial" w:cs="Arial"/>
          <w:b/>
          <w:bCs/>
        </w:rPr>
      </w:pPr>
      <w:r w:rsidRPr="0030358C">
        <w:rPr>
          <w:rFonts w:ascii="Arial" w:hAnsi="Arial" w:cs="Arial"/>
          <w:b/>
          <w:bCs/>
        </w:rPr>
        <w:t>V případě kolísání výhřevnosti nebo množství odpadního plynu vstupujícího do fléry je odpadní plyn spalován současně s vhodným stabilizačním palivem.</w:t>
      </w:r>
    </w:p>
    <w:p w14:paraId="57A605F9" w14:textId="77777777" w:rsidR="008F52C8" w:rsidRPr="0030358C" w:rsidRDefault="00000000" w:rsidP="00760B1A">
      <w:pPr>
        <w:pStyle w:val="Odstavecseseznamem"/>
        <w:widowControl w:val="0"/>
        <w:numPr>
          <w:ilvl w:val="0"/>
          <w:numId w:val="128"/>
        </w:numPr>
        <w:suppressAutoHyphens/>
        <w:autoSpaceDE w:val="0"/>
        <w:spacing w:before="120" w:after="0" w:line="276" w:lineRule="auto"/>
        <w:ind w:left="425" w:hanging="425"/>
        <w:contextualSpacing w:val="0"/>
        <w:jc w:val="both"/>
        <w:rPr>
          <w:rFonts w:ascii="Arial" w:hAnsi="Arial" w:cs="Arial"/>
          <w:b/>
          <w:bCs/>
        </w:rPr>
      </w:pPr>
      <w:r w:rsidRPr="0030358C">
        <w:rPr>
          <w:rFonts w:ascii="Arial" w:hAnsi="Arial" w:cs="Arial"/>
          <w:b/>
          <w:bCs/>
        </w:rPr>
        <w:t xml:space="preserve">Každá fléra je posuzována individuálně s ohledem na její konstrukci, lokalizaci a na spalované plynné médium. Při posuzování je třeba dávat přednost asistovaným flérám, tedy flérám, které mají konstrukční možnost ovlivňovat množství přiváděného vzduchu a teploty spalování. </w:t>
      </w:r>
    </w:p>
    <w:p w14:paraId="17400E41" w14:textId="77777777" w:rsidR="008F52C8" w:rsidRPr="0030358C" w:rsidRDefault="008F52C8" w:rsidP="008F52C8">
      <w:pPr>
        <w:widowControl w:val="0"/>
        <w:autoSpaceDE w:val="0"/>
        <w:jc w:val="center"/>
        <w:rPr>
          <w:rFonts w:ascii="Arial" w:hAnsi="Arial" w:cs="Arial"/>
          <w:b/>
          <w:bCs/>
          <w:sz w:val="22"/>
          <w:szCs w:val="22"/>
          <w:lang w:eastAsia="zh-CN"/>
        </w:rPr>
      </w:pPr>
    </w:p>
    <w:p w14:paraId="0F6FA391" w14:textId="77777777" w:rsidR="008F52C8" w:rsidRPr="0030358C" w:rsidRDefault="008F52C8" w:rsidP="008F52C8">
      <w:pPr>
        <w:widowControl w:val="0"/>
        <w:autoSpaceDE w:val="0"/>
        <w:jc w:val="center"/>
        <w:rPr>
          <w:rFonts w:ascii="Arial" w:hAnsi="Arial" w:cs="Arial"/>
          <w:b/>
          <w:bCs/>
          <w:sz w:val="22"/>
          <w:szCs w:val="22"/>
          <w:lang w:eastAsia="zh-CN"/>
        </w:rPr>
      </w:pPr>
    </w:p>
    <w:p w14:paraId="48E29DE2" w14:textId="77777777" w:rsidR="008F52C8" w:rsidRPr="0030358C" w:rsidRDefault="00000000" w:rsidP="008F52C8">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Část II</w:t>
      </w:r>
    </w:p>
    <w:p w14:paraId="38CFC763" w14:textId="77777777" w:rsidR="008F52C8" w:rsidRPr="0030358C" w:rsidRDefault="00000000" w:rsidP="008F52C8">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Specifické emisní limity a technické podmínky provozu</w:t>
      </w:r>
    </w:p>
    <w:p w14:paraId="1620E41A" w14:textId="77777777" w:rsidR="008F52C8" w:rsidRPr="0030358C" w:rsidRDefault="008F52C8" w:rsidP="008F52C8">
      <w:pPr>
        <w:rPr>
          <w:rFonts w:ascii="Arial" w:hAnsi="Arial" w:cs="Arial"/>
          <w:b/>
          <w:bCs/>
          <w:sz w:val="22"/>
          <w:szCs w:val="22"/>
          <w:lang w:eastAsia="zh-CN"/>
        </w:rPr>
      </w:pPr>
    </w:p>
    <w:p w14:paraId="06DB89B3" w14:textId="77777777" w:rsidR="008F52C8" w:rsidRPr="0030358C" w:rsidRDefault="00000000" w:rsidP="008F52C8">
      <w:pPr>
        <w:keepNext/>
        <w:numPr>
          <w:ilvl w:val="1"/>
          <w:numId w:val="0"/>
        </w:numPr>
        <w:tabs>
          <w:tab w:val="num" w:pos="0"/>
        </w:tabs>
        <w:spacing w:before="60"/>
        <w:ind w:left="360" w:hanging="360"/>
        <w:outlineLvl w:val="1"/>
        <w:rPr>
          <w:rFonts w:ascii="Arial" w:hAnsi="Arial" w:cs="Arial"/>
          <w:b/>
          <w:bCs/>
          <w:sz w:val="22"/>
          <w:szCs w:val="22"/>
          <w:lang w:eastAsia="zh-CN"/>
        </w:rPr>
      </w:pPr>
      <w:r w:rsidRPr="0030358C">
        <w:rPr>
          <w:rFonts w:ascii="Arial" w:hAnsi="Arial" w:cs="Arial"/>
          <w:b/>
          <w:bCs/>
          <w:sz w:val="22"/>
          <w:szCs w:val="22"/>
          <w:lang w:eastAsia="zh-CN"/>
        </w:rPr>
        <w:t>1.  NAKLÁDÁNÍ S ODPADY A ODPADNÍMI VODAMI</w:t>
      </w:r>
    </w:p>
    <w:p w14:paraId="2F3E39BF" w14:textId="77777777" w:rsidR="008F52C8" w:rsidRPr="0030358C" w:rsidRDefault="008F52C8" w:rsidP="008F52C8">
      <w:pPr>
        <w:widowControl w:val="0"/>
        <w:autoSpaceDE w:val="0"/>
        <w:spacing w:before="60" w:line="300" w:lineRule="exact"/>
        <w:jc w:val="both"/>
        <w:rPr>
          <w:rFonts w:ascii="Arial" w:hAnsi="Arial" w:cs="Arial"/>
          <w:b/>
          <w:bCs/>
          <w:sz w:val="22"/>
          <w:szCs w:val="22"/>
          <w:lang w:eastAsia="zh-CN"/>
        </w:rPr>
      </w:pPr>
    </w:p>
    <w:p w14:paraId="013A2431" w14:textId="77777777" w:rsidR="008F52C8" w:rsidRPr="0030358C" w:rsidRDefault="00000000" w:rsidP="008F52C8">
      <w:pPr>
        <w:keepNext/>
        <w:numPr>
          <w:ilvl w:val="1"/>
          <w:numId w:val="0"/>
        </w:numPr>
        <w:tabs>
          <w:tab w:val="num" w:pos="0"/>
        </w:tabs>
        <w:suppressAutoHyphen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1.0</w:t>
      </w:r>
      <w:r w:rsidR="00CA5FE4" w:rsidRPr="0030358C">
        <w:rPr>
          <w:rFonts w:ascii="Arial" w:hAnsi="Arial" w:cs="Arial"/>
          <w:b/>
          <w:bCs/>
          <w:sz w:val="22"/>
          <w:szCs w:val="22"/>
          <w:lang w:eastAsia="zh-CN"/>
        </w:rPr>
        <w:t>.</w:t>
      </w:r>
      <w:r w:rsidRPr="0030358C">
        <w:rPr>
          <w:rFonts w:ascii="Arial" w:hAnsi="Arial" w:cs="Arial"/>
          <w:b/>
          <w:bCs/>
          <w:sz w:val="22"/>
          <w:szCs w:val="22"/>
          <w:lang w:eastAsia="zh-CN"/>
        </w:rPr>
        <w:t xml:space="preserve"> Skládky, které přijímají 10 t odpadu denně a více nebo mají celkovou projektovanou kapacitu 25 000 t a více (kód 2.2. přílohy č. 2 k zákonu)</w:t>
      </w:r>
    </w:p>
    <w:p w14:paraId="2E8B0A13" w14:textId="77777777" w:rsidR="00754317" w:rsidRPr="0030358C" w:rsidRDefault="00000000" w:rsidP="00754317">
      <w:pPr>
        <w:keepNext/>
        <w:numPr>
          <w:ilvl w:val="1"/>
          <w:numId w:val="0"/>
        </w:numPr>
        <w:tabs>
          <w:tab w:val="num" w:pos="0"/>
        </w:tabs>
        <w:suppressAutoHyphen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Technické podmínky provozu platné od 1. 1. 2026:</w:t>
      </w:r>
    </w:p>
    <w:p w14:paraId="270E3D11" w14:textId="77777777" w:rsidR="00754317" w:rsidRPr="0030358C" w:rsidRDefault="00000000" w:rsidP="00754317">
      <w:pPr>
        <w:keepNext/>
        <w:numPr>
          <w:ilvl w:val="1"/>
          <w:numId w:val="0"/>
        </w:numPr>
        <w:tabs>
          <w:tab w:val="num" w:pos="0"/>
        </w:tabs>
        <w:suppressAutoHyphen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a) Provádět pravidelný úklid a skrápění komunikací v areálu a zvlhčovat prašné odpady při manipulaci s nimi.</w:t>
      </w:r>
    </w:p>
    <w:p w14:paraId="68498310" w14:textId="77777777" w:rsidR="00754317" w:rsidRPr="0030358C" w:rsidRDefault="00000000" w:rsidP="00754317">
      <w:pPr>
        <w:keepNext/>
        <w:numPr>
          <w:ilvl w:val="1"/>
          <w:numId w:val="0"/>
        </w:numPr>
        <w:tabs>
          <w:tab w:val="num" w:pos="0"/>
        </w:tabs>
        <w:suppressAutoHyphen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 xml:space="preserve">b) V případě skládkování komunálních odpadů či odpadů s nebezpečnými vlastnostmi je nutné provádět monitoring aktivních etap pomocí IR kamer či obdobných technických prostředků tak, aby bylo zamezeno vzniku zahoření ukládaných odpadů. Data z </w:t>
      </w:r>
      <w:r w:rsidRPr="0030358C">
        <w:rPr>
          <w:rFonts w:ascii="Arial" w:hAnsi="Arial" w:cs="Arial"/>
          <w:b/>
          <w:bCs/>
          <w:sz w:val="22"/>
          <w:szCs w:val="22"/>
          <w:lang w:eastAsia="zh-CN"/>
        </w:rPr>
        <w:lastRenderedPageBreak/>
        <w:t>monitoringu je třeba ukládat po dobu minimálně 10 pracovních dnů pro šetření případného požáru.</w:t>
      </w:r>
    </w:p>
    <w:p w14:paraId="6735E2C0" w14:textId="77777777" w:rsidR="008F52C8" w:rsidRPr="0030358C" w:rsidRDefault="00000000" w:rsidP="00754317">
      <w:pPr>
        <w:keepNext/>
        <w:numPr>
          <w:ilvl w:val="1"/>
          <w:numId w:val="0"/>
        </w:numPr>
        <w:tabs>
          <w:tab w:val="num" w:pos="0"/>
        </w:tabs>
        <w:suppressAutoHyphen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c) Při vzniku skládkového plynu musí být skládkový plyn jímán a energeticky využíván, případně čištěn v odpovídajícím zařízení ke snížení emisí (biofiltr apod.).</w:t>
      </w:r>
    </w:p>
    <w:p w14:paraId="1948D17E" w14:textId="77777777" w:rsidR="00754317" w:rsidRPr="0030358C" w:rsidRDefault="00754317" w:rsidP="00754317">
      <w:pPr>
        <w:keepNext/>
        <w:numPr>
          <w:ilvl w:val="1"/>
          <w:numId w:val="0"/>
        </w:numPr>
        <w:tabs>
          <w:tab w:val="num" w:pos="0"/>
        </w:tabs>
        <w:suppressAutoHyphens/>
        <w:spacing w:before="60"/>
        <w:jc w:val="both"/>
        <w:outlineLvl w:val="2"/>
        <w:rPr>
          <w:rFonts w:ascii="Arial" w:hAnsi="Arial" w:cs="Arial"/>
          <w:b/>
          <w:bCs/>
          <w:sz w:val="22"/>
          <w:szCs w:val="22"/>
          <w:lang w:eastAsia="zh-CN"/>
        </w:rPr>
      </w:pPr>
    </w:p>
    <w:p w14:paraId="19999E46" w14:textId="77777777" w:rsidR="008F52C8" w:rsidRPr="0030358C" w:rsidRDefault="00000000" w:rsidP="008F52C8">
      <w:pPr>
        <w:keepNext/>
        <w:numPr>
          <w:ilvl w:val="1"/>
          <w:numId w:val="0"/>
        </w:numPr>
        <w:tabs>
          <w:tab w:val="num" w:pos="0"/>
        </w:tabs>
        <w:suppressAutoHyphen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1.1</w:t>
      </w:r>
      <w:r w:rsidR="00574368" w:rsidRPr="0030358C">
        <w:rPr>
          <w:rFonts w:ascii="Arial" w:hAnsi="Arial" w:cs="Arial"/>
          <w:b/>
          <w:bCs/>
          <w:sz w:val="22"/>
          <w:szCs w:val="22"/>
          <w:lang w:eastAsia="zh-CN"/>
        </w:rPr>
        <w:t>.</w:t>
      </w:r>
      <w:r w:rsidRPr="0030358C">
        <w:rPr>
          <w:rFonts w:ascii="Arial" w:hAnsi="Arial" w:cs="Arial"/>
          <w:b/>
          <w:bCs/>
          <w:sz w:val="22"/>
          <w:szCs w:val="22"/>
          <w:lang w:eastAsia="zh-CN"/>
        </w:rPr>
        <w:t xml:space="preserve"> Kompostárny, včetně komunitních kompostáren, nebo zařízení na biologickou úpravu odpadů o celkové projektované kapacitě 10 tun a více na jednu zakládku nebo 150 tun a vice zpracovaného odpadu ročně (kód 2.3. přílohy č. 2 k zákonu)</w:t>
      </w:r>
    </w:p>
    <w:p w14:paraId="3559B28E" w14:textId="77777777" w:rsidR="008F52C8" w:rsidRPr="0030358C" w:rsidRDefault="00000000" w:rsidP="008F52C8">
      <w:pPr>
        <w:spacing w:before="120"/>
        <w:jc w:val="both"/>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4D23C43B" w14:textId="77777777" w:rsidR="008F52C8" w:rsidRPr="0030358C" w:rsidRDefault="00000000" w:rsidP="008F52C8">
      <w:pPr>
        <w:widowControl w:val="0"/>
        <w:autoSpaceDE w:val="0"/>
        <w:spacing w:before="60" w:line="300" w:lineRule="exact"/>
        <w:ind w:left="709" w:hanging="425"/>
        <w:jc w:val="both"/>
        <w:rPr>
          <w:rFonts w:ascii="Arial" w:hAnsi="Arial" w:cs="Arial"/>
          <w:b/>
          <w:bCs/>
          <w:sz w:val="22"/>
          <w:szCs w:val="22"/>
          <w:lang w:eastAsia="zh-CN"/>
        </w:rPr>
      </w:pPr>
      <w:r w:rsidRPr="0030358C">
        <w:rPr>
          <w:rFonts w:ascii="Arial" w:hAnsi="Arial" w:cs="Arial"/>
          <w:b/>
          <w:bCs/>
          <w:sz w:val="22"/>
          <w:szCs w:val="22"/>
          <w:lang w:eastAsia="zh-CN"/>
        </w:rPr>
        <w:t>a)</w:t>
      </w:r>
      <w:r w:rsidRPr="0030358C">
        <w:rPr>
          <w:rFonts w:ascii="Arial" w:hAnsi="Arial" w:cs="Arial"/>
          <w:b/>
          <w:bCs/>
          <w:sz w:val="22"/>
          <w:szCs w:val="22"/>
          <w:lang w:eastAsia="zh-CN"/>
        </w:rPr>
        <w:tab/>
        <w:t>Násypné bunkry jsou v uzavřeném provedení s komorou pro vozidla, u otevřených hal a při vykládce svozových vozidel s odpady, musí být plyny z bunkrů odsávány a odváděny do zařízení na čištění odpadních plynů.</w:t>
      </w:r>
    </w:p>
    <w:p w14:paraId="702BF2AF" w14:textId="77777777" w:rsidR="008F52C8" w:rsidRPr="0030358C" w:rsidRDefault="00000000" w:rsidP="008F52C8">
      <w:pPr>
        <w:widowControl w:val="0"/>
        <w:autoSpaceDE w:val="0"/>
        <w:spacing w:before="60" w:line="300" w:lineRule="exact"/>
        <w:ind w:left="709" w:hanging="425"/>
        <w:jc w:val="both"/>
        <w:rPr>
          <w:rFonts w:ascii="Arial" w:hAnsi="Arial" w:cs="Arial"/>
          <w:b/>
          <w:bCs/>
          <w:sz w:val="22"/>
          <w:szCs w:val="22"/>
          <w:lang w:eastAsia="zh-CN"/>
        </w:rPr>
      </w:pPr>
      <w:r w:rsidRPr="0030358C">
        <w:rPr>
          <w:rFonts w:ascii="Arial" w:hAnsi="Arial" w:cs="Arial"/>
          <w:b/>
          <w:bCs/>
          <w:sz w:val="22"/>
          <w:szCs w:val="22"/>
          <w:lang w:eastAsia="zh-CN"/>
        </w:rPr>
        <w:t>b)</w:t>
      </w:r>
      <w:r w:rsidRPr="0030358C">
        <w:rPr>
          <w:rFonts w:ascii="Arial" w:hAnsi="Arial" w:cs="Arial"/>
          <w:b/>
          <w:bCs/>
          <w:sz w:val="22"/>
          <w:szCs w:val="22"/>
          <w:lang w:eastAsia="zh-CN"/>
        </w:rPr>
        <w:tab/>
        <w:t>Zkondenzované výpary a voda vznikající při kompostovacím procesu (zrání kompostů) smí být u stavebně neuzavřených a nezakrytých kompostáren používány k vlhčení kompostu pouze tehdy, nebude-li použití zvyšovat pachovou zátěž okolí.</w:t>
      </w:r>
    </w:p>
    <w:p w14:paraId="610A08F3" w14:textId="77777777" w:rsidR="008F52C8" w:rsidRPr="0030358C" w:rsidRDefault="00000000" w:rsidP="008F52C8">
      <w:pPr>
        <w:widowControl w:val="0"/>
        <w:autoSpaceDE w:val="0"/>
        <w:spacing w:before="60" w:line="300" w:lineRule="exact"/>
        <w:ind w:left="709" w:hanging="425"/>
        <w:jc w:val="both"/>
        <w:rPr>
          <w:rFonts w:ascii="Arial" w:hAnsi="Arial" w:cs="Arial"/>
          <w:b/>
          <w:bCs/>
          <w:sz w:val="22"/>
          <w:szCs w:val="22"/>
          <w:lang w:eastAsia="zh-CN"/>
        </w:rPr>
      </w:pPr>
      <w:r w:rsidRPr="0030358C">
        <w:rPr>
          <w:rFonts w:ascii="Arial" w:hAnsi="Arial" w:cs="Arial"/>
          <w:b/>
          <w:bCs/>
          <w:sz w:val="22"/>
          <w:szCs w:val="22"/>
          <w:lang w:eastAsia="zh-CN"/>
        </w:rPr>
        <w:t>c)</w:t>
      </w:r>
      <w:r w:rsidRPr="0030358C">
        <w:rPr>
          <w:rFonts w:ascii="Arial" w:hAnsi="Arial" w:cs="Arial"/>
          <w:b/>
          <w:bCs/>
          <w:sz w:val="22"/>
          <w:szCs w:val="22"/>
          <w:lang w:eastAsia="zh-CN"/>
        </w:rPr>
        <w:tab/>
        <w:t>Odpadní plyny z dozrávání kompostů v uzavřených halách kompostárny jsou odváděny do zařízení na čištění odpadních plynů.</w:t>
      </w:r>
    </w:p>
    <w:p w14:paraId="59064956" w14:textId="77777777" w:rsidR="008F52C8" w:rsidRPr="0030358C" w:rsidRDefault="00000000" w:rsidP="008F52C8">
      <w:pPr>
        <w:widowControl w:val="0"/>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ab/>
      </w:r>
    </w:p>
    <w:p w14:paraId="61385A22"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1.2</w:t>
      </w:r>
      <w:r w:rsidR="00574368" w:rsidRPr="0030358C">
        <w:rPr>
          <w:rFonts w:ascii="Arial" w:hAnsi="Arial" w:cs="Arial"/>
          <w:b/>
          <w:bCs/>
          <w:sz w:val="22"/>
          <w:szCs w:val="22"/>
          <w:lang w:eastAsia="zh-CN"/>
        </w:rPr>
        <w:t>.</w:t>
      </w:r>
      <w:r w:rsidRPr="0030358C">
        <w:rPr>
          <w:rFonts w:ascii="Arial" w:hAnsi="Arial" w:cs="Arial"/>
          <w:b/>
          <w:bCs/>
          <w:sz w:val="22"/>
          <w:szCs w:val="22"/>
          <w:lang w:eastAsia="zh-CN"/>
        </w:rPr>
        <w:t xml:space="preserve"> Biodegradační nebo solidifikační zařízení (kód 2.4. přílohy č. 2 k zákonu)</w:t>
      </w:r>
    </w:p>
    <w:p w14:paraId="49E6A7C9" w14:textId="77777777" w:rsidR="008F52C8" w:rsidRPr="0030358C" w:rsidRDefault="00000000" w:rsidP="008F52C8">
      <w:pPr>
        <w:keepNext/>
        <w:keepLines/>
        <w:spacing w:before="120"/>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30BFB744" w14:textId="77777777" w:rsidR="008F52C8" w:rsidRPr="0030358C" w:rsidRDefault="00000000" w:rsidP="008F52C8">
      <w:pPr>
        <w:keepNext/>
        <w:keepLines/>
        <w:spacing w:before="120"/>
        <w:jc w:val="both"/>
        <w:rPr>
          <w:rFonts w:ascii="Arial" w:hAnsi="Arial" w:cs="Arial"/>
          <w:b/>
          <w:bCs/>
          <w:sz w:val="22"/>
          <w:szCs w:val="22"/>
          <w:lang w:eastAsia="zh-CN"/>
        </w:rPr>
      </w:pPr>
      <w:r w:rsidRPr="0030358C">
        <w:rPr>
          <w:rFonts w:ascii="Arial" w:hAnsi="Arial" w:cs="Arial"/>
          <w:b/>
          <w:bCs/>
          <w:sz w:val="22"/>
          <w:szCs w:val="22"/>
          <w:lang w:eastAsia="zh-CN"/>
        </w:rPr>
        <w:t>V případě zpracovávání materiálů, u nichž může docházet k emisím znečišťujících látek obtěžujících zápachem, musí být zajištěna technicko-organizační opatření ke snížení těchto látek např. zakrytování biodegradačních ploch a odtah odpadních plynů do zařízení na čištění odpadních plynů.</w:t>
      </w:r>
    </w:p>
    <w:p w14:paraId="45E67F19" w14:textId="77777777" w:rsidR="008F52C8" w:rsidRPr="0030358C" w:rsidRDefault="00000000" w:rsidP="008F52C8">
      <w:pPr>
        <w:keepNext/>
        <w:keepLines/>
        <w:spacing w:before="120"/>
        <w:jc w:val="both"/>
        <w:rPr>
          <w:rFonts w:ascii="Arial" w:hAnsi="Arial" w:cs="Arial"/>
          <w:b/>
          <w:bCs/>
          <w:sz w:val="22"/>
          <w:szCs w:val="22"/>
          <w:lang w:eastAsia="zh-CN"/>
        </w:rPr>
      </w:pPr>
      <w:r w:rsidRPr="0030358C">
        <w:rPr>
          <w:rFonts w:ascii="Arial" w:hAnsi="Arial" w:cs="Arial"/>
          <w:b/>
          <w:bCs/>
          <w:sz w:val="22"/>
          <w:szCs w:val="22"/>
          <w:lang w:eastAsia="zh-CN"/>
        </w:rPr>
        <w:t>V případě volných zakládek snižovat vnášení tuhých znečišťujících látek do ovzduší, například umístěním zakládek na závětrné straně, jejich skrápěním nebo mlžením.</w:t>
      </w:r>
    </w:p>
    <w:p w14:paraId="36A6C24A" w14:textId="77777777" w:rsidR="008F52C8" w:rsidRPr="0030358C" w:rsidRDefault="008F52C8" w:rsidP="008F52C8">
      <w:pPr>
        <w:widowControl w:val="0"/>
        <w:autoSpaceDE w:val="0"/>
        <w:spacing w:before="60" w:line="300" w:lineRule="exact"/>
        <w:jc w:val="both"/>
        <w:rPr>
          <w:rFonts w:ascii="Arial" w:hAnsi="Arial" w:cs="Arial"/>
          <w:b/>
          <w:bCs/>
          <w:sz w:val="22"/>
          <w:szCs w:val="22"/>
          <w:lang w:eastAsia="zh-CN"/>
        </w:rPr>
      </w:pPr>
    </w:p>
    <w:p w14:paraId="3678736A"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1.3. Sanační nebo dekontaminační zařízení (odstraňování organických látek z kontaminovaných zemin nebo podzemních vod) s celkovým projektovaným výkonem 1 t těkavých organických látek za rok a více nebo 50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podzemních vod za den a více (kód 2.5. přílohy č. 2 k zákonu)</w:t>
      </w:r>
    </w:p>
    <w:p w14:paraId="45F07DE1" w14:textId="77777777" w:rsidR="008F52C8" w:rsidRPr="0030358C" w:rsidRDefault="008F52C8" w:rsidP="008F52C8">
      <w:pPr>
        <w:rPr>
          <w:rFonts w:ascii="Arial" w:hAnsi="Arial" w:cs="Arial"/>
          <w:b/>
          <w:bCs/>
          <w:sz w:val="22"/>
          <w:szCs w:val="22"/>
          <w:lang w:eastAsia="zh-CN"/>
        </w:rPr>
      </w:pPr>
    </w:p>
    <w:p w14:paraId="3619E872"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Platí pro sanační zařízení provozovaná ex situ.</w:t>
      </w:r>
    </w:p>
    <w:p w14:paraId="1AF730BD" w14:textId="77777777" w:rsidR="008F52C8" w:rsidRPr="0030358C" w:rsidRDefault="008F52C8" w:rsidP="008F52C8">
      <w:pPr>
        <w:rPr>
          <w:rFonts w:ascii="Arial" w:hAnsi="Arial" w:cs="Arial"/>
          <w:b/>
          <w:bCs/>
          <w:sz w:val="22"/>
          <w:szCs w:val="22"/>
          <w:lang w:eastAsia="zh-CN"/>
        </w:rPr>
      </w:pPr>
    </w:p>
    <w:tbl>
      <w:tblPr>
        <w:tblW w:w="9580" w:type="dxa"/>
        <w:tblInd w:w="-5" w:type="dxa"/>
        <w:tblLayout w:type="fixed"/>
        <w:tblLook w:val="0000" w:firstRow="0" w:lastRow="0" w:firstColumn="0" w:lastColumn="0" w:noHBand="0" w:noVBand="0"/>
      </w:tblPr>
      <w:tblGrid>
        <w:gridCol w:w="4785"/>
        <w:gridCol w:w="4795"/>
      </w:tblGrid>
      <w:tr w:rsidR="00E40657" w14:paraId="77CFD63A" w14:textId="77777777" w:rsidTr="00732453">
        <w:trPr>
          <w:cantSplit/>
          <w:trHeight w:hRule="exact" w:val="340"/>
        </w:trPr>
        <w:tc>
          <w:tcPr>
            <w:tcW w:w="4785" w:type="dxa"/>
            <w:tcBorders>
              <w:top w:val="single" w:sz="4" w:space="0" w:color="000000"/>
              <w:left w:val="single" w:sz="4" w:space="0" w:color="000000"/>
              <w:bottom w:val="single" w:sz="4" w:space="0" w:color="000000"/>
            </w:tcBorders>
            <w:vAlign w:val="center"/>
          </w:tcPr>
          <w:p w14:paraId="1815758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795" w:type="dxa"/>
            <w:vMerge w:val="restart"/>
            <w:tcBorders>
              <w:top w:val="single" w:sz="4" w:space="0" w:color="000000"/>
              <w:left w:val="single" w:sz="4" w:space="0" w:color="000000"/>
              <w:bottom w:val="single" w:sz="4" w:space="0" w:color="000000"/>
              <w:right w:val="single" w:sz="4" w:space="0" w:color="000000"/>
            </w:tcBorders>
            <w:vAlign w:val="center"/>
          </w:tcPr>
          <w:p w14:paraId="0A4AEF6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793F03B" w14:textId="77777777" w:rsidTr="00732453">
        <w:trPr>
          <w:cantSplit/>
          <w:trHeight w:hRule="exact" w:val="565"/>
        </w:trPr>
        <w:tc>
          <w:tcPr>
            <w:tcW w:w="4785" w:type="dxa"/>
            <w:tcBorders>
              <w:left w:val="single" w:sz="4" w:space="0" w:color="000000"/>
              <w:bottom w:val="single" w:sz="4" w:space="0" w:color="000000"/>
            </w:tcBorders>
            <w:vAlign w:val="center"/>
          </w:tcPr>
          <w:p w14:paraId="7B5A60A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4795" w:type="dxa"/>
            <w:vMerge/>
            <w:tcBorders>
              <w:top w:val="single" w:sz="4" w:space="0" w:color="000000"/>
              <w:left w:val="single" w:sz="4" w:space="0" w:color="000000"/>
              <w:bottom w:val="single" w:sz="4" w:space="0" w:color="000000"/>
              <w:right w:val="single" w:sz="4" w:space="0" w:color="000000"/>
            </w:tcBorders>
            <w:vAlign w:val="center"/>
          </w:tcPr>
          <w:p w14:paraId="553B1B52" w14:textId="77777777" w:rsidR="008F52C8" w:rsidRPr="0030358C" w:rsidRDefault="008F52C8" w:rsidP="00732453">
            <w:pPr>
              <w:snapToGrid w:val="0"/>
              <w:rPr>
                <w:rFonts w:ascii="Arial" w:hAnsi="Arial" w:cs="Arial"/>
                <w:b/>
                <w:bCs/>
                <w:sz w:val="22"/>
                <w:szCs w:val="22"/>
                <w:lang w:eastAsia="zh-CN"/>
              </w:rPr>
            </w:pPr>
          </w:p>
        </w:tc>
      </w:tr>
      <w:tr w:rsidR="00E40657" w14:paraId="3EC7BA42" w14:textId="77777777" w:rsidTr="00732453">
        <w:trPr>
          <w:cantSplit/>
          <w:trHeight w:hRule="exact" w:val="340"/>
        </w:trPr>
        <w:tc>
          <w:tcPr>
            <w:tcW w:w="4785" w:type="dxa"/>
            <w:tcBorders>
              <w:left w:val="single" w:sz="4" w:space="0" w:color="000000"/>
              <w:bottom w:val="single" w:sz="4" w:space="0" w:color="000000"/>
            </w:tcBorders>
            <w:vAlign w:val="center"/>
          </w:tcPr>
          <w:p w14:paraId="6173E04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4795" w:type="dxa"/>
            <w:tcBorders>
              <w:left w:val="single" w:sz="4" w:space="0" w:color="000000"/>
              <w:bottom w:val="single" w:sz="4" w:space="0" w:color="000000"/>
              <w:right w:val="single" w:sz="4" w:space="0" w:color="000000"/>
            </w:tcBorders>
            <w:vAlign w:val="center"/>
          </w:tcPr>
          <w:p w14:paraId="3570ADC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0F413F56" w14:textId="77777777" w:rsidR="008F52C8" w:rsidRPr="0030358C" w:rsidRDefault="008F52C8" w:rsidP="008F52C8">
      <w:pPr>
        <w:widowControl w:val="0"/>
        <w:autoSpaceDE w:val="0"/>
        <w:spacing w:before="60" w:line="300" w:lineRule="exact"/>
        <w:jc w:val="both"/>
        <w:rPr>
          <w:rFonts w:ascii="Arial" w:hAnsi="Arial" w:cs="Arial"/>
          <w:b/>
          <w:bCs/>
          <w:sz w:val="22"/>
          <w:szCs w:val="22"/>
          <w:lang w:eastAsia="zh-CN"/>
        </w:rPr>
      </w:pPr>
    </w:p>
    <w:p w14:paraId="5527730C" w14:textId="77777777" w:rsidR="008F52C8" w:rsidRPr="0030358C" w:rsidRDefault="00000000" w:rsidP="008F52C8">
      <w:pPr>
        <w:keepNext/>
        <w:numPr>
          <w:ilvl w:val="2"/>
          <w:numId w:val="0"/>
        </w:numPr>
        <w:tabs>
          <w:tab w:val="num" w:pos="0"/>
        </w:tabs>
        <w:spacing w:before="144"/>
        <w:jc w:val="both"/>
        <w:outlineLvl w:val="2"/>
        <w:rPr>
          <w:rFonts w:ascii="Arial" w:hAnsi="Arial" w:cs="Arial"/>
          <w:b/>
          <w:bCs/>
          <w:sz w:val="22"/>
          <w:szCs w:val="22"/>
          <w:lang w:eastAsia="zh-CN"/>
        </w:rPr>
      </w:pPr>
      <w:r w:rsidRPr="0030358C">
        <w:rPr>
          <w:rFonts w:ascii="Arial" w:hAnsi="Arial" w:cs="Arial"/>
          <w:b/>
          <w:bCs/>
          <w:sz w:val="22"/>
          <w:szCs w:val="22"/>
          <w:lang w:eastAsia="zh-CN"/>
        </w:rPr>
        <w:t>1.4. Čistírny odpadních vod, deemulgační a neutralizační stanice, které jsou primárně určeny k čištění vod nebo zpracování odpadů v celkovém množství 50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odpadních vod nebo odpadů za den a více (kód 2.6. přílohy č. 2 k zákonu)</w:t>
      </w:r>
    </w:p>
    <w:p w14:paraId="65758506"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Technická podmínka provozu: </w:t>
      </w:r>
    </w:p>
    <w:p w14:paraId="687D2612"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Za účelem snížení emisí znečišťujících látek obtěžujících zápachem využívat opatření ke snižování emisí těchto látek, např. provedením odsávání odpadních plynů do zařízení </w:t>
      </w:r>
      <w:r w:rsidRPr="0030358C">
        <w:rPr>
          <w:rFonts w:ascii="Arial" w:hAnsi="Arial" w:cs="Arial"/>
          <w:b/>
          <w:bCs/>
          <w:sz w:val="22"/>
          <w:szCs w:val="22"/>
          <w:lang w:eastAsia="zh-CN"/>
        </w:rPr>
        <w:lastRenderedPageBreak/>
        <w:t>k omezování emisí, zakrytováním jímek a dopravníků, uzavřením objektů, pravidelným odstraňováním usazenin organického původu ze zařízení pro předčištění odpadních vod, dodržování technologické kázně.</w:t>
      </w:r>
    </w:p>
    <w:p w14:paraId="242A7A26" w14:textId="77777777" w:rsidR="008F52C8" w:rsidRPr="0030358C" w:rsidRDefault="008F52C8" w:rsidP="008F52C8">
      <w:pPr>
        <w:spacing w:before="144"/>
        <w:jc w:val="both"/>
        <w:rPr>
          <w:rFonts w:ascii="Arial" w:hAnsi="Arial" w:cs="Arial"/>
          <w:b/>
          <w:bCs/>
          <w:sz w:val="22"/>
          <w:szCs w:val="22"/>
          <w:lang w:eastAsia="zh-CN"/>
        </w:rPr>
      </w:pPr>
    </w:p>
    <w:p w14:paraId="0C9CD614"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1.5. Čistírny odpadních vod s celkovou projektovanou kapacitou pro 10 000 a více ekvivalentních obyvatel (kód 2.7. přílohy č. 2 k zákonu)</w:t>
      </w:r>
    </w:p>
    <w:p w14:paraId="77CD81AC"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Technická podmínka provozu: </w:t>
      </w:r>
    </w:p>
    <w:p w14:paraId="21F49D78"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Využívat na všech zdrojích zápachu (nátok, nakládání se shrabky, kalové hospodářství</w:t>
      </w:r>
      <w:r w:rsidR="007F35D1" w:rsidRPr="0030358C">
        <w:rPr>
          <w:rFonts w:ascii="Arial" w:hAnsi="Arial" w:cs="Arial"/>
          <w:b/>
          <w:bCs/>
          <w:sz w:val="22"/>
          <w:szCs w:val="22"/>
          <w:lang w:eastAsia="zh-CN"/>
        </w:rPr>
        <w:t xml:space="preserve"> </w:t>
      </w:r>
      <w:r w:rsidRPr="0030358C">
        <w:rPr>
          <w:rFonts w:ascii="Arial" w:hAnsi="Arial" w:cs="Arial"/>
          <w:b/>
          <w:bCs/>
          <w:sz w:val="22"/>
          <w:szCs w:val="22"/>
          <w:lang w:eastAsia="zh-CN"/>
        </w:rPr>
        <w:t xml:space="preserve">atd.) opatření ke snižování emisí těchto látek, např. provedením odsávání odpadních plynů do zařízení k omezování emisí, zakrytováním jímek a dopravníků a uzavření objektů všude, kde je to možné. </w:t>
      </w:r>
    </w:p>
    <w:p w14:paraId="4049D358"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Za účelem omezení zápachu využívat i technicko-organizační opatření, a sice alespoň důsledné uzavírání objektů. Personál musí mít v písemné podobě k dispozici postupy pro odstraňování nestandardních technologických stavů s následky zvýšené produkce zápachu (týká se biologického čištění a kalového hospodářství).</w:t>
      </w:r>
    </w:p>
    <w:p w14:paraId="6B3DAD22" w14:textId="77777777" w:rsidR="008F52C8" w:rsidRPr="0030358C" w:rsidRDefault="008F52C8" w:rsidP="008F52C8">
      <w:pPr>
        <w:rPr>
          <w:rFonts w:ascii="Arial" w:hAnsi="Arial" w:cs="Arial"/>
          <w:b/>
          <w:bCs/>
          <w:sz w:val="22"/>
          <w:szCs w:val="22"/>
          <w:lang w:eastAsia="zh-CN"/>
        </w:rPr>
      </w:pPr>
    </w:p>
    <w:p w14:paraId="3827ED35"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w:t>
      </w:r>
    </w:p>
    <w:p w14:paraId="6EC3EDD5"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1.6</w:t>
      </w:r>
      <w:r w:rsidR="00574368" w:rsidRPr="0030358C">
        <w:rPr>
          <w:rFonts w:ascii="Arial" w:hAnsi="Arial" w:cs="Arial"/>
          <w:b/>
          <w:bCs/>
          <w:sz w:val="22"/>
          <w:szCs w:val="22"/>
          <w:lang w:eastAsia="zh-CN"/>
        </w:rPr>
        <w:t>.</w:t>
      </w:r>
      <w:r w:rsidRPr="0030358C">
        <w:rPr>
          <w:rFonts w:ascii="Arial" w:hAnsi="Arial" w:cs="Arial"/>
          <w:b/>
          <w:bCs/>
          <w:sz w:val="22"/>
          <w:szCs w:val="22"/>
          <w:lang w:eastAsia="zh-CN"/>
        </w:rPr>
        <w:t xml:space="preserve"> Sušení čistírenských kalů, sušení znečištěného skla nebo opalování znečištěných kovů nebo znečištěného skla (kód 2.8. přílohy č. 2 k zákonu)</w:t>
      </w:r>
    </w:p>
    <w:p w14:paraId="6D87ED93" w14:textId="77777777" w:rsidR="00574368" w:rsidRPr="0030358C" w:rsidRDefault="00574368" w:rsidP="008F52C8">
      <w:pPr>
        <w:rPr>
          <w:rFonts w:ascii="Arial" w:hAnsi="Arial" w:cs="Arial"/>
          <w:b/>
          <w:bCs/>
          <w:sz w:val="22"/>
          <w:szCs w:val="22"/>
          <w:lang w:eastAsia="zh-CN"/>
        </w:rPr>
      </w:pPr>
    </w:p>
    <w:p w14:paraId="12B22182" w14:textId="77777777" w:rsidR="0057436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Emisní limity a technické podmínky provozu platné od 1. 1. 2026</w:t>
      </w:r>
    </w:p>
    <w:p w14:paraId="56BC2A81" w14:textId="77777777" w:rsidR="008F52C8" w:rsidRPr="0030358C" w:rsidRDefault="008F52C8" w:rsidP="008F52C8">
      <w:pPr>
        <w:rPr>
          <w:rFonts w:ascii="Arial" w:hAnsi="Arial" w:cs="Arial"/>
          <w:b/>
          <w:bCs/>
          <w:sz w:val="22"/>
          <w:szCs w:val="22"/>
          <w:lang w:eastAsia="zh-CN"/>
        </w:rPr>
      </w:pPr>
    </w:p>
    <w:tbl>
      <w:tblPr>
        <w:tblW w:w="0" w:type="auto"/>
        <w:tblCellSpacing w:w="0" w:type="dxa"/>
        <w:tblLook w:val="04A0" w:firstRow="1" w:lastRow="0" w:firstColumn="1" w:lastColumn="0" w:noHBand="0" w:noVBand="1"/>
      </w:tblPr>
      <w:tblGrid>
        <w:gridCol w:w="2950"/>
        <w:gridCol w:w="2929"/>
        <w:gridCol w:w="3171"/>
      </w:tblGrid>
      <w:tr w:rsidR="00E40657" w14:paraId="6BFBF2BF" w14:textId="77777777" w:rsidTr="00732453">
        <w:trPr>
          <w:tblCellSpacing w:w="0" w:type="dxa"/>
        </w:trPr>
        <w:tc>
          <w:tcPr>
            <w:tcW w:w="5894" w:type="dxa"/>
            <w:gridSpan w:val="2"/>
            <w:tcBorders>
              <w:top w:val="single" w:sz="8" w:space="0" w:color="000000"/>
              <w:left w:val="single" w:sz="8" w:space="0" w:color="000000"/>
              <w:bottom w:val="single" w:sz="8" w:space="0" w:color="000000"/>
              <w:right w:val="single" w:sz="8" w:space="0" w:color="000000"/>
            </w:tcBorders>
            <w:vAlign w:val="center"/>
            <w:hideMark/>
          </w:tcPr>
          <w:p w14:paraId="0BB76C23" w14:textId="77777777" w:rsidR="008F52C8" w:rsidRPr="0030358C" w:rsidRDefault="00000000" w:rsidP="00DB1442">
            <w:pPr>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p w14:paraId="16BC22F4" w14:textId="77777777" w:rsidR="008F52C8" w:rsidRPr="0030358C" w:rsidRDefault="008F52C8" w:rsidP="00DB1442">
            <w:pPr>
              <w:jc w:val="center"/>
              <w:rPr>
                <w:rFonts w:ascii="Arial" w:hAnsi="Arial" w:cs="Arial"/>
                <w:b/>
                <w:bCs/>
                <w:sz w:val="22"/>
                <w:szCs w:val="22"/>
                <w:lang w:eastAsia="zh-CN"/>
              </w:rPr>
            </w:pPr>
          </w:p>
        </w:tc>
        <w:tc>
          <w:tcPr>
            <w:tcW w:w="3178" w:type="dxa"/>
            <w:tcBorders>
              <w:top w:val="single" w:sz="8" w:space="0" w:color="000000"/>
              <w:left w:val="nil"/>
              <w:bottom w:val="single" w:sz="8" w:space="0" w:color="000000"/>
              <w:right w:val="single" w:sz="8" w:space="0" w:color="000000"/>
            </w:tcBorders>
            <w:vAlign w:val="center"/>
            <w:hideMark/>
          </w:tcPr>
          <w:p w14:paraId="4A95B2DF" w14:textId="77777777" w:rsidR="008F52C8" w:rsidRPr="0030358C" w:rsidRDefault="00000000" w:rsidP="00DB1442">
            <w:pPr>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2C60616" w14:textId="77777777" w:rsidTr="00732453">
        <w:trPr>
          <w:tblCellSpacing w:w="0" w:type="dxa"/>
        </w:trPr>
        <w:tc>
          <w:tcPr>
            <w:tcW w:w="2957" w:type="dxa"/>
            <w:tcBorders>
              <w:top w:val="nil"/>
              <w:left w:val="single" w:sz="8" w:space="0" w:color="000000"/>
              <w:bottom w:val="single" w:sz="8" w:space="0" w:color="000000"/>
              <w:right w:val="single" w:sz="8" w:space="0" w:color="000000"/>
            </w:tcBorders>
            <w:vAlign w:val="center"/>
            <w:hideMark/>
          </w:tcPr>
          <w:p w14:paraId="3B9C6C25" w14:textId="77777777" w:rsidR="008F52C8" w:rsidRPr="0030358C" w:rsidRDefault="00000000" w:rsidP="00DB1442">
            <w:pPr>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937" w:type="dxa"/>
            <w:tcBorders>
              <w:top w:val="nil"/>
              <w:left w:val="nil"/>
              <w:bottom w:val="single" w:sz="8" w:space="0" w:color="000000"/>
              <w:right w:val="single" w:sz="8" w:space="0" w:color="000000"/>
            </w:tcBorders>
            <w:vAlign w:val="center"/>
            <w:hideMark/>
          </w:tcPr>
          <w:p w14:paraId="7AED8A80" w14:textId="77777777" w:rsidR="008F52C8" w:rsidRPr="0030358C" w:rsidRDefault="00000000" w:rsidP="00DB1442">
            <w:pPr>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3178" w:type="dxa"/>
            <w:vMerge w:val="restart"/>
            <w:tcBorders>
              <w:top w:val="nil"/>
              <w:left w:val="nil"/>
              <w:bottom w:val="single" w:sz="8" w:space="0" w:color="000000"/>
              <w:right w:val="single" w:sz="8" w:space="0" w:color="000000"/>
            </w:tcBorders>
            <w:vAlign w:val="center"/>
            <w:hideMark/>
          </w:tcPr>
          <w:p w14:paraId="05E74026" w14:textId="77777777" w:rsidR="008F52C8" w:rsidRPr="0030358C" w:rsidRDefault="008F52C8" w:rsidP="00DB1442">
            <w:pPr>
              <w:jc w:val="center"/>
              <w:rPr>
                <w:rFonts w:ascii="Arial" w:hAnsi="Arial" w:cs="Arial"/>
                <w:b/>
                <w:bCs/>
                <w:sz w:val="22"/>
                <w:szCs w:val="22"/>
                <w:lang w:eastAsia="zh-CN"/>
              </w:rPr>
            </w:pPr>
          </w:p>
          <w:p w14:paraId="139497CC" w14:textId="77777777" w:rsidR="008F52C8" w:rsidRPr="0030358C" w:rsidRDefault="00000000" w:rsidP="00DB1442">
            <w:pPr>
              <w:jc w:val="center"/>
              <w:rPr>
                <w:rFonts w:ascii="Arial" w:hAnsi="Arial" w:cs="Arial"/>
                <w:b/>
                <w:bCs/>
                <w:sz w:val="22"/>
                <w:szCs w:val="22"/>
                <w:lang w:eastAsia="zh-CN"/>
              </w:rPr>
            </w:pPr>
            <w:r w:rsidRPr="0030358C">
              <w:rPr>
                <w:rFonts w:ascii="Arial" w:hAnsi="Arial" w:cs="Arial"/>
                <w:b/>
                <w:bCs/>
                <w:sz w:val="22"/>
                <w:szCs w:val="22"/>
                <w:lang w:eastAsia="zh-CN"/>
              </w:rPr>
              <w:t>B</w:t>
            </w:r>
          </w:p>
          <w:p w14:paraId="4690241B" w14:textId="77777777" w:rsidR="008F52C8" w:rsidRPr="0030358C" w:rsidRDefault="008F52C8" w:rsidP="00DB1442">
            <w:pPr>
              <w:jc w:val="center"/>
              <w:rPr>
                <w:rFonts w:ascii="Arial" w:hAnsi="Arial" w:cs="Arial"/>
                <w:b/>
                <w:bCs/>
                <w:sz w:val="22"/>
                <w:szCs w:val="22"/>
                <w:lang w:eastAsia="zh-CN"/>
              </w:rPr>
            </w:pPr>
          </w:p>
        </w:tc>
      </w:tr>
      <w:tr w:rsidR="00E40657" w14:paraId="0F72907A" w14:textId="77777777" w:rsidTr="000032A3">
        <w:trPr>
          <w:tblCellSpacing w:w="0" w:type="dxa"/>
        </w:trPr>
        <w:tc>
          <w:tcPr>
            <w:tcW w:w="2957" w:type="dxa"/>
            <w:tcBorders>
              <w:top w:val="nil"/>
              <w:left w:val="single" w:sz="8" w:space="0" w:color="000000"/>
              <w:bottom w:val="single" w:sz="4" w:space="0" w:color="auto"/>
              <w:right w:val="single" w:sz="8" w:space="0" w:color="000000"/>
            </w:tcBorders>
            <w:vAlign w:val="center"/>
            <w:hideMark/>
          </w:tcPr>
          <w:p w14:paraId="21E45183" w14:textId="77777777" w:rsidR="008F52C8" w:rsidRPr="0030358C" w:rsidRDefault="00000000" w:rsidP="00DB1442">
            <w:pPr>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2937" w:type="dxa"/>
            <w:tcBorders>
              <w:top w:val="nil"/>
              <w:left w:val="nil"/>
              <w:bottom w:val="single" w:sz="4" w:space="0" w:color="auto"/>
              <w:right w:val="single" w:sz="8" w:space="0" w:color="000000"/>
            </w:tcBorders>
            <w:vAlign w:val="center"/>
            <w:hideMark/>
          </w:tcPr>
          <w:p w14:paraId="4F17C80F" w14:textId="77777777" w:rsidR="008F52C8" w:rsidRPr="0030358C" w:rsidRDefault="00000000" w:rsidP="00DB1442">
            <w:pPr>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0" w:type="auto"/>
            <w:vMerge/>
            <w:tcBorders>
              <w:top w:val="nil"/>
              <w:left w:val="nil"/>
              <w:bottom w:val="single" w:sz="4" w:space="0" w:color="auto"/>
              <w:right w:val="single" w:sz="8" w:space="0" w:color="000000"/>
            </w:tcBorders>
            <w:vAlign w:val="center"/>
            <w:hideMark/>
          </w:tcPr>
          <w:p w14:paraId="5E62CD80" w14:textId="77777777" w:rsidR="008F52C8" w:rsidRPr="0030358C" w:rsidRDefault="008F52C8" w:rsidP="00732453">
            <w:pPr>
              <w:rPr>
                <w:rFonts w:ascii="Arial" w:hAnsi="Arial" w:cs="Arial"/>
                <w:b/>
                <w:bCs/>
                <w:sz w:val="22"/>
                <w:szCs w:val="22"/>
                <w:lang w:eastAsia="zh-CN"/>
              </w:rPr>
            </w:pPr>
          </w:p>
        </w:tc>
      </w:tr>
    </w:tbl>
    <w:p w14:paraId="391D5E2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w:t>
      </w:r>
    </w:p>
    <w:p w14:paraId="36B1E319"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61620342" w14:textId="77777777" w:rsidR="00574368" w:rsidRPr="0030358C" w:rsidRDefault="00000000" w:rsidP="0057436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Za účelem snížení emisí znečišťujících látek obtěžujících zápachem a prachem využívat vhodná opatření ke snižování emisí těchto látek podle typu technologie, např.: </w:t>
      </w:r>
    </w:p>
    <w:p w14:paraId="0823D844" w14:textId="77777777" w:rsidR="00574368" w:rsidRPr="0030358C" w:rsidRDefault="00000000" w:rsidP="00574368">
      <w:pPr>
        <w:spacing w:before="144"/>
        <w:jc w:val="both"/>
        <w:rPr>
          <w:rFonts w:ascii="Arial" w:hAnsi="Arial" w:cs="Arial"/>
          <w:b/>
          <w:bCs/>
          <w:sz w:val="22"/>
          <w:szCs w:val="22"/>
          <w:lang w:eastAsia="zh-CN"/>
        </w:rPr>
      </w:pPr>
      <w:r w:rsidRPr="0030358C">
        <w:rPr>
          <w:rFonts w:ascii="Arial" w:hAnsi="Arial" w:cs="Arial"/>
          <w:b/>
          <w:bCs/>
          <w:sz w:val="22"/>
          <w:szCs w:val="22"/>
          <w:lang w:eastAsia="zh-CN"/>
        </w:rPr>
        <w:t>a) odsávání odpadních plynů do zařízení k omezování emisí znečišťujících látek obtěžujících zápachem (např.  termické spalování, filtr s aktivním uhlím, biologický filtr).</w:t>
      </w:r>
    </w:p>
    <w:p w14:paraId="622C61A6" w14:textId="77777777" w:rsidR="008F52C8" w:rsidRPr="0030358C" w:rsidRDefault="00000000" w:rsidP="00574368">
      <w:pPr>
        <w:spacing w:before="144"/>
        <w:jc w:val="both"/>
        <w:rPr>
          <w:rFonts w:ascii="Arial" w:hAnsi="Arial" w:cs="Arial"/>
          <w:b/>
          <w:bCs/>
          <w:sz w:val="22"/>
          <w:szCs w:val="22"/>
          <w:lang w:eastAsia="zh-CN"/>
        </w:rPr>
      </w:pPr>
      <w:r w:rsidRPr="0030358C">
        <w:rPr>
          <w:rFonts w:ascii="Arial" w:hAnsi="Arial" w:cs="Arial"/>
          <w:b/>
          <w:bCs/>
          <w:sz w:val="22"/>
          <w:szCs w:val="22"/>
          <w:lang w:eastAsia="zh-CN"/>
        </w:rPr>
        <w:t>b) zakrytování jímek a dopravníků, uzavření objektů, pravidelné odstraňování usazenin organického původu ze zařízení pro sušení čistírenských kalů.</w:t>
      </w:r>
    </w:p>
    <w:p w14:paraId="5BAAF8F1"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1.7</w:t>
      </w:r>
      <w:r w:rsidR="00574368" w:rsidRPr="0030358C">
        <w:rPr>
          <w:rFonts w:ascii="Arial" w:hAnsi="Arial" w:cs="Arial"/>
          <w:b/>
          <w:bCs/>
          <w:sz w:val="22"/>
          <w:szCs w:val="22"/>
          <w:lang w:eastAsia="zh-CN"/>
        </w:rPr>
        <w:t>.</w:t>
      </w:r>
      <w:r w:rsidRPr="0030358C">
        <w:rPr>
          <w:rFonts w:ascii="Arial" w:hAnsi="Arial" w:cs="Arial"/>
          <w:b/>
          <w:bCs/>
          <w:sz w:val="22"/>
          <w:szCs w:val="22"/>
          <w:lang w:eastAsia="zh-CN"/>
        </w:rPr>
        <w:t xml:space="preserve"> Mechanické zpracování elektroodpadu o celkové projektované kapacitě 50 t elektroodpadu za den a více (kód 2.9. přílohy č. 2 k zákonu)</w:t>
      </w:r>
    </w:p>
    <w:p w14:paraId="491D1502" w14:textId="77777777" w:rsidR="00F4711E" w:rsidRPr="0030358C" w:rsidRDefault="00F4711E" w:rsidP="008F52C8">
      <w:pPr>
        <w:spacing w:before="144"/>
        <w:jc w:val="both"/>
        <w:rPr>
          <w:rFonts w:ascii="Arial" w:hAnsi="Arial" w:cs="Arial"/>
          <w:b/>
          <w:bCs/>
          <w:sz w:val="22"/>
          <w:szCs w:val="22"/>
          <w:lang w:eastAsia="zh-CN"/>
        </w:rPr>
      </w:pPr>
    </w:p>
    <w:tbl>
      <w:tblPr>
        <w:tblW w:w="0" w:type="auto"/>
        <w:tblInd w:w="-6" w:type="dxa"/>
        <w:tblLayout w:type="fixed"/>
        <w:tblCellMar>
          <w:left w:w="10" w:type="dxa"/>
          <w:right w:w="10" w:type="dxa"/>
        </w:tblCellMar>
        <w:tblLook w:val="0000" w:firstRow="0" w:lastRow="0" w:firstColumn="0" w:lastColumn="0" w:noHBand="0" w:noVBand="0"/>
      </w:tblPr>
      <w:tblGrid>
        <w:gridCol w:w="2934"/>
        <w:gridCol w:w="3112"/>
        <w:gridCol w:w="3343"/>
      </w:tblGrid>
      <w:tr w:rsidR="00E40657" w14:paraId="4E8C27C3" w14:textId="77777777" w:rsidTr="002350EC">
        <w:trPr>
          <w:cantSplit/>
          <w:trHeight w:hRule="exact" w:val="341"/>
        </w:trPr>
        <w:tc>
          <w:tcPr>
            <w:tcW w:w="6046" w:type="dxa"/>
            <w:gridSpan w:val="2"/>
            <w:tcBorders>
              <w:top w:val="single" w:sz="2" w:space="0" w:color="000000"/>
              <w:left w:val="single" w:sz="2" w:space="0" w:color="000000"/>
              <w:bottom w:val="single" w:sz="2" w:space="0" w:color="000000"/>
            </w:tcBorders>
            <w:shd w:val="clear" w:color="auto" w:fill="auto"/>
            <w:vAlign w:val="center"/>
          </w:tcPr>
          <w:p w14:paraId="7BBBD74C" w14:textId="77777777" w:rsidR="00F4711E" w:rsidRPr="0030358C" w:rsidRDefault="00000000" w:rsidP="002350EC">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343" w:type="dxa"/>
            <w:vMerge w:val="restart"/>
            <w:tcBorders>
              <w:top w:val="single" w:sz="2" w:space="0" w:color="000000"/>
              <w:left w:val="single" w:sz="2" w:space="0" w:color="000000"/>
              <w:right w:val="single" w:sz="2" w:space="0" w:color="000000"/>
            </w:tcBorders>
            <w:shd w:val="clear" w:color="auto" w:fill="auto"/>
            <w:vAlign w:val="center"/>
          </w:tcPr>
          <w:p w14:paraId="703F7C30" w14:textId="77777777" w:rsidR="00F4711E" w:rsidRPr="0030358C" w:rsidRDefault="00000000" w:rsidP="002350EC">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7FC05DD" w14:textId="77777777" w:rsidTr="002350EC">
        <w:trPr>
          <w:cantSplit/>
          <w:trHeight w:hRule="exact" w:val="482"/>
        </w:trPr>
        <w:tc>
          <w:tcPr>
            <w:tcW w:w="2934" w:type="dxa"/>
            <w:tcBorders>
              <w:top w:val="single" w:sz="2" w:space="0" w:color="000000"/>
              <w:left w:val="single" w:sz="2" w:space="0" w:color="000000"/>
              <w:bottom w:val="single" w:sz="2" w:space="0" w:color="000000"/>
            </w:tcBorders>
            <w:shd w:val="clear" w:color="auto" w:fill="auto"/>
            <w:vAlign w:val="center"/>
          </w:tcPr>
          <w:p w14:paraId="71DE3416" w14:textId="77777777" w:rsidR="00F4711E" w:rsidRPr="0030358C" w:rsidRDefault="00000000" w:rsidP="002350EC">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TZL</w:t>
            </w:r>
          </w:p>
        </w:tc>
        <w:tc>
          <w:tcPr>
            <w:tcW w:w="3112" w:type="dxa"/>
            <w:tcBorders>
              <w:top w:val="single" w:sz="2" w:space="0" w:color="000000"/>
              <w:left w:val="single" w:sz="2" w:space="0" w:color="000000"/>
              <w:bottom w:val="single" w:sz="2" w:space="0" w:color="000000"/>
            </w:tcBorders>
            <w:shd w:val="clear" w:color="auto" w:fill="auto"/>
            <w:vAlign w:val="center"/>
          </w:tcPr>
          <w:p w14:paraId="74811E6F" w14:textId="77777777" w:rsidR="00F4711E" w:rsidRPr="0030358C" w:rsidRDefault="00000000" w:rsidP="002350EC">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3343" w:type="dxa"/>
            <w:vMerge/>
            <w:tcBorders>
              <w:left w:val="single" w:sz="2" w:space="0" w:color="000000"/>
              <w:bottom w:val="single" w:sz="2" w:space="0" w:color="000000"/>
              <w:right w:val="single" w:sz="2" w:space="0" w:color="000000"/>
            </w:tcBorders>
            <w:shd w:val="clear" w:color="auto" w:fill="auto"/>
            <w:vAlign w:val="center"/>
          </w:tcPr>
          <w:p w14:paraId="18797EA4" w14:textId="77777777" w:rsidR="00F4711E" w:rsidRPr="0030358C" w:rsidRDefault="00F4711E" w:rsidP="002350EC">
            <w:pPr>
              <w:widowControl w:val="0"/>
              <w:autoSpaceDE w:val="0"/>
              <w:snapToGrid w:val="0"/>
              <w:jc w:val="center"/>
              <w:rPr>
                <w:rFonts w:ascii="Arial" w:hAnsi="Arial" w:cs="Arial"/>
                <w:b/>
                <w:bCs/>
                <w:sz w:val="22"/>
                <w:szCs w:val="22"/>
                <w:lang w:eastAsia="zh-CN"/>
              </w:rPr>
            </w:pPr>
          </w:p>
        </w:tc>
      </w:tr>
      <w:tr w:rsidR="00E40657" w14:paraId="22753BF3" w14:textId="77777777" w:rsidTr="00DB1442">
        <w:trPr>
          <w:trHeight w:hRule="exact" w:val="616"/>
        </w:trPr>
        <w:tc>
          <w:tcPr>
            <w:tcW w:w="2934" w:type="dxa"/>
            <w:tcBorders>
              <w:top w:val="single" w:sz="2" w:space="0" w:color="000000"/>
              <w:left w:val="single" w:sz="2" w:space="0" w:color="000000"/>
              <w:bottom w:val="single" w:sz="2" w:space="0" w:color="000000"/>
            </w:tcBorders>
            <w:shd w:val="clear" w:color="auto" w:fill="auto"/>
            <w:vAlign w:val="center"/>
          </w:tcPr>
          <w:p w14:paraId="6A79B02C" w14:textId="77777777" w:rsidR="00F4711E" w:rsidRPr="0030358C" w:rsidRDefault="00000000" w:rsidP="002350EC">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10</w:t>
            </w:r>
          </w:p>
          <w:p w14:paraId="59686D5C" w14:textId="77777777" w:rsidR="00F4711E" w:rsidRPr="0030358C" w:rsidRDefault="00000000" w:rsidP="002350EC">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w:t>
            </w:r>
            <w:r w:rsidRPr="0030358C">
              <w:rPr>
                <w:rFonts w:ascii="Arial" w:hAnsi="Arial" w:cs="Arial"/>
                <w:b/>
                <w:bCs/>
                <w:sz w:val="22"/>
                <w:szCs w:val="22"/>
                <w:vertAlign w:val="superscript"/>
                <w:lang w:eastAsia="zh-CN"/>
              </w:rPr>
              <w:t>1)</w:t>
            </w:r>
          </w:p>
        </w:tc>
        <w:tc>
          <w:tcPr>
            <w:tcW w:w="3112" w:type="dxa"/>
            <w:tcBorders>
              <w:top w:val="single" w:sz="2" w:space="0" w:color="000000"/>
              <w:left w:val="single" w:sz="2" w:space="0" w:color="000000"/>
              <w:bottom w:val="single" w:sz="2" w:space="0" w:color="000000"/>
            </w:tcBorders>
            <w:shd w:val="clear" w:color="auto" w:fill="auto"/>
            <w:vAlign w:val="center"/>
          </w:tcPr>
          <w:p w14:paraId="16385969" w14:textId="77777777" w:rsidR="00F4711E" w:rsidRPr="0030358C" w:rsidRDefault="00000000" w:rsidP="002350EC">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33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CAD5B5" w14:textId="77777777" w:rsidR="00F4711E" w:rsidRPr="0030358C" w:rsidRDefault="00000000" w:rsidP="002350EC">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06899FCA" w14:textId="77777777" w:rsidR="008F52C8" w:rsidRPr="0030358C" w:rsidRDefault="008F52C8" w:rsidP="00F4711E">
      <w:pPr>
        <w:spacing w:before="144"/>
        <w:jc w:val="both"/>
        <w:rPr>
          <w:rFonts w:ascii="Arial" w:hAnsi="Arial" w:cs="Arial"/>
          <w:b/>
          <w:bCs/>
          <w:sz w:val="22"/>
          <w:szCs w:val="22"/>
          <w:lang w:eastAsia="zh-CN"/>
        </w:rPr>
      </w:pPr>
    </w:p>
    <w:p w14:paraId="68C3B8EF"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Vysvětlivky: </w:t>
      </w:r>
    </w:p>
    <w:p w14:paraId="379A9DA3"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1) Platí pro výduch z odvětrávání vnitřního prostoru, kde dochází k mletí a drcení elektromateriálu.</w:t>
      </w:r>
    </w:p>
    <w:p w14:paraId="419E56DF"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lastRenderedPageBreak/>
        <w:t>Technické podmínky provozu: </w:t>
      </w:r>
    </w:p>
    <w:p w14:paraId="72778EFD"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Musí být snižovány emise tuhých znečišťujících látek na všech technologických uzlech včetně skladování, manipulace, demontáže či drcení materiálu, kde dochází k emisím tuhých znečišťujících látek do ovzduší. </w:t>
      </w:r>
    </w:p>
    <w:p w14:paraId="6FB561EA"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Lze použít například:</w:t>
      </w:r>
    </w:p>
    <w:p w14:paraId="1C7A3E54"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a) opatření pro skladování prašných </w:t>
      </w:r>
      <w:r w:rsidR="00CF3DE0" w:rsidRPr="0030358C">
        <w:rPr>
          <w:rFonts w:ascii="Arial" w:hAnsi="Arial" w:cs="Arial"/>
          <w:b/>
          <w:bCs/>
          <w:sz w:val="22"/>
          <w:szCs w:val="22"/>
          <w:lang w:eastAsia="zh-CN"/>
        </w:rPr>
        <w:t>materiálů – uzavřené</w:t>
      </w:r>
      <w:r w:rsidRPr="0030358C">
        <w:rPr>
          <w:rFonts w:ascii="Arial" w:hAnsi="Arial" w:cs="Arial"/>
          <w:b/>
          <w:bCs/>
          <w:sz w:val="22"/>
          <w:szCs w:val="22"/>
          <w:lang w:eastAsia="zh-CN"/>
        </w:rPr>
        <w:t xml:space="preserve"> skladovací prostory, umisťování venkovních skládek na závětrnou stranu, jejich skrápění a budování zástěn,</w:t>
      </w:r>
    </w:p>
    <w:p w14:paraId="18B5DAC9"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b) opatření pro přepravu </w:t>
      </w:r>
      <w:r w:rsidR="00CF3DE0" w:rsidRPr="0030358C">
        <w:rPr>
          <w:rFonts w:ascii="Arial" w:hAnsi="Arial" w:cs="Arial"/>
          <w:b/>
          <w:bCs/>
          <w:sz w:val="22"/>
          <w:szCs w:val="22"/>
          <w:lang w:eastAsia="zh-CN"/>
        </w:rPr>
        <w:t>materiálů – pravidelná</w:t>
      </w:r>
      <w:r w:rsidRPr="0030358C">
        <w:rPr>
          <w:rFonts w:ascii="Arial" w:hAnsi="Arial" w:cs="Arial"/>
          <w:b/>
          <w:bCs/>
          <w:sz w:val="22"/>
          <w:szCs w:val="22"/>
          <w:lang w:eastAsia="zh-CN"/>
        </w:rPr>
        <w:t xml:space="preserve"> očista a skrápění komunikací a manipulačních ploch, omezení rychlosti pohybu vozidel v areálu zdroje, zakrývání nákladních prostorů expedujících dopravních prostředků,</w:t>
      </w:r>
    </w:p>
    <w:p w14:paraId="13970253"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c) instalace odprašovací jednotky (vzduchový třídič k odprášení drti elektroodpadu),</w:t>
      </w:r>
    </w:p>
    <w:p w14:paraId="2340F190"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 xml:space="preserve">d) instalace cyklonového odlučovače a filtrační jednotky (tkaninový filtr). </w:t>
      </w:r>
    </w:p>
    <w:p w14:paraId="0D7FD8C3"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Za účelem snížení emisí znečišťujících látek obtěžujících zápachem využívat opatření ke snižování emisí těchto látek, např. skrápění výrobních prostor plynnou mlhou s roztokem snižujícím pachový vjem.</w:t>
      </w:r>
    </w:p>
    <w:p w14:paraId="7CAB7432"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Předcházet vzniku požáru technickými (např. protipožární příčky, protipožární zařízení) a organizačními opatřeními (např. ostraha objektů).</w:t>
      </w:r>
    </w:p>
    <w:p w14:paraId="5895ADAE" w14:textId="77777777" w:rsidR="008F52C8" w:rsidRPr="0030358C" w:rsidRDefault="008F52C8" w:rsidP="008F52C8">
      <w:pPr>
        <w:rPr>
          <w:rFonts w:ascii="Arial" w:hAnsi="Arial" w:cs="Arial"/>
          <w:b/>
          <w:bCs/>
          <w:sz w:val="22"/>
          <w:szCs w:val="22"/>
          <w:lang w:eastAsia="zh-CN"/>
        </w:rPr>
      </w:pPr>
    </w:p>
    <w:p w14:paraId="0134CE72" w14:textId="77777777" w:rsidR="008F52C8" w:rsidRPr="0030358C" w:rsidRDefault="008F52C8" w:rsidP="008F52C8">
      <w:pPr>
        <w:rPr>
          <w:rFonts w:ascii="Arial" w:hAnsi="Arial" w:cs="Arial"/>
          <w:b/>
          <w:bCs/>
          <w:sz w:val="22"/>
          <w:szCs w:val="22"/>
          <w:lang w:eastAsia="zh-CN"/>
        </w:rPr>
      </w:pPr>
    </w:p>
    <w:p w14:paraId="61E0A3E9" w14:textId="77777777" w:rsidR="008F52C8" w:rsidRPr="0030358C" w:rsidRDefault="00000000" w:rsidP="008F52C8">
      <w:pPr>
        <w:keepNext/>
        <w:numPr>
          <w:ilvl w:val="1"/>
          <w:numId w:val="0"/>
        </w:numPr>
        <w:tabs>
          <w:tab w:val="num" w:pos="0"/>
        </w:tabs>
        <w:spacing w:before="60"/>
        <w:ind w:left="576" w:hanging="576"/>
        <w:outlineLvl w:val="1"/>
        <w:rPr>
          <w:rFonts w:ascii="Arial" w:hAnsi="Arial" w:cs="Arial"/>
          <w:b/>
          <w:bCs/>
          <w:caps/>
          <w:sz w:val="22"/>
          <w:szCs w:val="22"/>
          <w:lang w:eastAsia="zh-CN"/>
        </w:rPr>
      </w:pPr>
      <w:r w:rsidRPr="0030358C">
        <w:rPr>
          <w:rFonts w:ascii="Arial" w:hAnsi="Arial" w:cs="Arial"/>
          <w:b/>
          <w:bCs/>
          <w:caps/>
          <w:sz w:val="22"/>
          <w:szCs w:val="22"/>
          <w:lang w:eastAsia="zh-CN"/>
        </w:rPr>
        <w:t xml:space="preserve">2. Energetika – OSTATNÍ </w:t>
      </w:r>
    </w:p>
    <w:p w14:paraId="01FCF9D7" w14:textId="77777777" w:rsidR="008F52C8" w:rsidRPr="0030358C" w:rsidRDefault="008F52C8" w:rsidP="008F52C8">
      <w:pPr>
        <w:keepNext/>
        <w:numPr>
          <w:ilvl w:val="2"/>
          <w:numId w:val="0"/>
        </w:numPr>
        <w:tabs>
          <w:tab w:val="num" w:pos="0"/>
        </w:tabs>
        <w:spacing w:before="60"/>
        <w:ind w:left="720"/>
        <w:outlineLvl w:val="2"/>
        <w:rPr>
          <w:rFonts w:ascii="Arial" w:hAnsi="Arial" w:cs="Arial"/>
          <w:b/>
          <w:bCs/>
          <w:sz w:val="22"/>
          <w:szCs w:val="22"/>
          <w:lang w:eastAsia="zh-CN"/>
        </w:rPr>
      </w:pPr>
    </w:p>
    <w:p w14:paraId="61096407"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2.1. Rozmrazovny s přímým procesním ohřevem (kód 3.2. přílohy č. 2 k zákonu)</w:t>
      </w:r>
    </w:p>
    <w:p w14:paraId="404F3FDB" w14:textId="77777777" w:rsidR="008F52C8" w:rsidRPr="0030358C" w:rsidRDefault="008F52C8" w:rsidP="008F52C8">
      <w:pPr>
        <w:spacing w:before="120"/>
        <w:rPr>
          <w:rFonts w:ascii="Arial" w:hAnsi="Arial" w:cs="Arial"/>
          <w:b/>
          <w:bCs/>
          <w:sz w:val="22"/>
          <w:szCs w:val="22"/>
          <w:lang w:eastAsia="zh-CN"/>
        </w:rPr>
      </w:pPr>
    </w:p>
    <w:tbl>
      <w:tblPr>
        <w:tblW w:w="0" w:type="auto"/>
        <w:tblInd w:w="-6" w:type="dxa"/>
        <w:tblLayout w:type="fixed"/>
        <w:tblCellMar>
          <w:left w:w="10" w:type="dxa"/>
          <w:right w:w="10" w:type="dxa"/>
        </w:tblCellMar>
        <w:tblLook w:val="0000" w:firstRow="0" w:lastRow="0" w:firstColumn="0" w:lastColumn="0" w:noHBand="0" w:noVBand="0"/>
      </w:tblPr>
      <w:tblGrid>
        <w:gridCol w:w="2934"/>
        <w:gridCol w:w="3112"/>
        <w:gridCol w:w="3343"/>
      </w:tblGrid>
      <w:tr w:rsidR="00E40657" w14:paraId="634FCABF" w14:textId="77777777" w:rsidTr="00732453">
        <w:trPr>
          <w:cantSplit/>
          <w:trHeight w:hRule="exact" w:val="341"/>
        </w:trPr>
        <w:tc>
          <w:tcPr>
            <w:tcW w:w="6046" w:type="dxa"/>
            <w:gridSpan w:val="2"/>
            <w:tcBorders>
              <w:top w:val="single" w:sz="2" w:space="0" w:color="000000"/>
              <w:left w:val="single" w:sz="2" w:space="0" w:color="000000"/>
              <w:bottom w:val="single" w:sz="2" w:space="0" w:color="000000"/>
            </w:tcBorders>
            <w:shd w:val="clear" w:color="auto" w:fill="auto"/>
            <w:vAlign w:val="center"/>
          </w:tcPr>
          <w:p w14:paraId="3B5180D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343" w:type="dxa"/>
            <w:vMerge w:val="restart"/>
            <w:tcBorders>
              <w:top w:val="single" w:sz="2" w:space="0" w:color="000000"/>
              <w:left w:val="single" w:sz="2" w:space="0" w:color="000000"/>
              <w:right w:val="single" w:sz="2" w:space="0" w:color="000000"/>
            </w:tcBorders>
            <w:shd w:val="clear" w:color="auto" w:fill="auto"/>
            <w:vAlign w:val="center"/>
          </w:tcPr>
          <w:p w14:paraId="40C8682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77CEF43F" w14:textId="77777777" w:rsidTr="00732453">
        <w:trPr>
          <w:cantSplit/>
          <w:trHeight w:hRule="exact" w:val="482"/>
        </w:trPr>
        <w:tc>
          <w:tcPr>
            <w:tcW w:w="2934" w:type="dxa"/>
            <w:tcBorders>
              <w:top w:val="single" w:sz="2" w:space="0" w:color="000000"/>
              <w:left w:val="single" w:sz="2" w:space="0" w:color="000000"/>
              <w:bottom w:val="single" w:sz="2" w:space="0" w:color="000000"/>
            </w:tcBorders>
            <w:shd w:val="clear" w:color="auto" w:fill="auto"/>
            <w:vAlign w:val="center"/>
          </w:tcPr>
          <w:p w14:paraId="0721FEE5"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3112" w:type="dxa"/>
            <w:tcBorders>
              <w:top w:val="single" w:sz="2" w:space="0" w:color="000000"/>
              <w:left w:val="single" w:sz="2" w:space="0" w:color="000000"/>
              <w:bottom w:val="single" w:sz="2" w:space="0" w:color="000000"/>
            </w:tcBorders>
            <w:shd w:val="clear" w:color="auto" w:fill="auto"/>
            <w:vAlign w:val="center"/>
          </w:tcPr>
          <w:p w14:paraId="3E3C542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3343" w:type="dxa"/>
            <w:vMerge/>
            <w:tcBorders>
              <w:left w:val="single" w:sz="2" w:space="0" w:color="000000"/>
              <w:bottom w:val="single" w:sz="2" w:space="0" w:color="000000"/>
              <w:right w:val="single" w:sz="2" w:space="0" w:color="000000"/>
            </w:tcBorders>
            <w:shd w:val="clear" w:color="auto" w:fill="auto"/>
            <w:vAlign w:val="center"/>
          </w:tcPr>
          <w:p w14:paraId="2B76635F"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48CA0074" w14:textId="77777777" w:rsidTr="00732453">
        <w:trPr>
          <w:trHeight w:hRule="exact" w:val="508"/>
        </w:trPr>
        <w:tc>
          <w:tcPr>
            <w:tcW w:w="2934" w:type="dxa"/>
            <w:tcBorders>
              <w:top w:val="single" w:sz="2" w:space="0" w:color="000000"/>
              <w:left w:val="single" w:sz="2" w:space="0" w:color="000000"/>
              <w:bottom w:val="single" w:sz="2" w:space="0" w:color="000000"/>
            </w:tcBorders>
            <w:shd w:val="clear" w:color="auto" w:fill="auto"/>
            <w:vAlign w:val="center"/>
          </w:tcPr>
          <w:p w14:paraId="597D12B1"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3112" w:type="dxa"/>
            <w:tcBorders>
              <w:top w:val="single" w:sz="2" w:space="0" w:color="000000"/>
              <w:left w:val="single" w:sz="2" w:space="0" w:color="000000"/>
              <w:bottom w:val="single" w:sz="2" w:space="0" w:color="000000"/>
            </w:tcBorders>
            <w:shd w:val="clear" w:color="auto" w:fill="auto"/>
            <w:vAlign w:val="center"/>
          </w:tcPr>
          <w:p w14:paraId="2E42E93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800</w:t>
            </w:r>
          </w:p>
        </w:tc>
        <w:tc>
          <w:tcPr>
            <w:tcW w:w="33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FABA4D"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08802BE0" w14:textId="77777777" w:rsidR="008F52C8" w:rsidRPr="0030358C" w:rsidRDefault="008F52C8" w:rsidP="008F52C8">
      <w:pPr>
        <w:rPr>
          <w:rFonts w:ascii="Arial" w:hAnsi="Arial" w:cs="Arial"/>
          <w:b/>
          <w:bCs/>
          <w:sz w:val="22"/>
          <w:szCs w:val="22"/>
          <w:lang w:eastAsia="zh-CN"/>
        </w:rPr>
      </w:pPr>
    </w:p>
    <w:p w14:paraId="381FD9A9"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2.2. Třídění a úprava uhlí, briketárny</w:t>
      </w:r>
    </w:p>
    <w:p w14:paraId="38EE0575"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2.2.1. Třídění a jiná studená úprava uhlí (kód 3.3. přílohy č. 2 k zákonu)</w:t>
      </w:r>
    </w:p>
    <w:p w14:paraId="1E5423E9" w14:textId="77777777" w:rsidR="008F52C8" w:rsidRPr="0030358C" w:rsidRDefault="008F52C8" w:rsidP="008F52C8">
      <w:pPr>
        <w:rPr>
          <w:rFonts w:ascii="Arial" w:hAnsi="Arial" w:cs="Arial"/>
          <w:b/>
          <w:bCs/>
          <w:sz w:val="22"/>
          <w:szCs w:val="22"/>
          <w:lang w:eastAsia="zh-CN"/>
        </w:rPr>
      </w:pPr>
    </w:p>
    <w:tbl>
      <w:tblPr>
        <w:tblW w:w="0" w:type="auto"/>
        <w:tblInd w:w="-15" w:type="dxa"/>
        <w:tblLayout w:type="fixed"/>
        <w:tblLook w:val="0000" w:firstRow="0" w:lastRow="0" w:firstColumn="0" w:lastColumn="0" w:noHBand="0" w:noVBand="0"/>
      </w:tblPr>
      <w:tblGrid>
        <w:gridCol w:w="4785"/>
        <w:gridCol w:w="4815"/>
      </w:tblGrid>
      <w:tr w:rsidR="00E40657" w14:paraId="000E728E"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1CF2634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D79F7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DC8F9A8" w14:textId="77777777" w:rsidTr="00732453">
        <w:trPr>
          <w:cantSplit/>
          <w:trHeight w:hRule="exact" w:val="430"/>
        </w:trPr>
        <w:tc>
          <w:tcPr>
            <w:tcW w:w="4785" w:type="dxa"/>
            <w:tcBorders>
              <w:top w:val="single" w:sz="4" w:space="0" w:color="000000"/>
              <w:left w:val="single" w:sz="4" w:space="0" w:color="000000"/>
              <w:bottom w:val="single" w:sz="4" w:space="0" w:color="000000"/>
            </w:tcBorders>
            <w:shd w:val="clear" w:color="auto" w:fill="auto"/>
            <w:vAlign w:val="center"/>
          </w:tcPr>
          <w:p w14:paraId="454D538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8A46C0" w14:textId="77777777" w:rsidR="008F52C8" w:rsidRPr="0030358C" w:rsidRDefault="008F52C8" w:rsidP="00732453">
            <w:pPr>
              <w:snapToGrid w:val="0"/>
              <w:rPr>
                <w:rFonts w:ascii="Arial" w:hAnsi="Arial" w:cs="Arial"/>
                <w:b/>
                <w:bCs/>
                <w:sz w:val="22"/>
                <w:szCs w:val="22"/>
                <w:lang w:eastAsia="zh-CN"/>
              </w:rPr>
            </w:pPr>
          </w:p>
        </w:tc>
      </w:tr>
      <w:tr w:rsidR="00E40657" w14:paraId="5FD8E8AF" w14:textId="77777777" w:rsidTr="00732453">
        <w:trPr>
          <w:cantSplit/>
          <w:trHeight w:hRule="exact" w:val="676"/>
        </w:trPr>
        <w:tc>
          <w:tcPr>
            <w:tcW w:w="4785" w:type="dxa"/>
            <w:tcBorders>
              <w:top w:val="single" w:sz="4" w:space="0" w:color="000000"/>
              <w:left w:val="single" w:sz="4" w:space="0" w:color="000000"/>
              <w:bottom w:val="single" w:sz="4" w:space="0" w:color="000000"/>
            </w:tcBorders>
            <w:shd w:val="clear" w:color="auto" w:fill="auto"/>
            <w:vAlign w:val="center"/>
          </w:tcPr>
          <w:p w14:paraId="321E8DEE" w14:textId="77777777" w:rsidR="008F52C8" w:rsidRPr="0030358C" w:rsidRDefault="008F52C8" w:rsidP="00732453">
            <w:pPr>
              <w:snapToGrid w:val="0"/>
              <w:jc w:val="center"/>
              <w:rPr>
                <w:rFonts w:ascii="Arial" w:hAnsi="Arial" w:cs="Arial"/>
                <w:b/>
                <w:bCs/>
                <w:sz w:val="22"/>
                <w:szCs w:val="22"/>
                <w:lang w:eastAsia="zh-CN"/>
              </w:rPr>
            </w:pPr>
          </w:p>
          <w:p w14:paraId="5937AC84"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p>
        </w:tc>
        <w:tc>
          <w:tcPr>
            <w:tcW w:w="4815" w:type="dxa"/>
            <w:tcBorders>
              <w:left w:val="single" w:sz="4" w:space="0" w:color="000000"/>
              <w:bottom w:val="single" w:sz="4" w:space="0" w:color="000000"/>
              <w:right w:val="single" w:sz="4" w:space="0" w:color="000000"/>
            </w:tcBorders>
            <w:shd w:val="clear" w:color="auto" w:fill="auto"/>
            <w:vAlign w:val="center"/>
          </w:tcPr>
          <w:p w14:paraId="47E2219D" w14:textId="77777777" w:rsidR="008F52C8" w:rsidRPr="0030358C" w:rsidRDefault="008F52C8" w:rsidP="00732453">
            <w:pPr>
              <w:snapToGrid w:val="0"/>
              <w:jc w:val="center"/>
              <w:rPr>
                <w:rFonts w:ascii="Arial" w:hAnsi="Arial" w:cs="Arial"/>
                <w:b/>
                <w:bCs/>
                <w:sz w:val="22"/>
                <w:szCs w:val="22"/>
                <w:lang w:eastAsia="zh-CN"/>
              </w:rPr>
            </w:pPr>
          </w:p>
          <w:p w14:paraId="49305FD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1F6362E9"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42D6363F"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U otevřeného skladování vstupních a výstupních surovin musí být provedena aplikace některých z níže uvedených postupů s přihlédnutím ke kvalitě ovzduší v lokalitě, umístění lokality, povětrnostním podmínkám, teplotě vzduchu, vlhkosti vzduchu, charakter</w:t>
      </w:r>
      <w:r w:rsidR="00DB799A" w:rsidRPr="0030358C">
        <w:rPr>
          <w:rFonts w:ascii="Arial" w:hAnsi="Arial" w:cs="Arial"/>
          <w:b/>
          <w:bCs/>
          <w:sz w:val="22"/>
          <w:szCs w:val="22"/>
          <w:lang w:eastAsia="zh-CN"/>
        </w:rPr>
        <w:t>u</w:t>
      </w:r>
      <w:r w:rsidRPr="0030358C">
        <w:rPr>
          <w:rFonts w:ascii="Arial" w:hAnsi="Arial" w:cs="Arial"/>
          <w:b/>
          <w:bCs/>
          <w:sz w:val="22"/>
          <w:szCs w:val="22"/>
          <w:lang w:eastAsia="zh-CN"/>
        </w:rPr>
        <w:t xml:space="preserve"> manipulačních činností, velikosti frakcí (zrnitosti).</w:t>
      </w:r>
    </w:p>
    <w:p w14:paraId="2EEBF22B" w14:textId="77777777" w:rsidR="008F52C8" w:rsidRPr="0030358C" w:rsidRDefault="00000000" w:rsidP="00FE2A95">
      <w:pPr>
        <w:numPr>
          <w:ilvl w:val="0"/>
          <w:numId w:val="211"/>
        </w:numPr>
        <w:suppressAutoHyphens/>
        <w:spacing w:before="120"/>
        <w:rPr>
          <w:rFonts w:ascii="Arial" w:hAnsi="Arial" w:cs="Arial"/>
          <w:b/>
          <w:bCs/>
          <w:sz w:val="22"/>
          <w:szCs w:val="22"/>
          <w:lang w:eastAsia="zh-CN"/>
        </w:rPr>
      </w:pPr>
      <w:r w:rsidRPr="0030358C">
        <w:rPr>
          <w:rFonts w:ascii="Arial" w:hAnsi="Arial" w:cs="Arial"/>
          <w:b/>
          <w:bCs/>
          <w:sz w:val="22"/>
          <w:szCs w:val="22"/>
          <w:lang w:eastAsia="zh-CN"/>
        </w:rPr>
        <w:t>Ochrana proti větru u úkonů nakládky a vykládky na volném prostranství, užití vhodných opatření např: kaskádových hadic, skluzů a pásových dopravníků pří operaci nakládání, překládání a vykládání)</w:t>
      </w:r>
    </w:p>
    <w:p w14:paraId="2CB628F3" w14:textId="77777777" w:rsidR="008F52C8" w:rsidRPr="0030358C" w:rsidRDefault="00000000" w:rsidP="00FE2A95">
      <w:pPr>
        <w:numPr>
          <w:ilvl w:val="0"/>
          <w:numId w:val="211"/>
        </w:numPr>
        <w:suppressAutoHyphens/>
        <w:spacing w:before="120"/>
        <w:rPr>
          <w:rFonts w:ascii="Arial" w:hAnsi="Arial" w:cs="Arial"/>
          <w:b/>
          <w:bCs/>
          <w:sz w:val="22"/>
          <w:szCs w:val="22"/>
          <w:lang w:eastAsia="zh-CN"/>
        </w:rPr>
      </w:pPr>
      <w:r w:rsidRPr="0030358C">
        <w:rPr>
          <w:rFonts w:ascii="Arial" w:hAnsi="Arial" w:cs="Arial"/>
          <w:b/>
          <w:bCs/>
          <w:sz w:val="22"/>
          <w:szCs w:val="22"/>
          <w:lang w:eastAsia="zh-CN"/>
        </w:rPr>
        <w:lastRenderedPageBreak/>
        <w:t>Zavést postupy čištění po zpevněném výjezdu z provozovny.</w:t>
      </w:r>
    </w:p>
    <w:p w14:paraId="634DB722" w14:textId="77777777" w:rsidR="008F52C8" w:rsidRPr="0030358C" w:rsidRDefault="00000000" w:rsidP="00FE2A95">
      <w:pPr>
        <w:numPr>
          <w:ilvl w:val="0"/>
          <w:numId w:val="211"/>
        </w:numPr>
        <w:suppressAutoHyphens/>
        <w:spacing w:before="120"/>
        <w:rPr>
          <w:rFonts w:ascii="Arial" w:hAnsi="Arial" w:cs="Arial"/>
          <w:b/>
          <w:bCs/>
          <w:sz w:val="22"/>
          <w:szCs w:val="22"/>
          <w:lang w:eastAsia="zh-CN"/>
        </w:rPr>
      </w:pPr>
      <w:r w:rsidRPr="0030358C">
        <w:rPr>
          <w:rFonts w:ascii="Arial" w:hAnsi="Arial" w:cs="Arial"/>
          <w:b/>
          <w:bCs/>
          <w:sz w:val="22"/>
          <w:szCs w:val="22"/>
          <w:lang w:eastAsia="zh-CN"/>
        </w:rPr>
        <w:t>Aplikace protiprachových bariér u výsypných míst, případně odsávacím zařízením</w:t>
      </w:r>
    </w:p>
    <w:p w14:paraId="377790C8" w14:textId="77777777" w:rsidR="008F52C8" w:rsidRPr="0030358C" w:rsidRDefault="00000000" w:rsidP="00FE2A95">
      <w:pPr>
        <w:numPr>
          <w:ilvl w:val="0"/>
          <w:numId w:val="211"/>
        </w:numPr>
        <w:suppressAutoHyphens/>
        <w:spacing w:before="120"/>
        <w:rPr>
          <w:rFonts w:ascii="Arial" w:hAnsi="Arial" w:cs="Arial"/>
          <w:b/>
          <w:bCs/>
          <w:sz w:val="22"/>
          <w:szCs w:val="22"/>
          <w:lang w:eastAsia="zh-CN"/>
        </w:rPr>
      </w:pPr>
      <w:r w:rsidRPr="0030358C">
        <w:rPr>
          <w:rFonts w:ascii="Arial" w:hAnsi="Arial" w:cs="Arial"/>
          <w:b/>
          <w:bCs/>
          <w:sz w:val="22"/>
          <w:szCs w:val="22"/>
          <w:lang w:eastAsia="zh-CN"/>
        </w:rPr>
        <w:t xml:space="preserve">Užití technik „zastřešené hromady“ nebo větrných štítů a </w:t>
      </w:r>
      <w:r w:rsidR="00FE2A95" w:rsidRPr="0030358C">
        <w:rPr>
          <w:rFonts w:ascii="Arial" w:hAnsi="Arial" w:cs="Arial"/>
          <w:b/>
          <w:bCs/>
          <w:sz w:val="22"/>
          <w:szCs w:val="22"/>
          <w:lang w:eastAsia="zh-CN"/>
        </w:rPr>
        <w:t>stěn, postřikování</w:t>
      </w:r>
      <w:r w:rsidRPr="0030358C">
        <w:rPr>
          <w:rFonts w:ascii="Arial" w:hAnsi="Arial" w:cs="Arial"/>
          <w:b/>
          <w:bCs/>
          <w:sz w:val="22"/>
          <w:szCs w:val="22"/>
          <w:lang w:eastAsia="zh-CN"/>
        </w:rPr>
        <w:t xml:space="preserve"> vodou s přísadami nebo bez přísad, solidifikace kalů.</w:t>
      </w:r>
    </w:p>
    <w:p w14:paraId="00FA250C" w14:textId="77777777" w:rsidR="00760B1A" w:rsidRPr="0030358C" w:rsidRDefault="00760B1A" w:rsidP="008F52C8">
      <w:pPr>
        <w:spacing w:before="120"/>
        <w:rPr>
          <w:rFonts w:ascii="Arial" w:hAnsi="Arial" w:cs="Arial"/>
          <w:b/>
          <w:bCs/>
          <w:sz w:val="22"/>
          <w:szCs w:val="22"/>
          <w:lang w:eastAsia="zh-CN"/>
        </w:rPr>
      </w:pPr>
    </w:p>
    <w:p w14:paraId="176BEF6A"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2.2.2. Tepelná úprava uhlí (briketárny, nízkoteplotní karbonizace nebo sušení) (kód 3.4. přílohy č. 2 k zákonu)</w:t>
      </w:r>
    </w:p>
    <w:p w14:paraId="22CC75E0" w14:textId="77777777" w:rsidR="008F52C8" w:rsidRPr="0030358C" w:rsidRDefault="008F52C8" w:rsidP="008F52C8">
      <w:pPr>
        <w:rPr>
          <w:rFonts w:ascii="Arial" w:hAnsi="Arial" w:cs="Arial"/>
          <w:b/>
          <w:bCs/>
          <w:sz w:val="22"/>
          <w:szCs w:val="22"/>
          <w:lang w:eastAsia="zh-CN"/>
        </w:rPr>
      </w:pPr>
    </w:p>
    <w:tbl>
      <w:tblPr>
        <w:tblW w:w="0" w:type="auto"/>
        <w:tblInd w:w="-15" w:type="dxa"/>
        <w:tblLayout w:type="fixed"/>
        <w:tblLook w:val="0000" w:firstRow="0" w:lastRow="0" w:firstColumn="0" w:lastColumn="0" w:noHBand="0" w:noVBand="0"/>
      </w:tblPr>
      <w:tblGrid>
        <w:gridCol w:w="3595"/>
        <w:gridCol w:w="3594"/>
        <w:gridCol w:w="2411"/>
      </w:tblGrid>
      <w:tr w:rsidR="00E40657" w14:paraId="6462899D" w14:textId="77777777" w:rsidTr="00732453">
        <w:trPr>
          <w:cantSplit/>
          <w:trHeight w:hRule="exact" w:val="340"/>
        </w:trPr>
        <w:tc>
          <w:tcPr>
            <w:tcW w:w="7189" w:type="dxa"/>
            <w:gridSpan w:val="2"/>
            <w:tcBorders>
              <w:top w:val="single" w:sz="4" w:space="0" w:color="000000"/>
              <w:left w:val="single" w:sz="4" w:space="0" w:color="000000"/>
              <w:bottom w:val="single" w:sz="4" w:space="0" w:color="000000"/>
            </w:tcBorders>
            <w:shd w:val="clear" w:color="auto" w:fill="auto"/>
            <w:vAlign w:val="center"/>
          </w:tcPr>
          <w:p w14:paraId="18D2D27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4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E1681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03A1CAA" w14:textId="77777777" w:rsidTr="00732453">
        <w:trPr>
          <w:cantSplit/>
          <w:trHeight w:hRule="exact" w:val="373"/>
        </w:trPr>
        <w:tc>
          <w:tcPr>
            <w:tcW w:w="3595" w:type="dxa"/>
            <w:tcBorders>
              <w:left w:val="single" w:sz="4" w:space="0" w:color="000000"/>
              <w:bottom w:val="single" w:sz="4" w:space="0" w:color="000000"/>
            </w:tcBorders>
            <w:shd w:val="clear" w:color="auto" w:fill="auto"/>
            <w:vAlign w:val="center"/>
          </w:tcPr>
          <w:p w14:paraId="3346331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3594" w:type="dxa"/>
            <w:tcBorders>
              <w:left w:val="single" w:sz="4" w:space="0" w:color="000000"/>
              <w:bottom w:val="single" w:sz="4" w:space="0" w:color="000000"/>
            </w:tcBorders>
            <w:shd w:val="clear" w:color="auto" w:fill="auto"/>
            <w:vAlign w:val="center"/>
          </w:tcPr>
          <w:p w14:paraId="2721BD4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24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677681" w14:textId="77777777" w:rsidR="008F52C8" w:rsidRPr="0030358C" w:rsidRDefault="008F52C8" w:rsidP="00732453">
            <w:pPr>
              <w:snapToGrid w:val="0"/>
              <w:rPr>
                <w:rFonts w:ascii="Arial" w:hAnsi="Arial" w:cs="Arial"/>
                <w:b/>
                <w:bCs/>
                <w:sz w:val="22"/>
                <w:szCs w:val="22"/>
                <w:lang w:eastAsia="zh-CN"/>
              </w:rPr>
            </w:pPr>
          </w:p>
        </w:tc>
      </w:tr>
      <w:tr w:rsidR="00E40657" w14:paraId="446866A6" w14:textId="77777777" w:rsidTr="00732453">
        <w:trPr>
          <w:cantSplit/>
          <w:trHeight w:hRule="exact" w:val="655"/>
        </w:trPr>
        <w:tc>
          <w:tcPr>
            <w:tcW w:w="3595" w:type="dxa"/>
            <w:tcBorders>
              <w:left w:val="single" w:sz="4" w:space="0" w:color="000000"/>
              <w:bottom w:val="single" w:sz="4" w:space="0" w:color="000000"/>
            </w:tcBorders>
            <w:shd w:val="clear" w:color="auto" w:fill="auto"/>
            <w:vAlign w:val="center"/>
          </w:tcPr>
          <w:p w14:paraId="706A6B83"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p>
        </w:tc>
        <w:tc>
          <w:tcPr>
            <w:tcW w:w="3594" w:type="dxa"/>
            <w:tcBorders>
              <w:left w:val="single" w:sz="4" w:space="0" w:color="000000"/>
              <w:bottom w:val="single" w:sz="4" w:space="0" w:color="000000"/>
            </w:tcBorders>
            <w:shd w:val="clear" w:color="auto" w:fill="auto"/>
            <w:vAlign w:val="center"/>
          </w:tcPr>
          <w:p w14:paraId="3DAB84E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2411" w:type="dxa"/>
            <w:tcBorders>
              <w:left w:val="single" w:sz="4" w:space="0" w:color="000000"/>
              <w:bottom w:val="single" w:sz="4" w:space="0" w:color="000000"/>
              <w:right w:val="single" w:sz="4" w:space="0" w:color="000000"/>
            </w:tcBorders>
            <w:shd w:val="clear" w:color="auto" w:fill="auto"/>
            <w:vAlign w:val="center"/>
          </w:tcPr>
          <w:p w14:paraId="7816D674"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 xml:space="preserve">               </w:t>
            </w:r>
          </w:p>
          <w:p w14:paraId="1F2E0AFE"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B</w:t>
            </w:r>
          </w:p>
        </w:tc>
      </w:tr>
    </w:tbl>
    <w:p w14:paraId="7436C6DE" w14:textId="77777777" w:rsidR="008F52C8" w:rsidRPr="0030358C" w:rsidRDefault="008F52C8" w:rsidP="008F52C8">
      <w:pPr>
        <w:spacing w:before="60"/>
        <w:rPr>
          <w:rFonts w:ascii="Arial" w:hAnsi="Arial" w:cs="Arial"/>
          <w:b/>
          <w:bCs/>
          <w:sz w:val="22"/>
          <w:szCs w:val="22"/>
          <w:u w:val="single"/>
          <w:lang w:eastAsia="zh-CN"/>
        </w:rPr>
      </w:pPr>
    </w:p>
    <w:p w14:paraId="7478274F"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4088FADC"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 xml:space="preserve">U otevřeného skladování vstupních a výstupních surovin musí být provedena aplikace některých z níže uvedených postupů s přihlédnutím ke kvalitě ovzduší v lokalitě, umístění lokality, povětrnostním podmínkám, teplotě vzduchu, vlhkosti vzduchu, </w:t>
      </w:r>
      <w:r w:rsidR="00DB799A" w:rsidRPr="0030358C">
        <w:rPr>
          <w:rFonts w:ascii="Arial" w:hAnsi="Arial" w:cs="Arial"/>
          <w:b/>
          <w:bCs/>
          <w:sz w:val="22"/>
          <w:szCs w:val="22"/>
          <w:lang w:eastAsia="zh-CN"/>
        </w:rPr>
        <w:t xml:space="preserve">charakteru </w:t>
      </w:r>
      <w:r w:rsidRPr="0030358C">
        <w:rPr>
          <w:rFonts w:ascii="Arial" w:hAnsi="Arial" w:cs="Arial"/>
          <w:b/>
          <w:bCs/>
          <w:sz w:val="22"/>
          <w:szCs w:val="22"/>
          <w:lang w:eastAsia="zh-CN"/>
        </w:rPr>
        <w:t>manipulačních činností, velikosti frakcí (zrnitosti).</w:t>
      </w:r>
    </w:p>
    <w:p w14:paraId="620C98D2"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Musí být zajištěna ochrana proti větru u úkonů nakládky a vykládky na volném prostranství, užití vhodných opatření např: kaskádových hadic, skluzů a pásových dopravníků pří operaci nakládání, překládání a vykládání).</w:t>
      </w:r>
      <w:r w:rsidRPr="0030358C">
        <w:rPr>
          <w:rFonts w:ascii="Arial" w:hAnsi="Arial" w:cs="Arial"/>
          <w:b/>
          <w:bCs/>
          <w:sz w:val="22"/>
          <w:szCs w:val="22"/>
          <w:lang w:eastAsia="zh-CN"/>
        </w:rPr>
        <w:tab/>
      </w:r>
    </w:p>
    <w:p w14:paraId="184F9465"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Musí být zavedeny postupy čištění po zpevněném výjezdu z provozovny.</w:t>
      </w:r>
    </w:p>
    <w:p w14:paraId="3FFCB3F1"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 xml:space="preserve">Aplikace protiprachových bariér u výsypných míst, případně odsávacím zařízením </w:t>
      </w:r>
    </w:p>
    <w:p w14:paraId="5C9008CE"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Musí být použity techniky „zastřešené hromady“ nebo větrných štítů a stěn, postřikování vodou s přísadami nebo bez přísad, solidifikace kalů. </w:t>
      </w:r>
    </w:p>
    <w:p w14:paraId="1CAEA207" w14:textId="77777777" w:rsidR="008F52C8" w:rsidRPr="0030358C" w:rsidRDefault="008F52C8" w:rsidP="008F52C8">
      <w:pPr>
        <w:spacing w:before="60"/>
        <w:rPr>
          <w:rFonts w:ascii="Arial" w:hAnsi="Arial" w:cs="Arial"/>
          <w:b/>
          <w:bCs/>
          <w:sz w:val="22"/>
          <w:szCs w:val="22"/>
          <w:u w:val="single"/>
          <w:lang w:eastAsia="zh-CN"/>
        </w:rPr>
      </w:pPr>
    </w:p>
    <w:p w14:paraId="728A9C30"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2.3. Výroba koksu</w:t>
      </w:r>
    </w:p>
    <w:p w14:paraId="4A96DFBD" w14:textId="77777777" w:rsidR="008F52C8" w:rsidRPr="0030358C" w:rsidRDefault="008F52C8" w:rsidP="008F52C8">
      <w:pPr>
        <w:autoSpaceDE w:val="0"/>
        <w:ind w:left="-23"/>
        <w:jc w:val="both"/>
        <w:rPr>
          <w:rFonts w:ascii="Arial" w:hAnsi="Arial" w:cs="Arial"/>
          <w:b/>
          <w:bCs/>
          <w:i/>
          <w:sz w:val="22"/>
          <w:szCs w:val="22"/>
          <w:lang w:eastAsia="cs-CZ"/>
        </w:rPr>
      </w:pPr>
    </w:p>
    <w:p w14:paraId="19122AB5"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2.3.1. – 2.3.3. (kódy 3.5.1</w:t>
      </w:r>
      <w:r w:rsidR="0076411E" w:rsidRPr="0030358C">
        <w:rPr>
          <w:rFonts w:ascii="Arial" w:hAnsi="Arial" w:cs="Arial"/>
          <w:b/>
          <w:bCs/>
          <w:sz w:val="22"/>
          <w:szCs w:val="22"/>
          <w:lang w:eastAsia="zh-CN"/>
        </w:rPr>
        <w:t>.</w:t>
      </w:r>
      <w:r w:rsidRPr="0030358C">
        <w:rPr>
          <w:rFonts w:ascii="Arial" w:hAnsi="Arial" w:cs="Arial"/>
          <w:b/>
          <w:bCs/>
          <w:sz w:val="22"/>
          <w:szCs w:val="22"/>
          <w:lang w:eastAsia="zh-CN"/>
        </w:rPr>
        <w:t>, 3.5.2</w:t>
      </w:r>
      <w:r w:rsidR="0076411E" w:rsidRPr="0030358C">
        <w:rPr>
          <w:rFonts w:ascii="Arial" w:hAnsi="Arial" w:cs="Arial"/>
          <w:b/>
          <w:bCs/>
          <w:sz w:val="22"/>
          <w:szCs w:val="22"/>
          <w:lang w:eastAsia="zh-CN"/>
        </w:rPr>
        <w:t>.</w:t>
      </w:r>
      <w:r w:rsidRPr="0030358C">
        <w:rPr>
          <w:rFonts w:ascii="Arial" w:hAnsi="Arial" w:cs="Arial"/>
          <w:b/>
          <w:bCs/>
          <w:sz w:val="22"/>
          <w:szCs w:val="22"/>
          <w:lang w:eastAsia="zh-CN"/>
        </w:rPr>
        <w:t>, 3.5.4. přílohy č. 2 k zákonu)</w:t>
      </w:r>
    </w:p>
    <w:p w14:paraId="68FD1B72" w14:textId="77777777" w:rsidR="008F52C8" w:rsidRPr="0030358C" w:rsidRDefault="008F52C8" w:rsidP="008F52C8">
      <w:pPr>
        <w:rPr>
          <w:rFonts w:ascii="Arial" w:hAnsi="Arial" w:cs="Arial"/>
          <w:b/>
          <w:bCs/>
          <w:sz w:val="22"/>
          <w:szCs w:val="22"/>
          <w:lang w:eastAsia="zh-CN"/>
        </w:rPr>
      </w:pPr>
    </w:p>
    <w:tbl>
      <w:tblPr>
        <w:tblW w:w="9600" w:type="dxa"/>
        <w:tblInd w:w="-15" w:type="dxa"/>
        <w:tblLayout w:type="fixed"/>
        <w:tblLook w:val="0000" w:firstRow="0" w:lastRow="0" w:firstColumn="0" w:lastColumn="0" w:noHBand="0" w:noVBand="0"/>
      </w:tblPr>
      <w:tblGrid>
        <w:gridCol w:w="1608"/>
        <w:gridCol w:w="1292"/>
        <w:gridCol w:w="1449"/>
        <w:gridCol w:w="1619"/>
        <w:gridCol w:w="1399"/>
        <w:gridCol w:w="2233"/>
      </w:tblGrid>
      <w:tr w:rsidR="00E40657" w14:paraId="4D81A202" w14:textId="77777777" w:rsidTr="00732453">
        <w:trPr>
          <w:cantSplit/>
          <w:trHeight w:hRule="exact" w:val="340"/>
        </w:trPr>
        <w:tc>
          <w:tcPr>
            <w:tcW w:w="5968" w:type="dxa"/>
            <w:gridSpan w:val="4"/>
            <w:tcBorders>
              <w:top w:val="single" w:sz="4" w:space="0" w:color="000000"/>
              <w:left w:val="single" w:sz="4" w:space="0" w:color="000000"/>
              <w:bottom w:val="single" w:sz="4" w:space="0" w:color="000000"/>
            </w:tcBorders>
            <w:shd w:val="clear" w:color="auto" w:fill="auto"/>
            <w:vAlign w:val="center"/>
          </w:tcPr>
          <w:p w14:paraId="5112DF5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399" w:type="dxa"/>
            <w:vMerge w:val="restart"/>
            <w:tcBorders>
              <w:top w:val="single" w:sz="4" w:space="0" w:color="000000"/>
              <w:left w:val="single" w:sz="4" w:space="0" w:color="000000"/>
              <w:bottom w:val="single" w:sz="4" w:space="0" w:color="000000"/>
            </w:tcBorders>
            <w:shd w:val="clear" w:color="auto" w:fill="auto"/>
            <w:vAlign w:val="center"/>
          </w:tcPr>
          <w:p w14:paraId="5C101C1F"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2R</w:t>
            </w:r>
          </w:p>
          <w:p w14:paraId="7113BE94" w14:textId="77777777" w:rsidR="008F52C8" w:rsidRPr="0030358C" w:rsidRDefault="00000000" w:rsidP="00732453">
            <w:pPr>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2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83347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3E544DA" w14:textId="77777777" w:rsidTr="00732453">
        <w:trPr>
          <w:cantSplit/>
          <w:trHeight w:hRule="exact" w:val="720"/>
        </w:trPr>
        <w:tc>
          <w:tcPr>
            <w:tcW w:w="1608" w:type="dxa"/>
            <w:tcBorders>
              <w:left w:val="single" w:sz="4" w:space="0" w:color="000000"/>
              <w:bottom w:val="single" w:sz="4" w:space="0" w:color="000000"/>
            </w:tcBorders>
            <w:shd w:val="clear" w:color="auto" w:fill="auto"/>
            <w:vAlign w:val="center"/>
          </w:tcPr>
          <w:p w14:paraId="0131179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292" w:type="dxa"/>
            <w:tcBorders>
              <w:left w:val="single" w:sz="4" w:space="0" w:color="000000"/>
              <w:bottom w:val="single" w:sz="4" w:space="0" w:color="000000"/>
            </w:tcBorders>
            <w:shd w:val="clear" w:color="auto" w:fill="auto"/>
            <w:vAlign w:val="center"/>
          </w:tcPr>
          <w:p w14:paraId="536204A5"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449" w:type="dxa"/>
            <w:tcBorders>
              <w:left w:val="single" w:sz="4" w:space="0" w:color="000000"/>
              <w:bottom w:val="single" w:sz="4" w:space="0" w:color="000000"/>
            </w:tcBorders>
            <w:shd w:val="clear" w:color="auto" w:fill="auto"/>
            <w:vAlign w:val="center"/>
          </w:tcPr>
          <w:p w14:paraId="72590827"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619" w:type="dxa"/>
            <w:tcBorders>
              <w:left w:val="single" w:sz="4" w:space="0" w:color="000000"/>
              <w:bottom w:val="single" w:sz="4" w:space="0" w:color="000000"/>
            </w:tcBorders>
            <w:shd w:val="clear" w:color="auto" w:fill="auto"/>
            <w:vAlign w:val="center"/>
          </w:tcPr>
          <w:p w14:paraId="5C9AC025"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PAH</w:t>
            </w:r>
            <w:r w:rsidRPr="0030358C">
              <w:rPr>
                <w:rFonts w:ascii="Arial" w:hAnsi="Arial" w:cs="Arial"/>
                <w:b/>
                <w:bCs/>
                <w:sz w:val="22"/>
                <w:szCs w:val="22"/>
                <w:vertAlign w:val="superscript"/>
                <w:lang w:eastAsia="zh-CN"/>
              </w:rPr>
              <w:t>1)</w:t>
            </w:r>
          </w:p>
        </w:tc>
        <w:tc>
          <w:tcPr>
            <w:tcW w:w="1399" w:type="dxa"/>
            <w:vMerge/>
            <w:tcBorders>
              <w:top w:val="single" w:sz="4" w:space="0" w:color="000000"/>
              <w:left w:val="single" w:sz="4" w:space="0" w:color="000000"/>
              <w:bottom w:val="single" w:sz="4" w:space="0" w:color="000000"/>
            </w:tcBorders>
            <w:shd w:val="clear" w:color="auto" w:fill="auto"/>
            <w:vAlign w:val="center"/>
          </w:tcPr>
          <w:p w14:paraId="37CA2E93" w14:textId="77777777" w:rsidR="008F52C8" w:rsidRPr="0030358C" w:rsidRDefault="008F52C8" w:rsidP="00732453">
            <w:pPr>
              <w:snapToGrid w:val="0"/>
              <w:rPr>
                <w:rFonts w:ascii="Arial" w:hAnsi="Arial" w:cs="Arial"/>
                <w:b/>
                <w:bCs/>
                <w:sz w:val="22"/>
                <w:szCs w:val="22"/>
                <w:lang w:eastAsia="zh-CN"/>
              </w:rPr>
            </w:pPr>
          </w:p>
        </w:tc>
        <w:tc>
          <w:tcPr>
            <w:tcW w:w="22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97CCA" w14:textId="77777777" w:rsidR="008F52C8" w:rsidRPr="0030358C" w:rsidRDefault="008F52C8" w:rsidP="00732453">
            <w:pPr>
              <w:snapToGrid w:val="0"/>
              <w:rPr>
                <w:rFonts w:ascii="Arial" w:hAnsi="Arial" w:cs="Arial"/>
                <w:b/>
                <w:bCs/>
                <w:sz w:val="22"/>
                <w:szCs w:val="22"/>
                <w:lang w:eastAsia="zh-CN"/>
              </w:rPr>
            </w:pPr>
          </w:p>
        </w:tc>
      </w:tr>
      <w:tr w:rsidR="00E40657" w14:paraId="4445083C" w14:textId="77777777" w:rsidTr="00732453">
        <w:trPr>
          <w:cantSplit/>
          <w:trHeight w:hRule="exact" w:val="340"/>
        </w:trPr>
        <w:tc>
          <w:tcPr>
            <w:tcW w:w="9600" w:type="dxa"/>
            <w:gridSpan w:val="6"/>
            <w:tcBorders>
              <w:left w:val="single" w:sz="4" w:space="0" w:color="000000"/>
              <w:bottom w:val="single" w:sz="4" w:space="0" w:color="000000"/>
              <w:right w:val="single" w:sz="4" w:space="0" w:color="000000"/>
            </w:tcBorders>
            <w:shd w:val="clear" w:color="auto" w:fill="auto"/>
            <w:vAlign w:val="center"/>
          </w:tcPr>
          <w:p w14:paraId="0D8F0F27"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2.3.1. Otop koksárenských baterií (kód 3.5.1. přílohy č. 2 k zákonu)</w:t>
            </w:r>
          </w:p>
        </w:tc>
      </w:tr>
      <w:tr w:rsidR="00E40657" w14:paraId="0584721A" w14:textId="77777777" w:rsidTr="00732453">
        <w:trPr>
          <w:cantSplit/>
          <w:trHeight w:hRule="exact" w:val="346"/>
        </w:trPr>
        <w:tc>
          <w:tcPr>
            <w:tcW w:w="1608" w:type="dxa"/>
            <w:tcBorders>
              <w:left w:val="single" w:sz="4" w:space="0" w:color="000000"/>
              <w:bottom w:val="single" w:sz="4" w:space="0" w:color="000000"/>
            </w:tcBorders>
            <w:shd w:val="clear" w:color="auto" w:fill="auto"/>
            <w:vAlign w:val="center"/>
          </w:tcPr>
          <w:p w14:paraId="2759C11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292" w:type="dxa"/>
            <w:tcBorders>
              <w:left w:val="single" w:sz="4" w:space="0" w:color="000000"/>
              <w:bottom w:val="single" w:sz="4" w:space="0" w:color="000000"/>
            </w:tcBorders>
            <w:shd w:val="clear" w:color="auto" w:fill="auto"/>
            <w:vAlign w:val="center"/>
          </w:tcPr>
          <w:p w14:paraId="39503F6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500</w:t>
            </w:r>
          </w:p>
        </w:tc>
        <w:tc>
          <w:tcPr>
            <w:tcW w:w="1449" w:type="dxa"/>
            <w:tcBorders>
              <w:left w:val="single" w:sz="4" w:space="0" w:color="000000"/>
              <w:bottom w:val="single" w:sz="4" w:space="0" w:color="000000"/>
            </w:tcBorders>
            <w:shd w:val="clear" w:color="auto" w:fill="auto"/>
            <w:vAlign w:val="center"/>
          </w:tcPr>
          <w:p w14:paraId="569E36C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500</w:t>
            </w:r>
          </w:p>
        </w:tc>
        <w:tc>
          <w:tcPr>
            <w:tcW w:w="1619" w:type="dxa"/>
            <w:tcBorders>
              <w:left w:val="single" w:sz="4" w:space="0" w:color="000000"/>
              <w:bottom w:val="single" w:sz="4" w:space="0" w:color="000000"/>
            </w:tcBorders>
            <w:shd w:val="clear" w:color="auto" w:fill="auto"/>
            <w:vAlign w:val="center"/>
          </w:tcPr>
          <w:p w14:paraId="0EA845A4" w14:textId="77777777" w:rsidR="008F52C8" w:rsidRPr="0030358C" w:rsidRDefault="008F52C8" w:rsidP="00732453">
            <w:pPr>
              <w:snapToGrid w:val="0"/>
              <w:jc w:val="center"/>
              <w:rPr>
                <w:rFonts w:ascii="Arial" w:hAnsi="Arial" w:cs="Arial"/>
                <w:b/>
                <w:bCs/>
                <w:sz w:val="22"/>
                <w:szCs w:val="22"/>
                <w:lang w:eastAsia="zh-CN"/>
              </w:rPr>
            </w:pPr>
          </w:p>
        </w:tc>
        <w:tc>
          <w:tcPr>
            <w:tcW w:w="1399" w:type="dxa"/>
            <w:tcBorders>
              <w:left w:val="single" w:sz="4" w:space="0" w:color="000000"/>
              <w:bottom w:val="single" w:sz="4" w:space="0" w:color="000000"/>
            </w:tcBorders>
            <w:shd w:val="clear" w:color="auto" w:fill="auto"/>
            <w:vAlign w:val="center"/>
          </w:tcPr>
          <w:p w14:paraId="688453C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w:t>
            </w:r>
          </w:p>
        </w:tc>
        <w:tc>
          <w:tcPr>
            <w:tcW w:w="2233" w:type="dxa"/>
            <w:tcBorders>
              <w:left w:val="single" w:sz="4" w:space="0" w:color="000000"/>
              <w:bottom w:val="single" w:sz="4" w:space="0" w:color="000000"/>
              <w:right w:val="single" w:sz="4" w:space="0" w:color="000000"/>
            </w:tcBorders>
            <w:shd w:val="clear" w:color="auto" w:fill="auto"/>
            <w:vAlign w:val="center"/>
          </w:tcPr>
          <w:p w14:paraId="378F0A2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12BDE019" w14:textId="77777777" w:rsidTr="00732453">
        <w:trPr>
          <w:cantSplit/>
          <w:trHeight w:hRule="exact" w:val="346"/>
        </w:trPr>
        <w:tc>
          <w:tcPr>
            <w:tcW w:w="9600" w:type="dxa"/>
            <w:gridSpan w:val="6"/>
            <w:tcBorders>
              <w:left w:val="single" w:sz="4" w:space="0" w:color="000000"/>
              <w:bottom w:val="single" w:sz="4" w:space="0" w:color="000000"/>
              <w:right w:val="single" w:sz="4" w:space="0" w:color="000000"/>
            </w:tcBorders>
            <w:shd w:val="clear" w:color="auto" w:fill="auto"/>
            <w:vAlign w:val="center"/>
          </w:tcPr>
          <w:p w14:paraId="451A0851"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2.3.2. Příprava uhelné vsázky (kód 3.5.2. přílohy č. 2 k zákonu)</w:t>
            </w:r>
          </w:p>
        </w:tc>
      </w:tr>
      <w:tr w:rsidR="00E40657" w14:paraId="480A5C4A" w14:textId="77777777" w:rsidTr="00732453">
        <w:trPr>
          <w:cantSplit/>
          <w:trHeight w:hRule="exact" w:val="370"/>
        </w:trPr>
        <w:tc>
          <w:tcPr>
            <w:tcW w:w="1608" w:type="dxa"/>
            <w:tcBorders>
              <w:left w:val="single" w:sz="4" w:space="0" w:color="000000"/>
              <w:bottom w:val="single" w:sz="4" w:space="0" w:color="000000"/>
            </w:tcBorders>
            <w:shd w:val="clear" w:color="auto" w:fill="auto"/>
            <w:vAlign w:val="center"/>
          </w:tcPr>
          <w:p w14:paraId="194ADC4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292" w:type="dxa"/>
            <w:tcBorders>
              <w:left w:val="single" w:sz="4" w:space="0" w:color="000000"/>
              <w:bottom w:val="single" w:sz="4" w:space="0" w:color="000000"/>
            </w:tcBorders>
            <w:shd w:val="clear" w:color="auto" w:fill="auto"/>
            <w:vAlign w:val="center"/>
          </w:tcPr>
          <w:p w14:paraId="67F238C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449" w:type="dxa"/>
            <w:tcBorders>
              <w:left w:val="single" w:sz="4" w:space="0" w:color="000000"/>
              <w:bottom w:val="single" w:sz="4" w:space="0" w:color="000000"/>
            </w:tcBorders>
            <w:shd w:val="clear" w:color="auto" w:fill="auto"/>
            <w:vAlign w:val="center"/>
          </w:tcPr>
          <w:p w14:paraId="527A37F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619" w:type="dxa"/>
            <w:tcBorders>
              <w:left w:val="single" w:sz="4" w:space="0" w:color="000000"/>
              <w:bottom w:val="single" w:sz="4" w:space="0" w:color="000000"/>
            </w:tcBorders>
            <w:shd w:val="clear" w:color="auto" w:fill="auto"/>
            <w:vAlign w:val="center"/>
          </w:tcPr>
          <w:p w14:paraId="35C0CAC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399" w:type="dxa"/>
            <w:tcBorders>
              <w:left w:val="single" w:sz="4" w:space="0" w:color="000000"/>
              <w:bottom w:val="single" w:sz="4" w:space="0" w:color="000000"/>
            </w:tcBorders>
            <w:shd w:val="clear" w:color="auto" w:fill="auto"/>
            <w:vAlign w:val="center"/>
          </w:tcPr>
          <w:p w14:paraId="402F1C6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233" w:type="dxa"/>
            <w:tcBorders>
              <w:left w:val="single" w:sz="4" w:space="0" w:color="000000"/>
              <w:bottom w:val="single" w:sz="4" w:space="0" w:color="000000"/>
              <w:right w:val="single" w:sz="4" w:space="0" w:color="000000"/>
            </w:tcBorders>
            <w:shd w:val="clear" w:color="auto" w:fill="auto"/>
            <w:vAlign w:val="center"/>
          </w:tcPr>
          <w:p w14:paraId="6A61E13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5BA58A13" w14:textId="77777777" w:rsidTr="00732453">
        <w:trPr>
          <w:cantSplit/>
          <w:trHeight w:hRule="exact" w:val="370"/>
        </w:trPr>
        <w:tc>
          <w:tcPr>
            <w:tcW w:w="9600" w:type="dxa"/>
            <w:gridSpan w:val="6"/>
            <w:tcBorders>
              <w:left w:val="single" w:sz="4" w:space="0" w:color="000000"/>
              <w:bottom w:val="single" w:sz="4" w:space="0" w:color="000000"/>
              <w:right w:val="single" w:sz="4" w:space="0" w:color="000000"/>
            </w:tcBorders>
            <w:shd w:val="clear" w:color="auto" w:fill="auto"/>
            <w:vAlign w:val="center"/>
          </w:tcPr>
          <w:p w14:paraId="50836424"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2.3.3 Vytlačování koksu (kód 3.5.4. přílohy č. 2 k zákonu)</w:t>
            </w:r>
          </w:p>
        </w:tc>
      </w:tr>
      <w:tr w:rsidR="00E40657" w14:paraId="7CC2E21F" w14:textId="77777777" w:rsidTr="00732453">
        <w:trPr>
          <w:cantSplit/>
          <w:trHeight w:hRule="exact" w:val="408"/>
        </w:trPr>
        <w:tc>
          <w:tcPr>
            <w:tcW w:w="1608" w:type="dxa"/>
            <w:tcBorders>
              <w:left w:val="single" w:sz="4" w:space="0" w:color="000000"/>
              <w:bottom w:val="single" w:sz="4" w:space="0" w:color="000000"/>
            </w:tcBorders>
            <w:shd w:val="clear" w:color="auto" w:fill="auto"/>
            <w:vAlign w:val="center"/>
          </w:tcPr>
          <w:p w14:paraId="78AEE24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292" w:type="dxa"/>
            <w:tcBorders>
              <w:left w:val="single" w:sz="4" w:space="0" w:color="000000"/>
              <w:bottom w:val="single" w:sz="4" w:space="0" w:color="000000"/>
            </w:tcBorders>
            <w:shd w:val="clear" w:color="auto" w:fill="auto"/>
          </w:tcPr>
          <w:p w14:paraId="682C974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449" w:type="dxa"/>
            <w:tcBorders>
              <w:left w:val="single" w:sz="4" w:space="0" w:color="000000"/>
              <w:bottom w:val="single" w:sz="4" w:space="0" w:color="000000"/>
            </w:tcBorders>
            <w:shd w:val="clear" w:color="auto" w:fill="auto"/>
          </w:tcPr>
          <w:p w14:paraId="11B4BA5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619" w:type="dxa"/>
            <w:tcBorders>
              <w:left w:val="single" w:sz="4" w:space="0" w:color="000000"/>
              <w:bottom w:val="single" w:sz="4" w:space="0" w:color="000000"/>
            </w:tcBorders>
            <w:shd w:val="clear" w:color="auto" w:fill="auto"/>
            <w:vAlign w:val="center"/>
          </w:tcPr>
          <w:p w14:paraId="5D5D67E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0,2</w:t>
            </w:r>
          </w:p>
        </w:tc>
        <w:tc>
          <w:tcPr>
            <w:tcW w:w="1399" w:type="dxa"/>
            <w:tcBorders>
              <w:left w:val="single" w:sz="4" w:space="0" w:color="000000"/>
              <w:bottom w:val="single" w:sz="4" w:space="0" w:color="000000"/>
            </w:tcBorders>
            <w:shd w:val="clear" w:color="auto" w:fill="auto"/>
            <w:vAlign w:val="center"/>
          </w:tcPr>
          <w:p w14:paraId="63671F7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233" w:type="dxa"/>
            <w:tcBorders>
              <w:left w:val="single" w:sz="4" w:space="0" w:color="000000"/>
              <w:bottom w:val="single" w:sz="4" w:space="0" w:color="000000"/>
              <w:right w:val="single" w:sz="4" w:space="0" w:color="000000"/>
            </w:tcBorders>
            <w:shd w:val="clear" w:color="auto" w:fill="auto"/>
            <w:vAlign w:val="center"/>
          </w:tcPr>
          <w:p w14:paraId="06300F2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5B69C8FB" w14:textId="77777777" w:rsidR="00FE2A95" w:rsidRPr="0030358C" w:rsidRDefault="00FE2A95" w:rsidP="008F52C8">
      <w:pPr>
        <w:widowControl w:val="0"/>
        <w:autoSpaceDE w:val="0"/>
        <w:jc w:val="both"/>
        <w:rPr>
          <w:rFonts w:ascii="Arial" w:hAnsi="Arial" w:cs="Arial"/>
          <w:b/>
          <w:bCs/>
          <w:sz w:val="22"/>
          <w:szCs w:val="22"/>
          <w:lang w:eastAsia="zh-CN"/>
        </w:rPr>
      </w:pPr>
    </w:p>
    <w:p w14:paraId="045019A2" w14:textId="77777777" w:rsidR="00FC0F17" w:rsidRPr="0030358C" w:rsidRDefault="00000000" w:rsidP="008F52C8">
      <w:pPr>
        <w:widowControl w:val="0"/>
        <w:autoSpaceDE w:val="0"/>
        <w:jc w:val="both"/>
        <w:rPr>
          <w:rFonts w:ascii="Arial" w:hAnsi="Arial" w:cs="Arial"/>
          <w:b/>
          <w:bCs/>
          <w:iCs/>
          <w:sz w:val="22"/>
          <w:szCs w:val="22"/>
          <w:lang w:eastAsia="zh-CN"/>
        </w:rPr>
      </w:pPr>
      <w:r w:rsidRPr="0030358C">
        <w:rPr>
          <w:rFonts w:ascii="Arial" w:hAnsi="Arial" w:cs="Arial"/>
          <w:b/>
          <w:bCs/>
          <w:sz w:val="22"/>
          <w:szCs w:val="22"/>
          <w:lang w:eastAsia="zh-CN"/>
        </w:rPr>
        <w:t>Vysvětlivka</w:t>
      </w:r>
      <w:r w:rsidRPr="0030358C">
        <w:rPr>
          <w:rFonts w:ascii="Arial" w:hAnsi="Arial" w:cs="Arial"/>
          <w:b/>
          <w:bCs/>
          <w:iCs/>
          <w:sz w:val="22"/>
          <w:szCs w:val="22"/>
          <w:lang w:eastAsia="zh-CN"/>
        </w:rPr>
        <w:t>:</w:t>
      </w:r>
    </w:p>
    <w:p w14:paraId="0FF4042B"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iCs/>
          <w:sz w:val="22"/>
          <w:szCs w:val="22"/>
          <w:lang w:eastAsia="zh-CN"/>
        </w:rPr>
        <w:t xml:space="preserve">1) </w:t>
      </w:r>
      <w:r w:rsidRPr="0030358C">
        <w:rPr>
          <w:rFonts w:ascii="Arial" w:hAnsi="Arial" w:cs="Arial"/>
          <w:b/>
          <w:bCs/>
          <w:sz w:val="22"/>
          <w:szCs w:val="22"/>
          <w:lang w:eastAsia="zh-CN"/>
        </w:rPr>
        <w:t>Benzo(b)fluoranten, benzo(a)pyren, indeno(1,2,3-c,d)pyren, benzo(k)fluoranten.</w:t>
      </w:r>
    </w:p>
    <w:p w14:paraId="1F508E76" w14:textId="77777777" w:rsidR="008F52C8" w:rsidRPr="0030358C" w:rsidRDefault="008F52C8" w:rsidP="008F52C8">
      <w:pPr>
        <w:numPr>
          <w:ilvl w:val="2"/>
          <w:numId w:val="0"/>
        </w:numPr>
        <w:tabs>
          <w:tab w:val="num" w:pos="0"/>
        </w:tabs>
        <w:spacing w:before="120"/>
        <w:ind w:left="720"/>
        <w:jc w:val="both"/>
        <w:outlineLvl w:val="2"/>
        <w:rPr>
          <w:rFonts w:ascii="Arial" w:hAnsi="Arial" w:cs="Arial"/>
          <w:b/>
          <w:bCs/>
          <w:sz w:val="22"/>
          <w:szCs w:val="22"/>
          <w:lang w:eastAsia="zh-CN"/>
        </w:rPr>
      </w:pPr>
    </w:p>
    <w:p w14:paraId="7075F81E" w14:textId="77777777" w:rsidR="008F52C8" w:rsidRPr="0030358C" w:rsidRDefault="00000000" w:rsidP="008F52C8">
      <w:pPr>
        <w:numPr>
          <w:ilvl w:val="2"/>
          <w:numId w:val="0"/>
        </w:numPr>
        <w:tabs>
          <w:tab w:val="num" w:pos="0"/>
        </w:tabs>
        <w:spacing w:before="120"/>
        <w:jc w:val="both"/>
        <w:outlineLvl w:val="2"/>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78BC7A07"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lastRenderedPageBreak/>
        <w:t xml:space="preserve">a) Koksárenský plyn používaný pro otop koksárenských baterií musí být odsířený. </w:t>
      </w:r>
    </w:p>
    <w:p w14:paraId="71A2445E"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t>b) Plnicí plyny při plnění koksovacích komor jsou odváděny do surového koksárenského plynu nebo do jiné koksovací komory. Podmínky průběhu operačního cyklu stanoví provozní řád.</w:t>
      </w:r>
    </w:p>
    <w:p w14:paraId="7925C4A7"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t>c) Zařízení chemických provozů koksoven jsou zabezpečena proti únikům VOC do vnějšího ovzduší. Voda z přímého chlazení plynu nesmí být v přímém styku s ovzduším.</w:t>
      </w:r>
    </w:p>
    <w:p w14:paraId="38F63A46"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t>d) Obsah sulfanu v koksárenském plynu na výstupu z chemických provozů nesmí překročit 500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Obsah sulfanu se zjišťuje trvale provozním měřením.</w:t>
      </w:r>
    </w:p>
    <w:p w14:paraId="59264FCB"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t>e) Vypouštění koksárenského plynu do ovzduší není dovoleno. Podmínky pro jeho případné řízené spalování v souladu s bodem 2 části I této přílohy je třeba stanovit v provozním řádu.</w:t>
      </w:r>
    </w:p>
    <w:p w14:paraId="2DCFF9B6"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t xml:space="preserve">f) Těsnost dveří koksovacích komor musí být trvale zajištěna pravidelným čištěním, seřizováním, opravami a náhradním způsobem tak, aby nebyly zjevné emise posuzované ze vzdálenosti cca 30 m u více než 10 % dveří komor na strojové i koksové straně. </w:t>
      </w:r>
    </w:p>
    <w:p w14:paraId="1EAB823A"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t>g) Při vytlačování koksu z koksovacích komor musí být odpadní plyny jímány a zaváděny do odprašovacího zařízení.</w:t>
      </w:r>
    </w:p>
    <w:p w14:paraId="34AFAD02" w14:textId="77777777" w:rsidR="008F52C8" w:rsidRPr="0030358C" w:rsidRDefault="00000000" w:rsidP="008F52C8">
      <w:pPr>
        <w:numPr>
          <w:ilvl w:val="2"/>
          <w:numId w:val="0"/>
        </w:numPr>
        <w:tabs>
          <w:tab w:val="num" w:pos="0"/>
          <w:tab w:val="left" w:pos="284"/>
        </w:tabs>
        <w:spacing w:before="120"/>
        <w:ind w:left="284" w:hanging="284"/>
        <w:jc w:val="both"/>
        <w:outlineLvl w:val="2"/>
        <w:rPr>
          <w:rFonts w:ascii="Arial" w:hAnsi="Arial" w:cs="Arial"/>
          <w:b/>
          <w:bCs/>
          <w:sz w:val="22"/>
          <w:szCs w:val="22"/>
          <w:lang w:eastAsia="zh-CN"/>
        </w:rPr>
      </w:pPr>
      <w:r w:rsidRPr="0030358C">
        <w:rPr>
          <w:rFonts w:ascii="Arial" w:hAnsi="Arial" w:cs="Arial"/>
          <w:b/>
          <w:bCs/>
          <w:sz w:val="22"/>
          <w:szCs w:val="22"/>
          <w:lang w:eastAsia="zh-CN"/>
        </w:rPr>
        <w:t>h) Při poruše na odsávání surového koksárenského plynu z koksárenských baterií a při nutnosti spalovat jej na flérách musí být zastaveno vytlačování a plnění koksovacích komor.</w:t>
      </w:r>
    </w:p>
    <w:p w14:paraId="528CF992" w14:textId="77777777" w:rsidR="008F52C8" w:rsidRPr="0030358C" w:rsidRDefault="00000000" w:rsidP="008F52C8">
      <w:pPr>
        <w:numPr>
          <w:ilvl w:val="2"/>
          <w:numId w:val="0"/>
        </w:numPr>
        <w:tabs>
          <w:tab w:val="num" w:pos="0"/>
          <w:tab w:val="left" w:pos="284"/>
        </w:tabs>
        <w:spacing w:before="120"/>
        <w:ind w:left="284" w:hanging="284"/>
        <w:outlineLvl w:val="2"/>
        <w:rPr>
          <w:rFonts w:ascii="Arial" w:hAnsi="Arial" w:cs="Arial"/>
          <w:b/>
          <w:bCs/>
          <w:sz w:val="22"/>
          <w:szCs w:val="22"/>
          <w:lang w:eastAsia="zh-CN"/>
        </w:rPr>
      </w:pPr>
      <w:r w:rsidRPr="0030358C">
        <w:rPr>
          <w:rFonts w:ascii="Arial" w:hAnsi="Arial" w:cs="Arial"/>
          <w:b/>
          <w:bCs/>
          <w:sz w:val="22"/>
          <w:szCs w:val="22"/>
          <w:lang w:eastAsia="zh-CN"/>
        </w:rPr>
        <w:t>i)  Emise TZL ze všech zařízení a míst vzniku TZL se musí podle technických možností omezit odsáváním, odprášením, případně hermetizací.</w:t>
      </w:r>
    </w:p>
    <w:p w14:paraId="054F39B3" w14:textId="77777777" w:rsidR="008F52C8" w:rsidRPr="0030358C" w:rsidRDefault="008F52C8" w:rsidP="008F52C8">
      <w:pPr>
        <w:widowControl w:val="0"/>
        <w:tabs>
          <w:tab w:val="left" w:pos="284"/>
        </w:tabs>
        <w:autoSpaceDE w:val="0"/>
        <w:spacing w:before="60" w:line="300" w:lineRule="exact"/>
        <w:jc w:val="both"/>
        <w:rPr>
          <w:rFonts w:ascii="Arial" w:hAnsi="Arial" w:cs="Arial"/>
          <w:b/>
          <w:bCs/>
          <w:sz w:val="22"/>
          <w:szCs w:val="22"/>
          <w:lang w:eastAsia="zh-CN"/>
        </w:rPr>
      </w:pPr>
    </w:p>
    <w:p w14:paraId="4B652B78" w14:textId="77777777" w:rsidR="008F52C8" w:rsidRPr="0030358C" w:rsidRDefault="00000000" w:rsidP="008F52C8">
      <w:pPr>
        <w:widowControl w:val="0"/>
        <w:tabs>
          <w:tab w:val="left" w:pos="284"/>
        </w:tabs>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2.3.4. Třídění koksu (kód 3.5.5. přílohy č. 2 k zákonu)</w:t>
      </w:r>
    </w:p>
    <w:p w14:paraId="03417137" w14:textId="77777777" w:rsidR="008F52C8" w:rsidRPr="0030358C" w:rsidRDefault="008F52C8" w:rsidP="008F52C8">
      <w:pPr>
        <w:widowControl w:val="0"/>
        <w:tabs>
          <w:tab w:val="left" w:pos="284"/>
        </w:tabs>
        <w:autoSpaceDE w:val="0"/>
        <w:spacing w:before="60" w:line="300" w:lineRule="exact"/>
        <w:jc w:val="both"/>
        <w:rPr>
          <w:rFonts w:ascii="Arial" w:hAnsi="Arial" w:cs="Arial"/>
          <w:b/>
          <w:bCs/>
          <w:sz w:val="22"/>
          <w:szCs w:val="22"/>
          <w:lang w:eastAsia="zh-CN"/>
        </w:rPr>
      </w:pPr>
    </w:p>
    <w:tbl>
      <w:tblPr>
        <w:tblW w:w="9600" w:type="dxa"/>
        <w:tblInd w:w="-15" w:type="dxa"/>
        <w:tblLayout w:type="fixed"/>
        <w:tblLook w:val="0000" w:firstRow="0" w:lastRow="0" w:firstColumn="0" w:lastColumn="0" w:noHBand="0" w:noVBand="0"/>
      </w:tblPr>
      <w:tblGrid>
        <w:gridCol w:w="4785"/>
        <w:gridCol w:w="4815"/>
      </w:tblGrid>
      <w:tr w:rsidR="00E40657" w14:paraId="2716D80C"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00A0FD9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815" w:type="dxa"/>
            <w:vMerge w:val="restart"/>
            <w:tcBorders>
              <w:top w:val="single" w:sz="4" w:space="0" w:color="000000"/>
              <w:left w:val="single" w:sz="4" w:space="0" w:color="000000"/>
              <w:right w:val="single" w:sz="4" w:space="0" w:color="000000"/>
            </w:tcBorders>
            <w:shd w:val="clear" w:color="auto" w:fill="auto"/>
            <w:vAlign w:val="center"/>
          </w:tcPr>
          <w:p w14:paraId="3B2C21B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08D3C8F"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326B184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815" w:type="dxa"/>
            <w:vMerge/>
            <w:tcBorders>
              <w:left w:val="single" w:sz="4" w:space="0" w:color="000000"/>
              <w:bottom w:val="single" w:sz="4" w:space="0" w:color="000000"/>
              <w:right w:val="single" w:sz="4" w:space="0" w:color="000000"/>
            </w:tcBorders>
            <w:shd w:val="clear" w:color="auto" w:fill="auto"/>
            <w:vAlign w:val="center"/>
          </w:tcPr>
          <w:p w14:paraId="518F466A" w14:textId="77777777" w:rsidR="008F52C8" w:rsidRPr="0030358C" w:rsidRDefault="008F52C8" w:rsidP="00732453">
            <w:pPr>
              <w:snapToGrid w:val="0"/>
              <w:jc w:val="center"/>
              <w:rPr>
                <w:rFonts w:ascii="Arial" w:hAnsi="Arial" w:cs="Arial"/>
                <w:b/>
                <w:bCs/>
                <w:sz w:val="22"/>
                <w:szCs w:val="22"/>
                <w:lang w:eastAsia="zh-CN"/>
              </w:rPr>
            </w:pPr>
          </w:p>
        </w:tc>
      </w:tr>
      <w:tr w:rsidR="00E40657" w14:paraId="56CFC413" w14:textId="77777777" w:rsidTr="00732453">
        <w:trPr>
          <w:cantSplit/>
          <w:trHeight w:hRule="exact" w:val="340"/>
        </w:trPr>
        <w:tc>
          <w:tcPr>
            <w:tcW w:w="4785" w:type="dxa"/>
            <w:tcBorders>
              <w:left w:val="single" w:sz="4" w:space="0" w:color="000000"/>
              <w:bottom w:val="single" w:sz="4" w:space="0" w:color="000000"/>
            </w:tcBorders>
            <w:shd w:val="clear" w:color="auto" w:fill="auto"/>
            <w:vAlign w:val="center"/>
          </w:tcPr>
          <w:p w14:paraId="4558EA9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w:t>
            </w:r>
          </w:p>
        </w:tc>
        <w:tc>
          <w:tcPr>
            <w:tcW w:w="4815" w:type="dxa"/>
            <w:tcBorders>
              <w:left w:val="single" w:sz="4" w:space="0" w:color="000000"/>
              <w:bottom w:val="single" w:sz="4" w:space="0" w:color="000000"/>
              <w:right w:val="single" w:sz="4" w:space="0" w:color="000000"/>
            </w:tcBorders>
            <w:shd w:val="clear" w:color="auto" w:fill="auto"/>
            <w:vAlign w:val="center"/>
          </w:tcPr>
          <w:p w14:paraId="7F2C052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7BA1EB3C" w14:textId="77777777" w:rsidR="008F52C8" w:rsidRPr="0030358C" w:rsidRDefault="008F52C8" w:rsidP="008F52C8">
      <w:pPr>
        <w:widowControl w:val="0"/>
        <w:tabs>
          <w:tab w:val="left" w:pos="284"/>
        </w:tabs>
        <w:autoSpaceDE w:val="0"/>
        <w:spacing w:before="60" w:line="300" w:lineRule="exact"/>
        <w:jc w:val="both"/>
        <w:rPr>
          <w:rFonts w:ascii="Arial" w:hAnsi="Arial" w:cs="Arial"/>
          <w:b/>
          <w:bCs/>
          <w:sz w:val="22"/>
          <w:szCs w:val="22"/>
          <w:lang w:eastAsia="zh-CN"/>
        </w:rPr>
      </w:pPr>
    </w:p>
    <w:p w14:paraId="0DCA50F0" w14:textId="77777777" w:rsidR="00DA4BC5" w:rsidRPr="0030358C" w:rsidRDefault="00000000" w:rsidP="008F52C8">
      <w:pPr>
        <w:widowControl w:val="0"/>
        <w:tabs>
          <w:tab w:val="left" w:pos="284"/>
        </w:tabs>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 xml:space="preserve">Technická podmínka provozu: </w:t>
      </w:r>
    </w:p>
    <w:p w14:paraId="258FCFA5" w14:textId="77777777" w:rsidR="008F52C8" w:rsidRPr="0030358C" w:rsidRDefault="00000000" w:rsidP="008F52C8">
      <w:pPr>
        <w:widowControl w:val="0"/>
        <w:tabs>
          <w:tab w:val="left" w:pos="284"/>
        </w:tabs>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Zařízení na drcení a třídění koksu je odsáváno a vzdušina je svedena do zařízení ke snižování emisí.</w:t>
      </w:r>
    </w:p>
    <w:p w14:paraId="191DB939" w14:textId="77777777" w:rsidR="008F52C8" w:rsidRPr="0030358C" w:rsidRDefault="008F52C8" w:rsidP="008F52C8">
      <w:pPr>
        <w:widowControl w:val="0"/>
        <w:tabs>
          <w:tab w:val="left" w:pos="284"/>
        </w:tabs>
        <w:autoSpaceDE w:val="0"/>
        <w:spacing w:before="60" w:line="300" w:lineRule="exact"/>
        <w:jc w:val="both"/>
        <w:rPr>
          <w:rFonts w:ascii="Arial" w:hAnsi="Arial" w:cs="Arial"/>
          <w:b/>
          <w:bCs/>
          <w:sz w:val="22"/>
          <w:szCs w:val="22"/>
          <w:lang w:eastAsia="zh-CN"/>
        </w:rPr>
      </w:pPr>
    </w:p>
    <w:p w14:paraId="24576FBD" w14:textId="77777777" w:rsidR="008F52C8" w:rsidRPr="0030358C" w:rsidRDefault="00000000" w:rsidP="008F52C8">
      <w:pPr>
        <w:widowControl w:val="0"/>
        <w:tabs>
          <w:tab w:val="left" w:pos="284"/>
        </w:tabs>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2.3.5. Chlazení koksu (kód 3.5.6. přílohy č. 2 k zákonu)</w:t>
      </w:r>
    </w:p>
    <w:p w14:paraId="496669B2" w14:textId="77777777" w:rsidR="008F52C8" w:rsidRPr="0030358C" w:rsidRDefault="008F52C8" w:rsidP="008F52C8">
      <w:pPr>
        <w:keepNext/>
        <w:numPr>
          <w:ilvl w:val="2"/>
          <w:numId w:val="0"/>
        </w:numPr>
        <w:tabs>
          <w:tab w:val="num" w:pos="0"/>
        </w:tabs>
        <w:ind w:left="720"/>
        <w:outlineLvl w:val="2"/>
        <w:rPr>
          <w:rFonts w:ascii="Arial" w:hAnsi="Arial" w:cs="Arial"/>
          <w:b/>
          <w:bCs/>
          <w:i/>
          <w:sz w:val="22"/>
          <w:szCs w:val="22"/>
          <w:lang w:eastAsia="zh-CN"/>
        </w:rPr>
      </w:pPr>
    </w:p>
    <w:p w14:paraId="78F1A8CD" w14:textId="77777777" w:rsidR="008F52C8" w:rsidRPr="0030358C" w:rsidRDefault="00000000" w:rsidP="008F52C8">
      <w:pPr>
        <w:keepNext/>
        <w:numPr>
          <w:ilvl w:val="1"/>
          <w:numId w:val="0"/>
        </w:numPr>
        <w:tabs>
          <w:tab w:val="num" w:pos="0"/>
        </w:tabs>
        <w:suppressAutoHyphens/>
        <w:ind w:left="576" w:hanging="576"/>
        <w:outlineLvl w:val="2"/>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69E5CA30" w14:textId="77777777" w:rsidR="008F52C8" w:rsidRPr="0030358C" w:rsidRDefault="00000000" w:rsidP="008F52C8">
      <w:pPr>
        <w:numPr>
          <w:ilvl w:val="2"/>
          <w:numId w:val="0"/>
        </w:numPr>
        <w:tabs>
          <w:tab w:val="num" w:pos="0"/>
        </w:tabs>
        <w:spacing w:before="120"/>
        <w:jc w:val="both"/>
        <w:outlineLvl w:val="2"/>
        <w:rPr>
          <w:rFonts w:ascii="Arial" w:hAnsi="Arial" w:cs="Arial"/>
          <w:b/>
          <w:bCs/>
          <w:sz w:val="22"/>
          <w:szCs w:val="22"/>
          <w:lang w:eastAsia="zh-CN"/>
        </w:rPr>
      </w:pPr>
      <w:r w:rsidRPr="0030358C">
        <w:rPr>
          <w:rFonts w:ascii="Arial" w:hAnsi="Arial" w:cs="Arial"/>
          <w:b/>
          <w:bCs/>
          <w:sz w:val="22"/>
          <w:szCs w:val="22"/>
          <w:lang w:eastAsia="zh-CN"/>
        </w:rPr>
        <w:t>Hasicí věže musí být vybaveny přepážkami na snižování emisí tuhých znečišťujících látek. U nových hasicích věží musí být jejich minimální výška alespoň 30 m.</w:t>
      </w:r>
    </w:p>
    <w:p w14:paraId="2F8A8E3F" w14:textId="77777777" w:rsidR="008F52C8" w:rsidRPr="0030358C" w:rsidRDefault="008F52C8" w:rsidP="008F52C8">
      <w:pPr>
        <w:keepNext/>
        <w:numPr>
          <w:ilvl w:val="2"/>
          <w:numId w:val="0"/>
        </w:numPr>
        <w:tabs>
          <w:tab w:val="num" w:pos="0"/>
        </w:tabs>
        <w:ind w:left="720"/>
        <w:outlineLvl w:val="2"/>
        <w:rPr>
          <w:rFonts w:ascii="Arial" w:hAnsi="Arial" w:cs="Arial"/>
          <w:b/>
          <w:bCs/>
          <w:i/>
          <w:sz w:val="22"/>
          <w:szCs w:val="22"/>
          <w:lang w:eastAsia="zh-CN"/>
        </w:rPr>
      </w:pPr>
    </w:p>
    <w:p w14:paraId="717FD58F" w14:textId="77777777" w:rsidR="008F52C8" w:rsidRPr="0030358C" w:rsidRDefault="008F52C8" w:rsidP="008F52C8">
      <w:pPr>
        <w:keepNext/>
        <w:numPr>
          <w:ilvl w:val="2"/>
          <w:numId w:val="0"/>
        </w:numPr>
        <w:tabs>
          <w:tab w:val="num" w:pos="0"/>
        </w:tabs>
        <w:ind w:left="720"/>
        <w:outlineLvl w:val="2"/>
        <w:rPr>
          <w:rFonts w:ascii="Arial" w:hAnsi="Arial" w:cs="Arial"/>
          <w:b/>
          <w:bCs/>
          <w:i/>
          <w:sz w:val="22"/>
          <w:szCs w:val="22"/>
          <w:lang w:eastAsia="zh-CN"/>
        </w:rPr>
      </w:pPr>
    </w:p>
    <w:p w14:paraId="5030C483"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2.4. Úprava uhlí a výroba plynů a olejů</w:t>
      </w:r>
    </w:p>
    <w:p w14:paraId="79EFAF47" w14:textId="77777777" w:rsidR="008F52C8" w:rsidRPr="0030358C" w:rsidRDefault="008F52C8" w:rsidP="008F52C8">
      <w:pPr>
        <w:keepNext/>
        <w:numPr>
          <w:ilvl w:val="2"/>
          <w:numId w:val="0"/>
        </w:numPr>
        <w:tabs>
          <w:tab w:val="num" w:pos="0"/>
        </w:tabs>
        <w:spacing w:before="60" w:after="40"/>
        <w:ind w:left="720"/>
        <w:jc w:val="both"/>
        <w:outlineLvl w:val="2"/>
        <w:rPr>
          <w:rFonts w:ascii="Arial" w:hAnsi="Arial" w:cs="Arial"/>
          <w:b/>
          <w:bCs/>
          <w:sz w:val="22"/>
          <w:szCs w:val="22"/>
          <w:lang w:eastAsia="zh-CN"/>
        </w:rPr>
      </w:pPr>
    </w:p>
    <w:p w14:paraId="7B2420E3" w14:textId="77777777" w:rsidR="008F52C8" w:rsidRPr="0030358C" w:rsidRDefault="00000000" w:rsidP="008F52C8">
      <w:pPr>
        <w:keepNext/>
        <w:numPr>
          <w:ilvl w:val="2"/>
          <w:numId w:val="0"/>
        </w:numPr>
        <w:tabs>
          <w:tab w:val="num" w:pos="0"/>
        </w:tabs>
        <w:spacing w:before="60" w:after="40"/>
        <w:jc w:val="both"/>
        <w:outlineLvl w:val="2"/>
        <w:rPr>
          <w:rFonts w:ascii="Arial" w:hAnsi="Arial" w:cs="Arial"/>
          <w:b/>
          <w:bCs/>
          <w:sz w:val="22"/>
          <w:szCs w:val="22"/>
          <w:lang w:eastAsia="zh-CN"/>
        </w:rPr>
      </w:pPr>
      <w:r w:rsidRPr="0030358C">
        <w:rPr>
          <w:rFonts w:ascii="Arial" w:hAnsi="Arial" w:cs="Arial"/>
          <w:b/>
          <w:bCs/>
          <w:sz w:val="22"/>
          <w:szCs w:val="22"/>
          <w:lang w:eastAsia="zh-CN"/>
        </w:rPr>
        <w:t>2.4.1. Rafinace minerálních nebo pyrolýzních olejů, rafinace plynů, zplyňování nebo pyrolýza uhlí, biomasy, odpadů nebo jiných organických látek (nespadají-li tyto procesy pod kód 2.1.) (kód 3.6. přílohy č. 2 k zákonu)</w:t>
      </w:r>
    </w:p>
    <w:tbl>
      <w:tblPr>
        <w:tblW w:w="0" w:type="auto"/>
        <w:tblInd w:w="-15" w:type="dxa"/>
        <w:tblLayout w:type="fixed"/>
        <w:tblLook w:val="0000" w:firstRow="0" w:lastRow="0" w:firstColumn="0" w:lastColumn="0" w:noHBand="0" w:noVBand="0"/>
      </w:tblPr>
      <w:tblGrid>
        <w:gridCol w:w="1090"/>
        <w:gridCol w:w="1321"/>
        <w:gridCol w:w="1321"/>
        <w:gridCol w:w="1321"/>
        <w:gridCol w:w="1321"/>
        <w:gridCol w:w="1506"/>
        <w:gridCol w:w="1720"/>
      </w:tblGrid>
      <w:tr w:rsidR="00E40657" w14:paraId="0418FAA4" w14:textId="77777777" w:rsidTr="00732453">
        <w:trPr>
          <w:cantSplit/>
          <w:trHeight w:hRule="exact" w:val="340"/>
        </w:trPr>
        <w:tc>
          <w:tcPr>
            <w:tcW w:w="7880" w:type="dxa"/>
            <w:gridSpan w:val="6"/>
            <w:tcBorders>
              <w:top w:val="single" w:sz="4" w:space="0" w:color="000000"/>
              <w:left w:val="single" w:sz="4" w:space="0" w:color="000000"/>
              <w:bottom w:val="single" w:sz="4" w:space="0" w:color="000000"/>
            </w:tcBorders>
            <w:shd w:val="clear" w:color="auto" w:fill="auto"/>
          </w:tcPr>
          <w:p w14:paraId="340EAC7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r w:rsidRPr="0030358C">
              <w:rPr>
                <w:rFonts w:ascii="Arial" w:hAnsi="Arial" w:cs="Arial"/>
                <w:b/>
                <w:bCs/>
                <w:sz w:val="22"/>
                <w:szCs w:val="22"/>
                <w:vertAlign w:val="superscript"/>
                <w:lang w:eastAsia="zh-CN"/>
              </w:rPr>
              <w:t xml:space="preserve"> 1)</w:t>
            </w:r>
          </w:p>
        </w:tc>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FAF86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30331B17" w14:textId="77777777" w:rsidTr="00732453">
        <w:trPr>
          <w:cantSplit/>
          <w:trHeight w:hRule="exact" w:val="719"/>
        </w:trPr>
        <w:tc>
          <w:tcPr>
            <w:tcW w:w="1090" w:type="dxa"/>
            <w:tcBorders>
              <w:left w:val="single" w:sz="4" w:space="0" w:color="000000"/>
              <w:bottom w:val="single" w:sz="4" w:space="0" w:color="000000"/>
            </w:tcBorders>
            <w:shd w:val="clear" w:color="auto" w:fill="auto"/>
            <w:vAlign w:val="center"/>
          </w:tcPr>
          <w:p w14:paraId="4D5409E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321" w:type="dxa"/>
            <w:tcBorders>
              <w:left w:val="single" w:sz="4" w:space="0" w:color="000000"/>
              <w:bottom w:val="single" w:sz="4" w:space="0" w:color="000000"/>
            </w:tcBorders>
            <w:shd w:val="clear" w:color="auto" w:fill="auto"/>
            <w:vAlign w:val="center"/>
          </w:tcPr>
          <w:p w14:paraId="2C0D59E2"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321" w:type="dxa"/>
            <w:tcBorders>
              <w:left w:val="single" w:sz="4" w:space="0" w:color="000000"/>
              <w:bottom w:val="single" w:sz="4" w:space="0" w:color="000000"/>
            </w:tcBorders>
            <w:shd w:val="clear" w:color="auto" w:fill="auto"/>
            <w:vAlign w:val="center"/>
          </w:tcPr>
          <w:p w14:paraId="173E00F4"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321" w:type="dxa"/>
            <w:tcBorders>
              <w:left w:val="single" w:sz="4" w:space="0" w:color="000000"/>
              <w:bottom w:val="single" w:sz="4" w:space="0" w:color="000000"/>
            </w:tcBorders>
            <w:shd w:val="clear" w:color="auto" w:fill="auto"/>
            <w:vAlign w:val="center"/>
          </w:tcPr>
          <w:p w14:paraId="40B75FE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321" w:type="dxa"/>
            <w:tcBorders>
              <w:left w:val="single" w:sz="4" w:space="0" w:color="000000"/>
              <w:bottom w:val="single" w:sz="4" w:space="0" w:color="000000"/>
            </w:tcBorders>
            <w:shd w:val="clear" w:color="auto" w:fill="auto"/>
            <w:vAlign w:val="center"/>
          </w:tcPr>
          <w:p w14:paraId="55E7749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sulfan</w:t>
            </w:r>
          </w:p>
        </w:tc>
        <w:tc>
          <w:tcPr>
            <w:tcW w:w="1506" w:type="dxa"/>
            <w:tcBorders>
              <w:left w:val="single" w:sz="4" w:space="0" w:color="000000"/>
              <w:bottom w:val="single" w:sz="4" w:space="0" w:color="000000"/>
            </w:tcBorders>
            <w:shd w:val="clear" w:color="auto" w:fill="auto"/>
            <w:vAlign w:val="center"/>
          </w:tcPr>
          <w:p w14:paraId="2B70A3D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amoniak</w:t>
            </w:r>
          </w:p>
        </w:tc>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4B3B6A" w14:textId="77777777" w:rsidR="008F52C8" w:rsidRPr="0030358C" w:rsidRDefault="008F52C8" w:rsidP="00732453">
            <w:pPr>
              <w:snapToGrid w:val="0"/>
              <w:rPr>
                <w:rFonts w:ascii="Arial" w:hAnsi="Arial" w:cs="Arial"/>
                <w:b/>
                <w:bCs/>
                <w:sz w:val="22"/>
                <w:szCs w:val="22"/>
                <w:lang w:eastAsia="zh-CN"/>
              </w:rPr>
            </w:pPr>
          </w:p>
        </w:tc>
      </w:tr>
      <w:tr w:rsidR="00E40657" w14:paraId="1CFE5545" w14:textId="77777777" w:rsidTr="00732453">
        <w:trPr>
          <w:trHeight w:hRule="exact" w:val="646"/>
        </w:trPr>
        <w:tc>
          <w:tcPr>
            <w:tcW w:w="1090" w:type="dxa"/>
            <w:tcBorders>
              <w:left w:val="single" w:sz="4" w:space="0" w:color="000000"/>
              <w:bottom w:val="single" w:sz="4" w:space="0" w:color="000000"/>
            </w:tcBorders>
            <w:shd w:val="clear" w:color="auto" w:fill="auto"/>
            <w:vAlign w:val="center"/>
          </w:tcPr>
          <w:p w14:paraId="33A30312"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p>
        </w:tc>
        <w:tc>
          <w:tcPr>
            <w:tcW w:w="1321" w:type="dxa"/>
            <w:tcBorders>
              <w:left w:val="single" w:sz="4" w:space="0" w:color="000000"/>
              <w:bottom w:val="single" w:sz="4" w:space="0" w:color="000000"/>
            </w:tcBorders>
            <w:shd w:val="clear" w:color="auto" w:fill="auto"/>
            <w:vAlign w:val="center"/>
          </w:tcPr>
          <w:p w14:paraId="0FB9887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2500</w:t>
            </w:r>
          </w:p>
        </w:tc>
        <w:tc>
          <w:tcPr>
            <w:tcW w:w="1321" w:type="dxa"/>
            <w:tcBorders>
              <w:left w:val="single" w:sz="4" w:space="0" w:color="000000"/>
              <w:bottom w:val="single" w:sz="4" w:space="0" w:color="000000"/>
            </w:tcBorders>
            <w:shd w:val="clear" w:color="auto" w:fill="auto"/>
            <w:vAlign w:val="center"/>
          </w:tcPr>
          <w:p w14:paraId="5BB5A05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500</w:t>
            </w:r>
          </w:p>
        </w:tc>
        <w:tc>
          <w:tcPr>
            <w:tcW w:w="1321" w:type="dxa"/>
            <w:tcBorders>
              <w:left w:val="single" w:sz="4" w:space="0" w:color="000000"/>
              <w:bottom w:val="single" w:sz="4" w:space="0" w:color="000000"/>
            </w:tcBorders>
            <w:shd w:val="clear" w:color="auto" w:fill="auto"/>
            <w:vAlign w:val="center"/>
          </w:tcPr>
          <w:p w14:paraId="61D4F24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800</w:t>
            </w:r>
          </w:p>
        </w:tc>
        <w:tc>
          <w:tcPr>
            <w:tcW w:w="1321" w:type="dxa"/>
            <w:tcBorders>
              <w:left w:val="single" w:sz="4" w:space="0" w:color="000000"/>
              <w:bottom w:val="single" w:sz="4" w:space="0" w:color="000000"/>
            </w:tcBorders>
            <w:shd w:val="clear" w:color="auto" w:fill="auto"/>
            <w:vAlign w:val="center"/>
          </w:tcPr>
          <w:p w14:paraId="415FBBB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w:t>
            </w:r>
          </w:p>
        </w:tc>
        <w:tc>
          <w:tcPr>
            <w:tcW w:w="1506" w:type="dxa"/>
            <w:tcBorders>
              <w:left w:val="single" w:sz="4" w:space="0" w:color="000000"/>
              <w:bottom w:val="single" w:sz="4" w:space="0" w:color="000000"/>
            </w:tcBorders>
            <w:shd w:val="clear" w:color="auto" w:fill="auto"/>
            <w:vAlign w:val="center"/>
          </w:tcPr>
          <w:p w14:paraId="10B0B26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9E6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641A03F8" w14:textId="77777777" w:rsidR="00FE2A95" w:rsidRPr="0030358C" w:rsidRDefault="00000000" w:rsidP="008F52C8">
      <w:pPr>
        <w:widowControl w:val="0"/>
        <w:autoSpaceDE w:val="0"/>
        <w:jc w:val="both"/>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 xml:space="preserve">: </w:t>
      </w:r>
    </w:p>
    <w:p w14:paraId="55171B02" w14:textId="77777777" w:rsidR="008F52C8" w:rsidRPr="0030358C" w:rsidRDefault="00000000" w:rsidP="008F52C8">
      <w:pPr>
        <w:widowControl w:val="0"/>
        <w:autoSpaceDE w:val="0"/>
        <w:jc w:val="both"/>
        <w:rPr>
          <w:rFonts w:ascii="Arial" w:hAnsi="Arial" w:cs="Arial"/>
          <w:b/>
          <w:bCs/>
          <w:iCs/>
          <w:sz w:val="22"/>
          <w:szCs w:val="22"/>
          <w:lang w:eastAsia="zh-CN"/>
        </w:rPr>
      </w:pPr>
      <w:r w:rsidRPr="0030358C">
        <w:rPr>
          <w:rFonts w:ascii="Arial" w:hAnsi="Arial" w:cs="Arial"/>
          <w:b/>
          <w:bCs/>
          <w:iCs/>
          <w:sz w:val="22"/>
          <w:szCs w:val="22"/>
          <w:lang w:eastAsia="zh-CN"/>
        </w:rPr>
        <w:t>1) Platí pro zplyňování a zkapalňování uhlí.</w:t>
      </w:r>
    </w:p>
    <w:p w14:paraId="7273F45D" w14:textId="77777777" w:rsidR="008F52C8" w:rsidRPr="0030358C" w:rsidRDefault="008F52C8" w:rsidP="008F52C8">
      <w:pPr>
        <w:rPr>
          <w:rFonts w:ascii="Arial" w:hAnsi="Arial" w:cs="Arial"/>
          <w:b/>
          <w:bCs/>
          <w:sz w:val="22"/>
          <w:szCs w:val="22"/>
          <w:lang w:eastAsia="zh-CN"/>
        </w:rPr>
      </w:pPr>
    </w:p>
    <w:p w14:paraId="65728F6A" w14:textId="77777777" w:rsidR="005B7939" w:rsidRPr="0030358C" w:rsidRDefault="00000000" w:rsidP="005B7939">
      <w:pPr>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76F4CA9E" w14:textId="77777777" w:rsidR="005B7939" w:rsidRPr="0030358C" w:rsidRDefault="00000000" w:rsidP="005B7939">
      <w:pPr>
        <w:rPr>
          <w:rFonts w:ascii="Arial" w:hAnsi="Arial" w:cs="Arial"/>
          <w:b/>
          <w:bCs/>
          <w:sz w:val="22"/>
          <w:szCs w:val="22"/>
          <w:lang w:eastAsia="zh-CN"/>
        </w:rPr>
      </w:pPr>
      <w:r w:rsidRPr="0030358C">
        <w:rPr>
          <w:rFonts w:ascii="Arial" w:hAnsi="Arial" w:cs="Arial"/>
          <w:b/>
          <w:bCs/>
          <w:sz w:val="22"/>
          <w:szCs w:val="22"/>
          <w:lang w:eastAsia="zh-CN"/>
        </w:rPr>
        <w:t>Nakládání s látkami obtěžujícími zápachem je možné pouze v uzavřeném systému bez styku s venkovním ovzduším tak, aby tyto činnosti nebyly zdrojem emisí znečišťujících látek obtěžujících zápachem.</w:t>
      </w:r>
    </w:p>
    <w:p w14:paraId="280E0BEE" w14:textId="77777777" w:rsidR="008F52C8" w:rsidRPr="0030358C" w:rsidRDefault="008F52C8" w:rsidP="008F52C8">
      <w:pPr>
        <w:rPr>
          <w:rFonts w:ascii="Arial" w:hAnsi="Arial" w:cs="Arial"/>
          <w:b/>
          <w:bCs/>
          <w:sz w:val="22"/>
          <w:szCs w:val="22"/>
          <w:lang w:eastAsia="zh-CN"/>
        </w:rPr>
      </w:pPr>
    </w:p>
    <w:p w14:paraId="3DEC7F1B" w14:textId="77777777" w:rsidR="008F52C8" w:rsidRPr="0030358C" w:rsidRDefault="008F52C8" w:rsidP="008F52C8">
      <w:pPr>
        <w:rPr>
          <w:rFonts w:ascii="Arial" w:hAnsi="Arial" w:cs="Arial"/>
          <w:b/>
          <w:bCs/>
          <w:sz w:val="22"/>
          <w:szCs w:val="22"/>
          <w:lang w:eastAsia="zh-CN"/>
        </w:rPr>
      </w:pPr>
    </w:p>
    <w:p w14:paraId="34D4F9E3" w14:textId="77777777" w:rsidR="008F52C8" w:rsidRPr="0030358C" w:rsidRDefault="00000000" w:rsidP="008F52C8">
      <w:pPr>
        <w:keepNext/>
        <w:numPr>
          <w:ilvl w:val="1"/>
          <w:numId w:val="0"/>
        </w:numPr>
        <w:tabs>
          <w:tab w:val="num" w:pos="0"/>
        </w:tabs>
        <w:spacing w:before="60"/>
        <w:ind w:left="576" w:hanging="576"/>
        <w:jc w:val="both"/>
        <w:outlineLvl w:val="1"/>
        <w:rPr>
          <w:rFonts w:ascii="Arial" w:hAnsi="Arial" w:cs="Arial"/>
          <w:b/>
          <w:bCs/>
          <w:caps/>
          <w:sz w:val="22"/>
          <w:szCs w:val="22"/>
          <w:lang w:eastAsia="zh-CN"/>
        </w:rPr>
      </w:pPr>
      <w:r w:rsidRPr="0030358C">
        <w:rPr>
          <w:rFonts w:ascii="Arial" w:hAnsi="Arial" w:cs="Arial"/>
          <w:b/>
          <w:bCs/>
          <w:caps/>
          <w:sz w:val="22"/>
          <w:szCs w:val="22"/>
          <w:lang w:eastAsia="zh-CN"/>
        </w:rPr>
        <w:t xml:space="preserve">3. Výroba a zpracování kovů a plastů </w:t>
      </w:r>
    </w:p>
    <w:p w14:paraId="69835374" w14:textId="77777777" w:rsidR="008F52C8" w:rsidRPr="0030358C" w:rsidRDefault="008F52C8" w:rsidP="008F52C8">
      <w:pPr>
        <w:rPr>
          <w:rFonts w:ascii="Arial" w:hAnsi="Arial" w:cs="Arial"/>
          <w:b/>
          <w:bCs/>
          <w:sz w:val="22"/>
          <w:szCs w:val="22"/>
          <w:lang w:eastAsia="zh-CN"/>
        </w:rPr>
      </w:pPr>
    </w:p>
    <w:p w14:paraId="6E2568BF"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3.1. Pražení nebo slinování kovové rudy, včetně sirníkové rudy</w:t>
      </w:r>
    </w:p>
    <w:p w14:paraId="2C305EE6" w14:textId="77777777" w:rsidR="008F52C8" w:rsidRPr="0030358C" w:rsidRDefault="008F52C8" w:rsidP="008F52C8">
      <w:pPr>
        <w:rPr>
          <w:rFonts w:ascii="Arial" w:hAnsi="Arial" w:cs="Arial"/>
          <w:b/>
          <w:bCs/>
          <w:sz w:val="22"/>
          <w:szCs w:val="22"/>
          <w:lang w:eastAsia="zh-CN"/>
        </w:rPr>
      </w:pPr>
    </w:p>
    <w:p w14:paraId="56B56C9A"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bCs/>
          <w:sz w:val="22"/>
          <w:szCs w:val="22"/>
          <w:lang w:eastAsia="zh-CN"/>
        </w:rPr>
      </w:pPr>
      <w:r w:rsidRPr="0030358C">
        <w:rPr>
          <w:rFonts w:ascii="Arial" w:hAnsi="Arial" w:cs="Arial"/>
          <w:b/>
          <w:bCs/>
          <w:sz w:val="22"/>
          <w:szCs w:val="22"/>
          <w:lang w:eastAsia="zh-CN"/>
        </w:rPr>
        <w:t>3.1.1. Příprava vsázky (kód 4.1.1. přílohy č. 2 k zákonu)</w:t>
      </w:r>
    </w:p>
    <w:tbl>
      <w:tblPr>
        <w:tblW w:w="9600" w:type="dxa"/>
        <w:tblInd w:w="-15" w:type="dxa"/>
        <w:tblLayout w:type="fixed"/>
        <w:tblLook w:val="0000" w:firstRow="0" w:lastRow="0" w:firstColumn="0" w:lastColumn="0" w:noHBand="0" w:noVBand="0"/>
      </w:tblPr>
      <w:tblGrid>
        <w:gridCol w:w="4785"/>
        <w:gridCol w:w="4815"/>
      </w:tblGrid>
      <w:tr w:rsidR="00E40657" w14:paraId="16515B61"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091441F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344BE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C5AAADE" w14:textId="77777777" w:rsidTr="00732453">
        <w:trPr>
          <w:cantSplit/>
          <w:trHeight w:hRule="exact" w:val="552"/>
        </w:trPr>
        <w:tc>
          <w:tcPr>
            <w:tcW w:w="4785" w:type="dxa"/>
            <w:tcBorders>
              <w:left w:val="single" w:sz="4" w:space="0" w:color="000000"/>
              <w:bottom w:val="single" w:sz="4" w:space="0" w:color="000000"/>
            </w:tcBorders>
            <w:shd w:val="clear" w:color="auto" w:fill="auto"/>
            <w:vAlign w:val="center"/>
          </w:tcPr>
          <w:p w14:paraId="4A2B460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2A06FA" w14:textId="77777777" w:rsidR="008F52C8" w:rsidRPr="0030358C" w:rsidRDefault="008F52C8" w:rsidP="00732453">
            <w:pPr>
              <w:snapToGrid w:val="0"/>
              <w:rPr>
                <w:rFonts w:ascii="Arial" w:hAnsi="Arial" w:cs="Arial"/>
                <w:b/>
                <w:bCs/>
                <w:sz w:val="22"/>
                <w:szCs w:val="22"/>
                <w:lang w:eastAsia="zh-CN"/>
              </w:rPr>
            </w:pPr>
          </w:p>
        </w:tc>
      </w:tr>
      <w:tr w:rsidR="00E40657" w14:paraId="3057FE6D" w14:textId="77777777" w:rsidTr="00732453">
        <w:trPr>
          <w:cantSplit/>
          <w:trHeight w:hRule="exact" w:val="614"/>
        </w:trPr>
        <w:tc>
          <w:tcPr>
            <w:tcW w:w="4785" w:type="dxa"/>
            <w:tcBorders>
              <w:left w:val="single" w:sz="4" w:space="0" w:color="000000"/>
              <w:bottom w:val="single" w:sz="4" w:space="0" w:color="000000"/>
            </w:tcBorders>
            <w:shd w:val="clear" w:color="auto" w:fill="auto"/>
            <w:vAlign w:val="center"/>
          </w:tcPr>
          <w:p w14:paraId="1D59DED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6AFEE" w14:textId="77777777" w:rsidR="008F52C8" w:rsidRPr="0030358C" w:rsidRDefault="00000000" w:rsidP="00732453">
            <w:pPr>
              <w:snapToGrid w:val="0"/>
              <w:jc w:val="center"/>
              <w:rPr>
                <w:rFonts w:ascii="Arial" w:hAnsi="Arial" w:cs="Arial"/>
                <w:b/>
                <w:bCs/>
                <w:iCs/>
                <w:sz w:val="22"/>
                <w:szCs w:val="22"/>
                <w:lang w:eastAsia="zh-CN"/>
              </w:rPr>
            </w:pPr>
            <w:r w:rsidRPr="0030358C">
              <w:rPr>
                <w:rFonts w:ascii="Arial" w:hAnsi="Arial" w:cs="Arial"/>
                <w:b/>
                <w:bCs/>
                <w:sz w:val="22"/>
                <w:szCs w:val="22"/>
                <w:lang w:eastAsia="zh-CN"/>
              </w:rPr>
              <w:t>A</w:t>
            </w:r>
          </w:p>
        </w:tc>
      </w:tr>
    </w:tbl>
    <w:p w14:paraId="3AC86195"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34545DA2"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bCs/>
          <w:sz w:val="22"/>
          <w:szCs w:val="22"/>
          <w:lang w:eastAsia="zh-CN"/>
        </w:rPr>
      </w:pPr>
      <w:r w:rsidRPr="0030358C">
        <w:rPr>
          <w:rFonts w:ascii="Arial" w:hAnsi="Arial" w:cs="Arial"/>
          <w:b/>
          <w:bCs/>
          <w:sz w:val="22"/>
          <w:szCs w:val="22"/>
          <w:lang w:eastAsia="zh-CN"/>
        </w:rPr>
        <w:t>3.1.2. Spékací pásy aglomerace (kód 4.1.2. přílohy č. 2 k zákonu)</w:t>
      </w:r>
    </w:p>
    <w:tbl>
      <w:tblPr>
        <w:tblW w:w="96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965"/>
        <w:gridCol w:w="965"/>
        <w:gridCol w:w="1509"/>
        <w:gridCol w:w="2838"/>
        <w:gridCol w:w="2381"/>
      </w:tblGrid>
      <w:tr w:rsidR="00E40657" w14:paraId="4EBD4E5A" w14:textId="77777777" w:rsidTr="000032A3">
        <w:trPr>
          <w:cantSplit/>
          <w:trHeight w:hRule="exact" w:val="871"/>
        </w:trPr>
        <w:tc>
          <w:tcPr>
            <w:tcW w:w="7240" w:type="dxa"/>
            <w:gridSpan w:val="5"/>
            <w:shd w:val="clear" w:color="auto" w:fill="auto"/>
            <w:vAlign w:val="center"/>
          </w:tcPr>
          <w:p w14:paraId="2398D4C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381" w:type="dxa"/>
            <w:vMerge w:val="restart"/>
            <w:shd w:val="clear" w:color="auto" w:fill="auto"/>
            <w:vAlign w:val="center"/>
          </w:tcPr>
          <w:p w14:paraId="3928010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AE5833E" w14:textId="77777777" w:rsidTr="000032A3">
        <w:trPr>
          <w:cantSplit/>
          <w:trHeight w:hRule="exact" w:val="871"/>
        </w:trPr>
        <w:tc>
          <w:tcPr>
            <w:tcW w:w="963" w:type="dxa"/>
            <w:shd w:val="clear" w:color="auto" w:fill="auto"/>
            <w:vAlign w:val="center"/>
          </w:tcPr>
          <w:p w14:paraId="4F73AB7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965" w:type="dxa"/>
            <w:shd w:val="clear" w:color="auto" w:fill="auto"/>
            <w:vAlign w:val="center"/>
          </w:tcPr>
          <w:p w14:paraId="23869741"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965" w:type="dxa"/>
            <w:shd w:val="clear" w:color="auto" w:fill="auto"/>
            <w:vAlign w:val="center"/>
          </w:tcPr>
          <w:p w14:paraId="7D655EF8"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509" w:type="dxa"/>
            <w:shd w:val="clear" w:color="auto" w:fill="auto"/>
            <w:vAlign w:val="center"/>
          </w:tcPr>
          <w:p w14:paraId="34F93F7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plynné sloučeniny rtuti</w:t>
            </w:r>
          </w:p>
        </w:tc>
        <w:tc>
          <w:tcPr>
            <w:tcW w:w="2838" w:type="dxa"/>
            <w:shd w:val="clear" w:color="auto" w:fill="auto"/>
            <w:vAlign w:val="center"/>
          </w:tcPr>
          <w:p w14:paraId="5903828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PCDD/F</w:t>
            </w:r>
          </w:p>
        </w:tc>
        <w:tc>
          <w:tcPr>
            <w:tcW w:w="2381" w:type="dxa"/>
            <w:vMerge/>
            <w:shd w:val="clear" w:color="auto" w:fill="auto"/>
            <w:vAlign w:val="center"/>
          </w:tcPr>
          <w:p w14:paraId="76B362E3" w14:textId="77777777" w:rsidR="008F52C8" w:rsidRPr="0030358C" w:rsidRDefault="008F52C8" w:rsidP="00732453">
            <w:pPr>
              <w:snapToGrid w:val="0"/>
              <w:rPr>
                <w:rFonts w:ascii="Arial" w:hAnsi="Arial" w:cs="Arial"/>
                <w:b/>
                <w:bCs/>
                <w:sz w:val="22"/>
                <w:szCs w:val="22"/>
                <w:lang w:eastAsia="zh-CN"/>
              </w:rPr>
            </w:pPr>
          </w:p>
        </w:tc>
      </w:tr>
      <w:tr w:rsidR="00E40657" w14:paraId="115AF51B" w14:textId="77777777" w:rsidTr="000032A3">
        <w:trPr>
          <w:cantSplit/>
          <w:trHeight w:val="660"/>
        </w:trPr>
        <w:tc>
          <w:tcPr>
            <w:tcW w:w="963" w:type="dxa"/>
            <w:shd w:val="clear" w:color="auto" w:fill="auto"/>
            <w:vAlign w:val="center"/>
          </w:tcPr>
          <w:p w14:paraId="31E8C73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tc>
        <w:tc>
          <w:tcPr>
            <w:tcW w:w="965" w:type="dxa"/>
            <w:shd w:val="clear" w:color="auto" w:fill="auto"/>
            <w:vAlign w:val="center"/>
          </w:tcPr>
          <w:p w14:paraId="4A2EDC0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965" w:type="dxa"/>
            <w:shd w:val="clear" w:color="auto" w:fill="auto"/>
            <w:vAlign w:val="center"/>
          </w:tcPr>
          <w:p w14:paraId="02BBAC9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509" w:type="dxa"/>
            <w:shd w:val="clear" w:color="auto" w:fill="auto"/>
            <w:vAlign w:val="center"/>
          </w:tcPr>
          <w:p w14:paraId="74DA0C7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0,05</w:t>
            </w:r>
          </w:p>
        </w:tc>
        <w:tc>
          <w:tcPr>
            <w:tcW w:w="2838" w:type="dxa"/>
            <w:shd w:val="clear" w:color="auto" w:fill="auto"/>
            <w:vAlign w:val="center"/>
          </w:tcPr>
          <w:p w14:paraId="6C1C9CE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0,4 ng-I-TEQ/Nm</w:t>
            </w:r>
            <w:r w:rsidRPr="0030358C">
              <w:rPr>
                <w:rFonts w:ascii="Arial" w:hAnsi="Arial" w:cs="Arial"/>
                <w:b/>
                <w:bCs/>
                <w:sz w:val="22"/>
                <w:szCs w:val="22"/>
                <w:vertAlign w:val="superscript"/>
                <w:lang w:eastAsia="zh-CN"/>
              </w:rPr>
              <w:t>3</w:t>
            </w:r>
          </w:p>
        </w:tc>
        <w:tc>
          <w:tcPr>
            <w:tcW w:w="2381" w:type="dxa"/>
            <w:shd w:val="clear" w:color="auto" w:fill="auto"/>
            <w:vAlign w:val="center"/>
          </w:tcPr>
          <w:p w14:paraId="20BD1853" w14:textId="77777777" w:rsidR="008F52C8" w:rsidRPr="0030358C" w:rsidRDefault="00000000" w:rsidP="00732453">
            <w:pPr>
              <w:snapToGrid w:val="0"/>
              <w:jc w:val="center"/>
              <w:rPr>
                <w:rFonts w:ascii="Arial" w:hAnsi="Arial" w:cs="Arial"/>
                <w:b/>
                <w:bCs/>
                <w:iCs/>
                <w:sz w:val="22"/>
                <w:szCs w:val="22"/>
                <w:lang w:eastAsia="zh-CN"/>
              </w:rPr>
            </w:pPr>
            <w:r w:rsidRPr="0030358C">
              <w:rPr>
                <w:rFonts w:ascii="Arial" w:hAnsi="Arial" w:cs="Arial"/>
                <w:b/>
                <w:bCs/>
                <w:sz w:val="22"/>
                <w:szCs w:val="22"/>
                <w:lang w:eastAsia="zh-CN"/>
              </w:rPr>
              <w:t>A</w:t>
            </w:r>
          </w:p>
        </w:tc>
      </w:tr>
    </w:tbl>
    <w:p w14:paraId="6979D530"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01F47E1D"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1B96D2B0" w14:textId="77777777" w:rsidR="008F52C8" w:rsidRPr="0030358C" w:rsidRDefault="00000000" w:rsidP="008F52C8">
      <w:pPr>
        <w:keepNext/>
        <w:numPr>
          <w:ilvl w:val="2"/>
          <w:numId w:val="0"/>
        </w:numPr>
        <w:tabs>
          <w:tab w:val="num" w:pos="0"/>
        </w:tabs>
        <w:spacing w:before="120"/>
        <w:ind w:left="720" w:hanging="720"/>
        <w:outlineLvl w:val="2"/>
        <w:rPr>
          <w:rFonts w:ascii="Arial" w:hAnsi="Arial" w:cs="Arial"/>
          <w:b/>
          <w:bCs/>
          <w:sz w:val="22"/>
          <w:szCs w:val="22"/>
          <w:lang w:eastAsia="zh-CN"/>
        </w:rPr>
      </w:pPr>
      <w:r w:rsidRPr="0030358C">
        <w:rPr>
          <w:rFonts w:ascii="Arial" w:hAnsi="Arial" w:cs="Arial"/>
          <w:b/>
          <w:bCs/>
          <w:sz w:val="22"/>
          <w:szCs w:val="22"/>
          <w:lang w:eastAsia="zh-CN"/>
        </w:rPr>
        <w:t>3.1.3. Manipulace se spečencem nebo jeho zpracování (chlazení, drcení, mletí, třídění) (kód 4.1.3. přílohy č. 2 k zákonu)</w:t>
      </w:r>
    </w:p>
    <w:tbl>
      <w:tblPr>
        <w:tblW w:w="9600" w:type="dxa"/>
        <w:tblInd w:w="-15" w:type="dxa"/>
        <w:tblLayout w:type="fixed"/>
        <w:tblLook w:val="0000" w:firstRow="0" w:lastRow="0" w:firstColumn="0" w:lastColumn="0" w:noHBand="0" w:noVBand="0"/>
      </w:tblPr>
      <w:tblGrid>
        <w:gridCol w:w="4785"/>
        <w:gridCol w:w="4815"/>
      </w:tblGrid>
      <w:tr w:rsidR="00E40657" w14:paraId="11CBF7C9"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041D6D9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815" w:type="dxa"/>
            <w:vMerge w:val="restart"/>
            <w:tcBorders>
              <w:top w:val="single" w:sz="4" w:space="0" w:color="000000"/>
              <w:left w:val="single" w:sz="4" w:space="0" w:color="000000"/>
              <w:right w:val="single" w:sz="4" w:space="0" w:color="000000"/>
            </w:tcBorders>
            <w:shd w:val="clear" w:color="auto" w:fill="auto"/>
            <w:vAlign w:val="center"/>
          </w:tcPr>
          <w:p w14:paraId="7802783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E5C0236"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58ED86E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815" w:type="dxa"/>
            <w:vMerge/>
            <w:tcBorders>
              <w:left w:val="single" w:sz="4" w:space="0" w:color="000000"/>
              <w:bottom w:val="single" w:sz="4" w:space="0" w:color="000000"/>
              <w:right w:val="single" w:sz="4" w:space="0" w:color="000000"/>
            </w:tcBorders>
            <w:shd w:val="clear" w:color="auto" w:fill="auto"/>
            <w:vAlign w:val="center"/>
          </w:tcPr>
          <w:p w14:paraId="2B5D1E31" w14:textId="77777777" w:rsidR="008F52C8" w:rsidRPr="0030358C" w:rsidRDefault="008F52C8" w:rsidP="00732453">
            <w:pPr>
              <w:snapToGrid w:val="0"/>
              <w:jc w:val="center"/>
              <w:rPr>
                <w:rFonts w:ascii="Arial" w:hAnsi="Arial" w:cs="Arial"/>
                <w:b/>
                <w:bCs/>
                <w:sz w:val="22"/>
                <w:szCs w:val="22"/>
                <w:lang w:eastAsia="zh-CN"/>
              </w:rPr>
            </w:pPr>
          </w:p>
        </w:tc>
      </w:tr>
      <w:tr w:rsidR="00E40657" w14:paraId="2D5C37D0"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1ACDA53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8E3E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45D5FC0E" w14:textId="77777777" w:rsidR="008F52C8" w:rsidRPr="0030358C" w:rsidRDefault="008F52C8" w:rsidP="008F52C8">
      <w:pPr>
        <w:keepNext/>
        <w:numPr>
          <w:ilvl w:val="2"/>
          <w:numId w:val="0"/>
        </w:numPr>
        <w:tabs>
          <w:tab w:val="num" w:pos="0"/>
        </w:tabs>
        <w:spacing w:before="120"/>
        <w:ind w:left="720"/>
        <w:outlineLvl w:val="2"/>
        <w:rPr>
          <w:rFonts w:ascii="Arial" w:hAnsi="Arial" w:cs="Arial"/>
          <w:b/>
          <w:bCs/>
          <w:sz w:val="22"/>
          <w:szCs w:val="22"/>
          <w:lang w:eastAsia="zh-CN"/>
        </w:rPr>
      </w:pPr>
    </w:p>
    <w:p w14:paraId="3D338897" w14:textId="77777777" w:rsidR="00760B1A" w:rsidRPr="0030358C" w:rsidRDefault="00760B1A" w:rsidP="008F52C8">
      <w:pPr>
        <w:keepNext/>
        <w:numPr>
          <w:ilvl w:val="2"/>
          <w:numId w:val="0"/>
        </w:numPr>
        <w:tabs>
          <w:tab w:val="num" w:pos="0"/>
        </w:tabs>
        <w:spacing w:before="120"/>
        <w:ind w:left="720"/>
        <w:outlineLvl w:val="2"/>
        <w:rPr>
          <w:rFonts w:ascii="Arial" w:hAnsi="Arial" w:cs="Arial"/>
          <w:b/>
          <w:bCs/>
          <w:sz w:val="22"/>
          <w:szCs w:val="22"/>
          <w:lang w:eastAsia="zh-CN"/>
        </w:rPr>
      </w:pPr>
    </w:p>
    <w:p w14:paraId="7D0BEB15" w14:textId="77777777" w:rsidR="008F52C8" w:rsidRPr="0030358C" w:rsidRDefault="00000000" w:rsidP="008F52C8">
      <w:pPr>
        <w:keepNext/>
        <w:numPr>
          <w:ilvl w:val="2"/>
          <w:numId w:val="0"/>
        </w:numPr>
        <w:tabs>
          <w:tab w:val="num" w:pos="0"/>
        </w:tabs>
        <w:spacing w:before="120"/>
        <w:outlineLvl w:val="2"/>
        <w:rPr>
          <w:rFonts w:ascii="Arial" w:hAnsi="Arial" w:cs="Arial"/>
          <w:b/>
          <w:bCs/>
          <w:sz w:val="22"/>
          <w:szCs w:val="22"/>
          <w:lang w:eastAsia="zh-CN"/>
        </w:rPr>
      </w:pPr>
      <w:r w:rsidRPr="0030358C">
        <w:rPr>
          <w:rFonts w:ascii="Arial" w:hAnsi="Arial" w:cs="Arial"/>
          <w:b/>
          <w:bCs/>
          <w:sz w:val="22"/>
          <w:szCs w:val="22"/>
          <w:lang w:eastAsia="zh-CN"/>
        </w:rPr>
        <w:t>3.1.4. Peletizační provozy (drcení, sušení, peletizace) (kód 4.1.4. přílohy č. 2 k zákonu)</w:t>
      </w:r>
    </w:p>
    <w:tbl>
      <w:tblPr>
        <w:tblW w:w="9600" w:type="dxa"/>
        <w:tblInd w:w="-15" w:type="dxa"/>
        <w:tblLayout w:type="fixed"/>
        <w:tblLook w:val="0000" w:firstRow="0" w:lastRow="0" w:firstColumn="0" w:lastColumn="0" w:noHBand="0" w:noVBand="0"/>
      </w:tblPr>
      <w:tblGrid>
        <w:gridCol w:w="1881"/>
        <w:gridCol w:w="1881"/>
        <w:gridCol w:w="1752"/>
        <w:gridCol w:w="1753"/>
        <w:gridCol w:w="2333"/>
      </w:tblGrid>
      <w:tr w:rsidR="00E40657" w14:paraId="32A28F87" w14:textId="77777777" w:rsidTr="00732453">
        <w:trPr>
          <w:cantSplit/>
          <w:trHeight w:hRule="exact" w:val="340"/>
        </w:trPr>
        <w:tc>
          <w:tcPr>
            <w:tcW w:w="7267" w:type="dxa"/>
            <w:gridSpan w:val="4"/>
            <w:tcBorders>
              <w:top w:val="single" w:sz="4" w:space="0" w:color="000000"/>
              <w:left w:val="single" w:sz="4" w:space="0" w:color="000000"/>
              <w:bottom w:val="single" w:sz="4" w:space="0" w:color="000000"/>
            </w:tcBorders>
            <w:shd w:val="clear" w:color="auto" w:fill="auto"/>
            <w:vAlign w:val="center"/>
          </w:tcPr>
          <w:p w14:paraId="4D4689D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23488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76F484AE" w14:textId="77777777" w:rsidTr="00732453">
        <w:trPr>
          <w:cantSplit/>
          <w:trHeight w:hRule="exact" w:val="588"/>
        </w:trPr>
        <w:tc>
          <w:tcPr>
            <w:tcW w:w="1881" w:type="dxa"/>
            <w:tcBorders>
              <w:left w:val="single" w:sz="4" w:space="0" w:color="000000"/>
              <w:bottom w:val="single" w:sz="4" w:space="0" w:color="000000"/>
            </w:tcBorders>
            <w:shd w:val="clear" w:color="auto" w:fill="auto"/>
            <w:vAlign w:val="center"/>
          </w:tcPr>
          <w:p w14:paraId="21690D2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881" w:type="dxa"/>
            <w:tcBorders>
              <w:left w:val="single" w:sz="4" w:space="0" w:color="000000"/>
              <w:bottom w:val="single" w:sz="4" w:space="0" w:color="000000"/>
            </w:tcBorders>
            <w:shd w:val="clear" w:color="auto" w:fill="auto"/>
            <w:vAlign w:val="center"/>
          </w:tcPr>
          <w:p w14:paraId="562971B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752" w:type="dxa"/>
            <w:tcBorders>
              <w:left w:val="single" w:sz="4" w:space="0" w:color="000000"/>
              <w:bottom w:val="single" w:sz="4" w:space="0" w:color="000000"/>
            </w:tcBorders>
            <w:shd w:val="clear" w:color="auto" w:fill="auto"/>
            <w:vAlign w:val="center"/>
          </w:tcPr>
          <w:p w14:paraId="0EFC8BA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HF</w:t>
            </w:r>
          </w:p>
        </w:tc>
        <w:tc>
          <w:tcPr>
            <w:tcW w:w="1753" w:type="dxa"/>
            <w:tcBorders>
              <w:left w:val="single" w:sz="4" w:space="0" w:color="000000"/>
              <w:bottom w:val="single" w:sz="4" w:space="0" w:color="000000"/>
            </w:tcBorders>
            <w:shd w:val="clear" w:color="auto" w:fill="auto"/>
            <w:vAlign w:val="center"/>
          </w:tcPr>
          <w:p w14:paraId="0986E136" w14:textId="77777777" w:rsidR="008F52C8" w:rsidRPr="0030358C" w:rsidRDefault="00000000" w:rsidP="00732453">
            <w:pPr>
              <w:keepNext/>
              <w:tabs>
                <w:tab w:val="left" w:pos="0"/>
              </w:tabs>
              <w:snapToGrid w:val="0"/>
              <w:jc w:val="center"/>
              <w:rPr>
                <w:rFonts w:ascii="Arial" w:hAnsi="Arial" w:cs="Arial"/>
                <w:b/>
                <w:bCs/>
                <w:sz w:val="22"/>
                <w:szCs w:val="22"/>
                <w:lang w:eastAsia="zh-CN"/>
              </w:rPr>
            </w:pPr>
            <w:r w:rsidRPr="0030358C">
              <w:rPr>
                <w:rFonts w:ascii="Arial" w:hAnsi="Arial" w:cs="Arial"/>
                <w:b/>
                <w:bCs/>
                <w:sz w:val="22"/>
                <w:szCs w:val="22"/>
                <w:lang w:eastAsia="zh-CN"/>
              </w:rPr>
              <w:t>HCl</w:t>
            </w:r>
          </w:p>
        </w:tc>
        <w:tc>
          <w:tcPr>
            <w:tcW w:w="2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7A900A" w14:textId="77777777" w:rsidR="008F52C8" w:rsidRPr="0030358C" w:rsidRDefault="008F52C8" w:rsidP="00732453">
            <w:pPr>
              <w:snapToGrid w:val="0"/>
              <w:rPr>
                <w:rFonts w:ascii="Arial" w:hAnsi="Arial" w:cs="Arial"/>
                <w:b/>
                <w:bCs/>
                <w:sz w:val="22"/>
                <w:szCs w:val="22"/>
                <w:lang w:eastAsia="zh-CN"/>
              </w:rPr>
            </w:pPr>
          </w:p>
        </w:tc>
      </w:tr>
      <w:tr w:rsidR="00E40657" w14:paraId="2A45D9A4" w14:textId="77777777" w:rsidTr="00732453">
        <w:trPr>
          <w:cantSplit/>
          <w:trHeight w:hRule="exact" w:val="588"/>
        </w:trPr>
        <w:tc>
          <w:tcPr>
            <w:tcW w:w="9600" w:type="dxa"/>
            <w:gridSpan w:val="5"/>
            <w:tcBorders>
              <w:left w:val="single" w:sz="4" w:space="0" w:color="000000"/>
              <w:bottom w:val="single" w:sz="4" w:space="0" w:color="000000"/>
              <w:right w:val="single" w:sz="4" w:space="0" w:color="000000"/>
            </w:tcBorders>
            <w:shd w:val="clear" w:color="auto" w:fill="auto"/>
            <w:vAlign w:val="center"/>
          </w:tcPr>
          <w:p w14:paraId="1D92F821"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Drcení, sušení</w:t>
            </w:r>
          </w:p>
        </w:tc>
      </w:tr>
      <w:tr w:rsidR="00E40657" w14:paraId="60A677C1" w14:textId="77777777" w:rsidTr="00732453">
        <w:trPr>
          <w:cantSplit/>
          <w:trHeight w:hRule="exact" w:val="340"/>
        </w:trPr>
        <w:tc>
          <w:tcPr>
            <w:tcW w:w="1881" w:type="dxa"/>
            <w:tcBorders>
              <w:left w:val="single" w:sz="4" w:space="0" w:color="000000"/>
              <w:bottom w:val="single" w:sz="4" w:space="0" w:color="000000"/>
            </w:tcBorders>
            <w:shd w:val="clear" w:color="auto" w:fill="auto"/>
            <w:vAlign w:val="center"/>
          </w:tcPr>
          <w:p w14:paraId="54BB1F4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881" w:type="dxa"/>
            <w:tcBorders>
              <w:left w:val="single" w:sz="4" w:space="0" w:color="000000"/>
              <w:bottom w:val="single" w:sz="4" w:space="0" w:color="000000"/>
            </w:tcBorders>
            <w:shd w:val="clear" w:color="auto" w:fill="auto"/>
            <w:vAlign w:val="center"/>
          </w:tcPr>
          <w:p w14:paraId="29ABB13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752" w:type="dxa"/>
            <w:tcBorders>
              <w:left w:val="single" w:sz="4" w:space="0" w:color="000000"/>
              <w:bottom w:val="single" w:sz="4" w:space="0" w:color="000000"/>
            </w:tcBorders>
            <w:shd w:val="clear" w:color="auto" w:fill="auto"/>
            <w:vAlign w:val="center"/>
          </w:tcPr>
          <w:p w14:paraId="3AB9B32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p w14:paraId="011B309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753" w:type="dxa"/>
            <w:tcBorders>
              <w:left w:val="single" w:sz="4" w:space="0" w:color="000000"/>
              <w:bottom w:val="single" w:sz="4" w:space="0" w:color="000000"/>
            </w:tcBorders>
            <w:shd w:val="clear" w:color="auto" w:fill="auto"/>
            <w:vAlign w:val="center"/>
          </w:tcPr>
          <w:p w14:paraId="0B2404F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333" w:type="dxa"/>
            <w:tcBorders>
              <w:left w:val="single" w:sz="4" w:space="0" w:color="000000"/>
              <w:bottom w:val="single" w:sz="4" w:space="0" w:color="000000"/>
              <w:right w:val="single" w:sz="4" w:space="0" w:color="000000"/>
            </w:tcBorders>
            <w:shd w:val="clear" w:color="auto" w:fill="auto"/>
            <w:vAlign w:val="center"/>
          </w:tcPr>
          <w:p w14:paraId="7FE072F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4115C0B0" w14:textId="77777777" w:rsidTr="00732453">
        <w:trPr>
          <w:cantSplit/>
          <w:trHeight w:hRule="exact" w:val="340"/>
        </w:trPr>
        <w:tc>
          <w:tcPr>
            <w:tcW w:w="9600" w:type="dxa"/>
            <w:gridSpan w:val="5"/>
            <w:tcBorders>
              <w:left w:val="single" w:sz="4" w:space="0" w:color="000000"/>
              <w:bottom w:val="single" w:sz="4" w:space="0" w:color="000000"/>
              <w:right w:val="single" w:sz="4" w:space="0" w:color="000000"/>
            </w:tcBorders>
            <w:shd w:val="clear" w:color="auto" w:fill="auto"/>
            <w:vAlign w:val="center"/>
          </w:tcPr>
          <w:p w14:paraId="6D4D146E"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Vytvrzovací pás</w:t>
            </w:r>
          </w:p>
        </w:tc>
      </w:tr>
      <w:tr w:rsidR="00E40657" w14:paraId="75DD53A5" w14:textId="77777777" w:rsidTr="00732453">
        <w:trPr>
          <w:cantSplit/>
          <w:trHeight w:hRule="exact" w:val="340"/>
        </w:trPr>
        <w:tc>
          <w:tcPr>
            <w:tcW w:w="1881" w:type="dxa"/>
            <w:tcBorders>
              <w:left w:val="single" w:sz="4" w:space="0" w:color="000000"/>
              <w:bottom w:val="single" w:sz="4" w:space="0" w:color="000000"/>
            </w:tcBorders>
            <w:shd w:val="clear" w:color="auto" w:fill="auto"/>
            <w:vAlign w:val="center"/>
          </w:tcPr>
          <w:p w14:paraId="7A8DFC2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15</w:t>
            </w:r>
          </w:p>
        </w:tc>
        <w:tc>
          <w:tcPr>
            <w:tcW w:w="1881" w:type="dxa"/>
            <w:tcBorders>
              <w:left w:val="single" w:sz="4" w:space="0" w:color="000000"/>
              <w:bottom w:val="single" w:sz="4" w:space="0" w:color="000000"/>
            </w:tcBorders>
            <w:shd w:val="clear" w:color="auto" w:fill="auto"/>
            <w:vAlign w:val="center"/>
          </w:tcPr>
          <w:p w14:paraId="341014D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752" w:type="dxa"/>
            <w:tcBorders>
              <w:left w:val="single" w:sz="4" w:space="0" w:color="000000"/>
              <w:bottom w:val="single" w:sz="4" w:space="0" w:color="000000"/>
            </w:tcBorders>
            <w:shd w:val="clear" w:color="auto" w:fill="auto"/>
            <w:vAlign w:val="center"/>
          </w:tcPr>
          <w:p w14:paraId="67FBD1C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w:t>
            </w:r>
          </w:p>
        </w:tc>
        <w:tc>
          <w:tcPr>
            <w:tcW w:w="1753" w:type="dxa"/>
            <w:tcBorders>
              <w:left w:val="single" w:sz="4" w:space="0" w:color="000000"/>
              <w:bottom w:val="single" w:sz="4" w:space="0" w:color="000000"/>
            </w:tcBorders>
            <w:shd w:val="clear" w:color="auto" w:fill="auto"/>
            <w:vAlign w:val="center"/>
          </w:tcPr>
          <w:p w14:paraId="42AB5AB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w:t>
            </w:r>
          </w:p>
        </w:tc>
        <w:tc>
          <w:tcPr>
            <w:tcW w:w="2333" w:type="dxa"/>
            <w:tcBorders>
              <w:left w:val="single" w:sz="4" w:space="0" w:color="000000"/>
              <w:bottom w:val="single" w:sz="4" w:space="0" w:color="000000"/>
              <w:right w:val="single" w:sz="4" w:space="0" w:color="000000"/>
            </w:tcBorders>
            <w:shd w:val="clear" w:color="auto" w:fill="auto"/>
            <w:vAlign w:val="center"/>
          </w:tcPr>
          <w:p w14:paraId="42C40AC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46DED05C"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6CEC3728"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3D0CDC4A" w14:textId="77777777" w:rsidR="008F52C8" w:rsidRPr="0030358C" w:rsidRDefault="00000000" w:rsidP="008F52C8">
      <w:pPr>
        <w:keepNext/>
        <w:numPr>
          <w:ilvl w:val="2"/>
          <w:numId w:val="0"/>
        </w:numPr>
        <w:tabs>
          <w:tab w:val="num" w:pos="0"/>
        </w:tabs>
        <w:spacing w:before="60" w:after="120"/>
        <w:outlineLvl w:val="2"/>
        <w:rPr>
          <w:rFonts w:ascii="Arial" w:hAnsi="Arial" w:cs="Arial"/>
          <w:b/>
          <w:bCs/>
          <w:sz w:val="22"/>
          <w:szCs w:val="22"/>
          <w:lang w:eastAsia="zh-CN"/>
        </w:rPr>
      </w:pPr>
      <w:r w:rsidRPr="0030358C">
        <w:rPr>
          <w:rFonts w:ascii="Arial" w:hAnsi="Arial" w:cs="Arial"/>
          <w:b/>
          <w:bCs/>
          <w:sz w:val="22"/>
          <w:szCs w:val="22"/>
          <w:lang w:eastAsia="zh-CN"/>
        </w:rPr>
        <w:t xml:space="preserve">3.2. Výroba železa </w:t>
      </w:r>
    </w:p>
    <w:tbl>
      <w:tblPr>
        <w:tblW w:w="9600" w:type="dxa"/>
        <w:tblInd w:w="-15" w:type="dxa"/>
        <w:tblLayout w:type="fixed"/>
        <w:tblLook w:val="0000" w:firstRow="0" w:lastRow="0" w:firstColumn="0" w:lastColumn="0" w:noHBand="0" w:noVBand="0"/>
      </w:tblPr>
      <w:tblGrid>
        <w:gridCol w:w="1682"/>
        <w:gridCol w:w="8"/>
        <w:gridCol w:w="1694"/>
        <w:gridCol w:w="1694"/>
        <w:gridCol w:w="7"/>
        <w:gridCol w:w="1689"/>
        <w:gridCol w:w="12"/>
        <w:gridCol w:w="1214"/>
        <w:gridCol w:w="10"/>
        <w:gridCol w:w="1590"/>
      </w:tblGrid>
      <w:tr w:rsidR="00E40657" w14:paraId="4BD2308F" w14:textId="77777777" w:rsidTr="00732453">
        <w:trPr>
          <w:cantSplit/>
          <w:trHeight w:hRule="exact" w:val="340"/>
        </w:trPr>
        <w:tc>
          <w:tcPr>
            <w:tcW w:w="6774" w:type="dxa"/>
            <w:gridSpan w:val="6"/>
            <w:tcBorders>
              <w:top w:val="single" w:sz="4" w:space="0" w:color="000000"/>
              <w:left w:val="single" w:sz="4" w:space="0" w:color="000000"/>
              <w:bottom w:val="single" w:sz="4" w:space="0" w:color="000000"/>
            </w:tcBorders>
            <w:shd w:val="clear" w:color="auto" w:fill="auto"/>
            <w:vAlign w:val="center"/>
          </w:tcPr>
          <w:p w14:paraId="316BC5F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236" w:type="dxa"/>
            <w:gridSpan w:val="3"/>
            <w:vMerge w:val="restart"/>
            <w:tcBorders>
              <w:top w:val="single" w:sz="4" w:space="0" w:color="000000"/>
              <w:left w:val="single" w:sz="4" w:space="0" w:color="000000"/>
              <w:bottom w:val="single" w:sz="4" w:space="0" w:color="000000"/>
            </w:tcBorders>
            <w:shd w:val="clear" w:color="auto" w:fill="auto"/>
            <w:vAlign w:val="center"/>
          </w:tcPr>
          <w:p w14:paraId="0E959E33"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2R</w:t>
            </w:r>
          </w:p>
          <w:p w14:paraId="1CE2B05E" w14:textId="77777777" w:rsidR="008F52C8" w:rsidRPr="0030358C" w:rsidRDefault="00000000" w:rsidP="00732453">
            <w:pPr>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94D59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F2D54B7" w14:textId="77777777" w:rsidTr="00732453">
        <w:trPr>
          <w:cantSplit/>
          <w:trHeight w:hRule="exact" w:val="588"/>
        </w:trPr>
        <w:tc>
          <w:tcPr>
            <w:tcW w:w="1690" w:type="dxa"/>
            <w:gridSpan w:val="2"/>
            <w:tcBorders>
              <w:top w:val="single" w:sz="4" w:space="0" w:color="000000"/>
              <w:left w:val="single" w:sz="4" w:space="0" w:color="000000"/>
              <w:bottom w:val="single" w:sz="4" w:space="0" w:color="000000"/>
            </w:tcBorders>
            <w:shd w:val="clear" w:color="auto" w:fill="auto"/>
            <w:vAlign w:val="center"/>
          </w:tcPr>
          <w:p w14:paraId="599DB4B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694" w:type="dxa"/>
            <w:tcBorders>
              <w:top w:val="single" w:sz="4" w:space="0" w:color="000000"/>
              <w:left w:val="single" w:sz="4" w:space="0" w:color="000000"/>
              <w:bottom w:val="single" w:sz="4" w:space="0" w:color="000000"/>
            </w:tcBorders>
            <w:shd w:val="clear" w:color="auto" w:fill="auto"/>
            <w:vAlign w:val="center"/>
          </w:tcPr>
          <w:p w14:paraId="122AB75C"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694" w:type="dxa"/>
            <w:tcBorders>
              <w:top w:val="single" w:sz="4" w:space="0" w:color="000000"/>
              <w:left w:val="single" w:sz="4" w:space="0" w:color="000000"/>
              <w:bottom w:val="single" w:sz="4" w:space="0" w:color="000000"/>
            </w:tcBorders>
            <w:shd w:val="clear" w:color="auto" w:fill="auto"/>
            <w:vAlign w:val="center"/>
          </w:tcPr>
          <w:p w14:paraId="0BC906F6"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696" w:type="dxa"/>
            <w:gridSpan w:val="2"/>
            <w:tcBorders>
              <w:top w:val="single" w:sz="4" w:space="0" w:color="000000"/>
              <w:left w:val="single" w:sz="4" w:space="0" w:color="000000"/>
              <w:bottom w:val="single" w:sz="4" w:space="0" w:color="000000"/>
            </w:tcBorders>
            <w:shd w:val="clear" w:color="auto" w:fill="auto"/>
            <w:vAlign w:val="center"/>
          </w:tcPr>
          <w:p w14:paraId="3A1CCA3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236" w:type="dxa"/>
            <w:gridSpan w:val="3"/>
            <w:vMerge/>
            <w:tcBorders>
              <w:top w:val="single" w:sz="4" w:space="0" w:color="000000"/>
              <w:left w:val="single" w:sz="4" w:space="0" w:color="000000"/>
              <w:bottom w:val="single" w:sz="4" w:space="0" w:color="000000"/>
            </w:tcBorders>
            <w:shd w:val="clear" w:color="auto" w:fill="auto"/>
            <w:vAlign w:val="center"/>
          </w:tcPr>
          <w:p w14:paraId="7D87227B" w14:textId="77777777" w:rsidR="008F52C8" w:rsidRPr="0030358C" w:rsidRDefault="008F52C8" w:rsidP="00732453">
            <w:pPr>
              <w:snapToGrid w:val="0"/>
              <w:rPr>
                <w:rFonts w:ascii="Arial" w:hAnsi="Arial" w:cs="Arial"/>
                <w:b/>
                <w:bCs/>
                <w:sz w:val="22"/>
                <w:szCs w:val="22"/>
                <w:lang w:eastAsia="zh-CN"/>
              </w:rPr>
            </w:pPr>
          </w:p>
        </w:tc>
        <w:tc>
          <w:tcPr>
            <w:tcW w:w="1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42BBD9" w14:textId="77777777" w:rsidR="008F52C8" w:rsidRPr="0030358C" w:rsidRDefault="008F52C8" w:rsidP="00732453">
            <w:pPr>
              <w:snapToGrid w:val="0"/>
              <w:rPr>
                <w:rFonts w:ascii="Arial" w:hAnsi="Arial" w:cs="Arial"/>
                <w:b/>
                <w:bCs/>
                <w:sz w:val="22"/>
                <w:szCs w:val="22"/>
                <w:lang w:eastAsia="zh-CN"/>
              </w:rPr>
            </w:pPr>
          </w:p>
        </w:tc>
      </w:tr>
      <w:tr w:rsidR="00E40657" w14:paraId="3FED66A5" w14:textId="77777777" w:rsidTr="00732453">
        <w:trPr>
          <w:cantSplit/>
          <w:trHeight w:hRule="exact" w:val="340"/>
        </w:trPr>
        <w:tc>
          <w:tcPr>
            <w:tcW w:w="9600" w:type="dxa"/>
            <w:gridSpan w:val="10"/>
            <w:tcBorders>
              <w:left w:val="single" w:sz="4" w:space="0" w:color="000000"/>
              <w:bottom w:val="single" w:sz="4" w:space="0" w:color="000000"/>
              <w:right w:val="single" w:sz="4" w:space="0" w:color="000000"/>
            </w:tcBorders>
            <w:shd w:val="clear" w:color="auto" w:fill="auto"/>
            <w:vAlign w:val="center"/>
          </w:tcPr>
          <w:p w14:paraId="1917C501"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 xml:space="preserve">3.2.1. Doprava a manipulace s vysokopecní vsázkou (kód 4.2.1. přílohy č. 2  k zákonu) </w:t>
            </w:r>
          </w:p>
        </w:tc>
      </w:tr>
      <w:tr w:rsidR="00E40657" w14:paraId="39BAE03D" w14:textId="77777777" w:rsidTr="00732453">
        <w:trPr>
          <w:cantSplit/>
          <w:trHeight w:hRule="exact" w:val="696"/>
        </w:trPr>
        <w:tc>
          <w:tcPr>
            <w:tcW w:w="1690" w:type="dxa"/>
            <w:gridSpan w:val="2"/>
            <w:tcBorders>
              <w:left w:val="single" w:sz="4" w:space="0" w:color="000000"/>
              <w:bottom w:val="single" w:sz="4" w:space="0" w:color="000000"/>
            </w:tcBorders>
            <w:shd w:val="clear" w:color="auto" w:fill="auto"/>
            <w:vAlign w:val="center"/>
          </w:tcPr>
          <w:p w14:paraId="1187930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694" w:type="dxa"/>
            <w:tcBorders>
              <w:left w:val="single" w:sz="4" w:space="0" w:color="000000"/>
              <w:bottom w:val="single" w:sz="4" w:space="0" w:color="000000"/>
            </w:tcBorders>
            <w:shd w:val="clear" w:color="auto" w:fill="auto"/>
            <w:vAlign w:val="center"/>
          </w:tcPr>
          <w:p w14:paraId="192000C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694" w:type="dxa"/>
            <w:tcBorders>
              <w:left w:val="single" w:sz="4" w:space="0" w:color="000000"/>
              <w:bottom w:val="single" w:sz="4" w:space="0" w:color="000000"/>
            </w:tcBorders>
            <w:shd w:val="clear" w:color="auto" w:fill="auto"/>
            <w:vAlign w:val="center"/>
          </w:tcPr>
          <w:p w14:paraId="7BCBBE7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696" w:type="dxa"/>
            <w:gridSpan w:val="2"/>
            <w:tcBorders>
              <w:left w:val="single" w:sz="4" w:space="0" w:color="000000"/>
              <w:bottom w:val="single" w:sz="4" w:space="0" w:color="000000"/>
            </w:tcBorders>
            <w:shd w:val="clear" w:color="auto" w:fill="auto"/>
            <w:vAlign w:val="center"/>
          </w:tcPr>
          <w:p w14:paraId="5255EC9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236" w:type="dxa"/>
            <w:gridSpan w:val="3"/>
            <w:tcBorders>
              <w:left w:val="single" w:sz="4" w:space="0" w:color="000000"/>
              <w:bottom w:val="single" w:sz="4" w:space="0" w:color="000000"/>
            </w:tcBorders>
            <w:shd w:val="clear" w:color="auto" w:fill="auto"/>
            <w:vAlign w:val="center"/>
          </w:tcPr>
          <w:p w14:paraId="45611F5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90" w:type="dxa"/>
            <w:tcBorders>
              <w:left w:val="single" w:sz="4" w:space="0" w:color="000000"/>
              <w:bottom w:val="single" w:sz="4" w:space="0" w:color="000000"/>
              <w:right w:val="single" w:sz="4" w:space="0" w:color="000000"/>
            </w:tcBorders>
            <w:shd w:val="clear" w:color="auto" w:fill="auto"/>
            <w:vAlign w:val="center"/>
          </w:tcPr>
          <w:p w14:paraId="39FCFE7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22844468" w14:textId="77777777" w:rsidTr="00732453">
        <w:trPr>
          <w:cantSplit/>
          <w:trHeight w:hRule="exact" w:val="340"/>
        </w:trPr>
        <w:tc>
          <w:tcPr>
            <w:tcW w:w="9600" w:type="dxa"/>
            <w:gridSpan w:val="10"/>
            <w:tcBorders>
              <w:left w:val="single" w:sz="4" w:space="0" w:color="000000"/>
              <w:bottom w:val="single" w:sz="4" w:space="0" w:color="000000"/>
              <w:right w:val="single" w:sz="4" w:space="0" w:color="000000"/>
            </w:tcBorders>
            <w:shd w:val="clear" w:color="auto" w:fill="auto"/>
            <w:vAlign w:val="center"/>
          </w:tcPr>
          <w:p w14:paraId="5139692A"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3.2.2. Odlévání</w:t>
            </w:r>
            <w:r w:rsidRPr="0030358C">
              <w:rPr>
                <w:rFonts w:ascii="Arial" w:hAnsi="Arial" w:cs="Arial"/>
                <w:b/>
                <w:bCs/>
                <w:sz w:val="22"/>
                <w:szCs w:val="22"/>
                <w:vertAlign w:val="superscript"/>
                <w:lang w:eastAsia="zh-CN"/>
              </w:rPr>
              <w:t xml:space="preserve"> </w:t>
            </w:r>
            <w:r w:rsidRPr="0030358C">
              <w:rPr>
                <w:rFonts w:ascii="Arial" w:hAnsi="Arial" w:cs="Arial"/>
                <w:b/>
                <w:bCs/>
                <w:sz w:val="22"/>
                <w:szCs w:val="22"/>
                <w:lang w:eastAsia="zh-CN"/>
              </w:rPr>
              <w:t>(vysoká pec) (kód 4.2.2. přílohy č. 2 k zákonu)</w:t>
            </w:r>
          </w:p>
        </w:tc>
      </w:tr>
      <w:tr w:rsidR="00E40657" w14:paraId="4680A24D" w14:textId="77777777" w:rsidTr="00732453">
        <w:trPr>
          <w:cantSplit/>
          <w:trHeight w:hRule="exact" w:val="340"/>
        </w:trPr>
        <w:tc>
          <w:tcPr>
            <w:tcW w:w="1690" w:type="dxa"/>
            <w:gridSpan w:val="2"/>
            <w:tcBorders>
              <w:left w:val="single" w:sz="4" w:space="0" w:color="000000"/>
              <w:bottom w:val="single" w:sz="4" w:space="0" w:color="000000"/>
            </w:tcBorders>
            <w:shd w:val="clear" w:color="auto" w:fill="auto"/>
            <w:vAlign w:val="center"/>
          </w:tcPr>
          <w:p w14:paraId="4740FC9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15</w:t>
            </w:r>
          </w:p>
        </w:tc>
        <w:tc>
          <w:tcPr>
            <w:tcW w:w="1694" w:type="dxa"/>
            <w:tcBorders>
              <w:left w:val="single" w:sz="4" w:space="0" w:color="000000"/>
              <w:bottom w:val="single" w:sz="4" w:space="0" w:color="000000"/>
            </w:tcBorders>
            <w:shd w:val="clear" w:color="auto" w:fill="auto"/>
            <w:vAlign w:val="center"/>
          </w:tcPr>
          <w:p w14:paraId="2326BFD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694" w:type="dxa"/>
            <w:tcBorders>
              <w:left w:val="single" w:sz="4" w:space="0" w:color="000000"/>
              <w:bottom w:val="single" w:sz="4" w:space="0" w:color="000000"/>
            </w:tcBorders>
            <w:shd w:val="clear" w:color="auto" w:fill="auto"/>
            <w:vAlign w:val="center"/>
          </w:tcPr>
          <w:p w14:paraId="209966A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696" w:type="dxa"/>
            <w:gridSpan w:val="2"/>
            <w:tcBorders>
              <w:left w:val="single" w:sz="4" w:space="0" w:color="000000"/>
              <w:bottom w:val="single" w:sz="4" w:space="0" w:color="000000"/>
            </w:tcBorders>
            <w:shd w:val="clear" w:color="auto" w:fill="auto"/>
            <w:vAlign w:val="center"/>
          </w:tcPr>
          <w:p w14:paraId="3804EC1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236" w:type="dxa"/>
            <w:gridSpan w:val="3"/>
            <w:tcBorders>
              <w:left w:val="single" w:sz="4" w:space="0" w:color="000000"/>
              <w:bottom w:val="single" w:sz="4" w:space="0" w:color="000000"/>
            </w:tcBorders>
            <w:shd w:val="clear" w:color="auto" w:fill="auto"/>
            <w:vAlign w:val="center"/>
          </w:tcPr>
          <w:p w14:paraId="2FE10D4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90" w:type="dxa"/>
            <w:tcBorders>
              <w:left w:val="single" w:sz="4" w:space="0" w:color="000000"/>
              <w:bottom w:val="single" w:sz="4" w:space="0" w:color="000000"/>
              <w:right w:val="single" w:sz="4" w:space="0" w:color="000000"/>
            </w:tcBorders>
            <w:shd w:val="clear" w:color="auto" w:fill="auto"/>
            <w:vAlign w:val="center"/>
          </w:tcPr>
          <w:p w14:paraId="67C688F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4247A6C0" w14:textId="77777777" w:rsidTr="00732453">
        <w:trPr>
          <w:cantSplit/>
          <w:trHeight w:hRule="exact" w:val="340"/>
        </w:trPr>
        <w:tc>
          <w:tcPr>
            <w:tcW w:w="9600" w:type="dxa"/>
            <w:gridSpan w:val="10"/>
            <w:tcBorders>
              <w:left w:val="single" w:sz="4" w:space="0" w:color="000000"/>
              <w:bottom w:val="single" w:sz="4" w:space="0" w:color="auto"/>
              <w:right w:val="single" w:sz="4" w:space="0" w:color="000000"/>
            </w:tcBorders>
            <w:shd w:val="clear" w:color="auto" w:fill="auto"/>
            <w:vAlign w:val="center"/>
          </w:tcPr>
          <w:p w14:paraId="4FDF3D83"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3.2.3. Ohřívače větru (kód 4.2.3. přílohy č. 2 k zákonu)</w:t>
            </w:r>
          </w:p>
        </w:tc>
      </w:tr>
      <w:tr w:rsidR="00E40657" w14:paraId="54C69CFD" w14:textId="77777777" w:rsidTr="00732453">
        <w:trPr>
          <w:cantSplit/>
          <w:trHeight w:hRule="exact" w:val="34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51D4FD9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2AFD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1180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33E30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5000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B98F0C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w:t>
            </w: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B25D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62817C7C" w14:textId="77777777" w:rsidR="008F52C8" w:rsidRPr="0030358C" w:rsidRDefault="008F52C8" w:rsidP="008F52C8">
      <w:pPr>
        <w:tabs>
          <w:tab w:val="left" w:pos="284"/>
        </w:tabs>
        <w:spacing w:before="60"/>
        <w:rPr>
          <w:rFonts w:ascii="Arial" w:hAnsi="Arial" w:cs="Arial"/>
          <w:b/>
          <w:bCs/>
          <w:sz w:val="22"/>
          <w:szCs w:val="22"/>
          <w:lang w:eastAsia="zh-CN"/>
        </w:rPr>
      </w:pPr>
    </w:p>
    <w:p w14:paraId="1C919470" w14:textId="77777777" w:rsidR="008F52C8" w:rsidRPr="0030358C" w:rsidRDefault="00000000" w:rsidP="008F52C8">
      <w:pPr>
        <w:keepNext/>
        <w:numPr>
          <w:ilvl w:val="2"/>
          <w:numId w:val="0"/>
        </w:numPr>
        <w:tabs>
          <w:tab w:val="num" w:pos="0"/>
        </w:tabs>
        <w:spacing w:before="120"/>
        <w:outlineLvl w:val="2"/>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17F85C0A" w14:textId="77777777" w:rsidR="008F52C8" w:rsidRPr="0030358C" w:rsidRDefault="00000000" w:rsidP="008F52C8">
      <w:pPr>
        <w:spacing w:before="60" w:line="240" w:lineRule="atLeast"/>
        <w:jc w:val="both"/>
        <w:rPr>
          <w:rFonts w:ascii="Arial" w:hAnsi="Arial" w:cs="Arial"/>
          <w:b/>
          <w:bCs/>
          <w:sz w:val="22"/>
          <w:szCs w:val="22"/>
          <w:lang w:eastAsia="zh-CN"/>
        </w:rPr>
      </w:pPr>
      <w:r w:rsidRPr="0030358C">
        <w:rPr>
          <w:rFonts w:ascii="Arial" w:hAnsi="Arial" w:cs="Arial"/>
          <w:b/>
          <w:bCs/>
          <w:sz w:val="22"/>
          <w:szCs w:val="22"/>
          <w:lang w:eastAsia="zh-CN"/>
        </w:rPr>
        <w:t>Vysokopecní plyn je třeba jímat, odprašovat a dále jej využívat; koncentrace zbytkového prachu ve vyčištěném vysokopecním plynu nesmí přesahovat 10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v suchém plynu za normálních podmínek.</w:t>
      </w:r>
    </w:p>
    <w:p w14:paraId="2DEFACD2"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5EC5CF2D"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3.3. Výroba oceli</w:t>
      </w:r>
    </w:p>
    <w:p w14:paraId="65A9D7D9"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3.3.1. Doprava a manipulace se vsázkou nebo produktem (kód 4.3.1. přílohy č. 2 k zákonu)</w:t>
      </w:r>
    </w:p>
    <w:tbl>
      <w:tblPr>
        <w:tblW w:w="96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7"/>
        <w:gridCol w:w="4013"/>
      </w:tblGrid>
      <w:tr w:rsidR="00E40657" w14:paraId="5F2CA5CE" w14:textId="77777777" w:rsidTr="00732453">
        <w:trPr>
          <w:cantSplit/>
          <w:trHeight w:hRule="exact" w:val="484"/>
        </w:trPr>
        <w:tc>
          <w:tcPr>
            <w:tcW w:w="5587" w:type="dxa"/>
            <w:shd w:val="clear" w:color="auto" w:fill="auto"/>
            <w:vAlign w:val="center"/>
          </w:tcPr>
          <w:p w14:paraId="3FCA8C4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013" w:type="dxa"/>
            <w:vMerge w:val="restart"/>
            <w:shd w:val="clear" w:color="auto" w:fill="auto"/>
            <w:vAlign w:val="center"/>
          </w:tcPr>
          <w:p w14:paraId="58736D1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1F21BA0A" w14:textId="77777777" w:rsidTr="00732453">
        <w:trPr>
          <w:cantSplit/>
          <w:trHeight w:hRule="exact" w:val="484"/>
        </w:trPr>
        <w:tc>
          <w:tcPr>
            <w:tcW w:w="5587" w:type="dxa"/>
            <w:shd w:val="clear" w:color="auto" w:fill="auto"/>
            <w:vAlign w:val="center"/>
          </w:tcPr>
          <w:p w14:paraId="4EE1AE3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013" w:type="dxa"/>
            <w:vMerge/>
            <w:shd w:val="clear" w:color="auto" w:fill="auto"/>
            <w:vAlign w:val="center"/>
          </w:tcPr>
          <w:p w14:paraId="42E67BA1" w14:textId="77777777" w:rsidR="008F52C8" w:rsidRPr="0030358C" w:rsidRDefault="008F52C8" w:rsidP="00732453">
            <w:pPr>
              <w:snapToGrid w:val="0"/>
              <w:jc w:val="center"/>
              <w:rPr>
                <w:rFonts w:ascii="Arial" w:hAnsi="Arial" w:cs="Arial"/>
                <w:b/>
                <w:bCs/>
                <w:sz w:val="22"/>
                <w:szCs w:val="22"/>
                <w:lang w:eastAsia="zh-CN"/>
              </w:rPr>
            </w:pPr>
          </w:p>
        </w:tc>
      </w:tr>
      <w:tr w:rsidR="00E40657" w14:paraId="108BF391" w14:textId="77777777" w:rsidTr="00732453">
        <w:trPr>
          <w:cantSplit/>
          <w:trHeight w:hRule="exact" w:val="579"/>
        </w:trPr>
        <w:tc>
          <w:tcPr>
            <w:tcW w:w="5587" w:type="dxa"/>
            <w:shd w:val="clear" w:color="auto" w:fill="auto"/>
            <w:vAlign w:val="center"/>
          </w:tcPr>
          <w:p w14:paraId="6BEAD058"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1)</w:t>
            </w:r>
          </w:p>
        </w:tc>
        <w:tc>
          <w:tcPr>
            <w:tcW w:w="4013" w:type="dxa"/>
            <w:shd w:val="clear" w:color="auto" w:fill="auto"/>
            <w:vAlign w:val="center"/>
          </w:tcPr>
          <w:p w14:paraId="2A47C172" w14:textId="77777777" w:rsidR="008F52C8" w:rsidRPr="0030358C" w:rsidRDefault="008F52C8" w:rsidP="00732453">
            <w:pPr>
              <w:snapToGrid w:val="0"/>
              <w:jc w:val="center"/>
              <w:rPr>
                <w:rFonts w:ascii="Arial" w:hAnsi="Arial" w:cs="Arial"/>
                <w:b/>
                <w:bCs/>
                <w:sz w:val="22"/>
                <w:szCs w:val="22"/>
                <w:lang w:eastAsia="zh-CN"/>
              </w:rPr>
            </w:pPr>
          </w:p>
          <w:p w14:paraId="1DD5077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640BAFE8"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2F6833E5" w14:textId="77777777" w:rsidR="008F52C8" w:rsidRPr="0030358C" w:rsidRDefault="00000000" w:rsidP="000032A3">
      <w:pPr>
        <w:suppressAutoHyphens/>
        <w:spacing w:before="60"/>
        <w:rPr>
          <w:rFonts w:ascii="Arial" w:hAnsi="Arial" w:cs="Arial"/>
          <w:b/>
          <w:bCs/>
          <w:sz w:val="22"/>
          <w:szCs w:val="22"/>
          <w:lang w:eastAsia="zh-CN"/>
        </w:rPr>
      </w:pPr>
      <w:r w:rsidRPr="0030358C">
        <w:rPr>
          <w:rFonts w:ascii="Arial" w:hAnsi="Arial" w:cs="Arial"/>
          <w:b/>
          <w:bCs/>
          <w:sz w:val="22"/>
          <w:szCs w:val="22"/>
          <w:lang w:eastAsia="zh-CN"/>
        </w:rPr>
        <w:t>1)</w:t>
      </w:r>
      <w:r w:rsidRPr="0030358C">
        <w:rPr>
          <w:rFonts w:ascii="Arial" w:hAnsi="Arial" w:cs="Arial"/>
          <w:b/>
          <w:bCs/>
          <w:sz w:val="22"/>
          <w:szCs w:val="22"/>
          <w:lang w:eastAsia="zh-CN"/>
        </w:rPr>
        <w:tab/>
        <w:t>Platí rovněž pro mletí a třídění strusky</w:t>
      </w:r>
    </w:p>
    <w:p w14:paraId="4B9B9F26" w14:textId="77777777" w:rsidR="008F52C8" w:rsidRPr="0030358C" w:rsidRDefault="00000000" w:rsidP="008F52C8">
      <w:pPr>
        <w:keepNext/>
        <w:numPr>
          <w:ilvl w:val="2"/>
          <w:numId w:val="0"/>
        </w:numPr>
        <w:tabs>
          <w:tab w:val="left" w:pos="0"/>
        </w:tabs>
        <w:spacing w:before="240"/>
        <w:ind w:left="709" w:hanging="720"/>
        <w:outlineLvl w:val="2"/>
        <w:rPr>
          <w:rFonts w:ascii="Arial" w:hAnsi="Arial" w:cs="Arial"/>
          <w:b/>
          <w:bCs/>
          <w:sz w:val="22"/>
          <w:szCs w:val="22"/>
          <w:lang w:eastAsia="zh-CN"/>
        </w:rPr>
      </w:pPr>
      <w:r w:rsidRPr="0030358C">
        <w:rPr>
          <w:rFonts w:ascii="Arial" w:hAnsi="Arial" w:cs="Arial"/>
          <w:b/>
          <w:bCs/>
          <w:sz w:val="22"/>
          <w:szCs w:val="22"/>
          <w:lang w:eastAsia="zh-CN"/>
        </w:rPr>
        <w:lastRenderedPageBreak/>
        <w:t xml:space="preserve">Technická podmínka provozu: </w:t>
      </w:r>
    </w:p>
    <w:p w14:paraId="2C354F2B" w14:textId="77777777" w:rsidR="008F52C8" w:rsidRPr="0030358C" w:rsidRDefault="00000000" w:rsidP="008F52C8">
      <w:pPr>
        <w:keepNext/>
        <w:numPr>
          <w:ilvl w:val="2"/>
          <w:numId w:val="0"/>
        </w:numPr>
        <w:tabs>
          <w:tab w:val="left" w:pos="0"/>
        </w:tabs>
        <w:spacing w:before="240"/>
        <w:ind w:hanging="11"/>
        <w:outlineLvl w:val="2"/>
        <w:rPr>
          <w:rFonts w:ascii="Arial" w:hAnsi="Arial" w:cs="Arial"/>
          <w:b/>
          <w:bCs/>
          <w:sz w:val="22"/>
          <w:szCs w:val="22"/>
          <w:lang w:eastAsia="zh-CN"/>
        </w:rPr>
      </w:pPr>
      <w:r w:rsidRPr="0030358C">
        <w:rPr>
          <w:rFonts w:ascii="Arial" w:hAnsi="Arial" w:cs="Arial"/>
          <w:b/>
          <w:bCs/>
          <w:sz w:val="22"/>
          <w:szCs w:val="22"/>
          <w:lang w:eastAsia="zh-CN"/>
        </w:rPr>
        <w:t xml:space="preserve">Odsávat a odlučovat znečišťující látky při dělení těžkého kovového odpadu řezáním v případech, kdy je to technicky možné. </w:t>
      </w:r>
    </w:p>
    <w:p w14:paraId="142B00B6" w14:textId="77777777" w:rsidR="008F52C8" w:rsidRPr="0030358C" w:rsidRDefault="008F52C8" w:rsidP="008F52C8">
      <w:pPr>
        <w:spacing w:before="60"/>
        <w:rPr>
          <w:rFonts w:ascii="Arial" w:hAnsi="Arial" w:cs="Arial"/>
          <w:b/>
          <w:bCs/>
          <w:sz w:val="22"/>
          <w:szCs w:val="22"/>
          <w:lang w:eastAsia="zh-CN"/>
        </w:rPr>
      </w:pPr>
    </w:p>
    <w:p w14:paraId="50C702A9"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3.3.2. Nístějové pece s intenzifikací kyslíkem (kód 4.3.2. přílohy č. 2 k zákonu)</w:t>
      </w:r>
    </w:p>
    <w:tbl>
      <w:tblPr>
        <w:tblW w:w="9600" w:type="dxa"/>
        <w:tblInd w:w="-15" w:type="dxa"/>
        <w:tblLayout w:type="fixed"/>
        <w:tblLook w:val="0000" w:firstRow="0" w:lastRow="0" w:firstColumn="0" w:lastColumn="0" w:noHBand="0" w:noVBand="0"/>
      </w:tblPr>
      <w:tblGrid>
        <w:gridCol w:w="1864"/>
        <w:gridCol w:w="1899"/>
        <w:gridCol w:w="1899"/>
        <w:gridCol w:w="3938"/>
      </w:tblGrid>
      <w:tr w:rsidR="00E40657" w14:paraId="4468C441" w14:textId="77777777" w:rsidTr="00732453">
        <w:trPr>
          <w:cantSplit/>
          <w:trHeight w:hRule="exact" w:val="340"/>
        </w:trPr>
        <w:tc>
          <w:tcPr>
            <w:tcW w:w="5662" w:type="dxa"/>
            <w:gridSpan w:val="3"/>
            <w:tcBorders>
              <w:top w:val="single" w:sz="4" w:space="0" w:color="000000"/>
              <w:left w:val="single" w:sz="4" w:space="0" w:color="000000"/>
              <w:bottom w:val="single" w:sz="4" w:space="0" w:color="000000"/>
            </w:tcBorders>
            <w:shd w:val="clear" w:color="auto" w:fill="auto"/>
            <w:vAlign w:val="center"/>
          </w:tcPr>
          <w:p w14:paraId="7DBDDE3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03C9F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6A667008" w14:textId="77777777" w:rsidTr="00732453">
        <w:trPr>
          <w:cantSplit/>
          <w:trHeight w:hRule="exact" w:val="589"/>
        </w:trPr>
        <w:tc>
          <w:tcPr>
            <w:tcW w:w="1864" w:type="dxa"/>
            <w:tcBorders>
              <w:left w:val="single" w:sz="4" w:space="0" w:color="000000"/>
              <w:bottom w:val="single" w:sz="4" w:space="0" w:color="000000"/>
            </w:tcBorders>
            <w:shd w:val="clear" w:color="auto" w:fill="auto"/>
            <w:vAlign w:val="center"/>
          </w:tcPr>
          <w:p w14:paraId="023DC74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899" w:type="dxa"/>
            <w:tcBorders>
              <w:left w:val="single" w:sz="4" w:space="0" w:color="000000"/>
              <w:bottom w:val="single" w:sz="4" w:space="0" w:color="000000"/>
            </w:tcBorders>
            <w:shd w:val="clear" w:color="auto" w:fill="auto"/>
            <w:vAlign w:val="center"/>
          </w:tcPr>
          <w:p w14:paraId="1711FA0F"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899" w:type="dxa"/>
            <w:tcBorders>
              <w:left w:val="single" w:sz="4" w:space="0" w:color="000000"/>
              <w:bottom w:val="single" w:sz="4" w:space="0" w:color="000000"/>
            </w:tcBorders>
            <w:shd w:val="clear" w:color="auto" w:fill="auto"/>
            <w:vAlign w:val="center"/>
          </w:tcPr>
          <w:p w14:paraId="27B2C514"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3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3F6084" w14:textId="77777777" w:rsidR="008F52C8" w:rsidRPr="0030358C" w:rsidRDefault="008F52C8" w:rsidP="00732453">
            <w:pPr>
              <w:snapToGrid w:val="0"/>
              <w:rPr>
                <w:rFonts w:ascii="Arial" w:hAnsi="Arial" w:cs="Arial"/>
                <w:b/>
                <w:bCs/>
                <w:sz w:val="22"/>
                <w:szCs w:val="22"/>
                <w:lang w:eastAsia="zh-CN"/>
              </w:rPr>
            </w:pPr>
          </w:p>
        </w:tc>
      </w:tr>
      <w:tr w:rsidR="00E40657" w14:paraId="61E14143" w14:textId="77777777" w:rsidTr="00732453">
        <w:trPr>
          <w:cantSplit/>
          <w:trHeight w:hRule="exact" w:val="707"/>
        </w:trPr>
        <w:tc>
          <w:tcPr>
            <w:tcW w:w="1864" w:type="dxa"/>
            <w:tcBorders>
              <w:left w:val="single" w:sz="4" w:space="0" w:color="000000"/>
              <w:bottom w:val="single" w:sz="4" w:space="0" w:color="000000"/>
            </w:tcBorders>
            <w:shd w:val="clear" w:color="auto" w:fill="auto"/>
            <w:vAlign w:val="center"/>
          </w:tcPr>
          <w:p w14:paraId="76E4D91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899" w:type="dxa"/>
            <w:tcBorders>
              <w:left w:val="single" w:sz="4" w:space="0" w:color="000000"/>
              <w:bottom w:val="single" w:sz="4" w:space="0" w:color="000000"/>
            </w:tcBorders>
            <w:shd w:val="clear" w:color="auto" w:fill="auto"/>
            <w:vAlign w:val="center"/>
          </w:tcPr>
          <w:p w14:paraId="44684C2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899" w:type="dxa"/>
            <w:tcBorders>
              <w:left w:val="single" w:sz="4" w:space="0" w:color="000000"/>
              <w:bottom w:val="single" w:sz="4" w:space="0" w:color="000000"/>
            </w:tcBorders>
            <w:shd w:val="clear" w:color="auto" w:fill="auto"/>
            <w:vAlign w:val="center"/>
          </w:tcPr>
          <w:p w14:paraId="703F1C8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3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8FF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19918035" w14:textId="77777777" w:rsidR="008F52C8" w:rsidRPr="0030358C" w:rsidRDefault="008F52C8" w:rsidP="008F52C8">
      <w:pPr>
        <w:spacing w:before="60"/>
        <w:rPr>
          <w:rFonts w:ascii="Arial" w:hAnsi="Arial" w:cs="Arial"/>
          <w:b/>
          <w:bCs/>
          <w:sz w:val="22"/>
          <w:szCs w:val="22"/>
          <w:lang w:eastAsia="zh-CN"/>
        </w:rPr>
      </w:pPr>
    </w:p>
    <w:p w14:paraId="7DF03510"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3.3.3. Kyslíkové konvertory (kód 4.3.3. přílohy č. 2  k zákonu)</w:t>
      </w:r>
    </w:p>
    <w:tbl>
      <w:tblPr>
        <w:tblW w:w="9600" w:type="dxa"/>
        <w:tblInd w:w="-15" w:type="dxa"/>
        <w:tblLayout w:type="fixed"/>
        <w:tblLook w:val="0000" w:firstRow="0" w:lastRow="0" w:firstColumn="0" w:lastColumn="0" w:noHBand="0" w:noVBand="0"/>
      </w:tblPr>
      <w:tblGrid>
        <w:gridCol w:w="4785"/>
        <w:gridCol w:w="4815"/>
      </w:tblGrid>
      <w:tr w:rsidR="00E40657" w14:paraId="41AD5775" w14:textId="77777777" w:rsidTr="00732453">
        <w:trPr>
          <w:cantSplit/>
          <w:trHeight w:hRule="exact" w:val="340"/>
        </w:trPr>
        <w:tc>
          <w:tcPr>
            <w:tcW w:w="4785" w:type="dxa"/>
            <w:tcBorders>
              <w:top w:val="single" w:sz="4" w:space="0" w:color="000000"/>
              <w:left w:val="single" w:sz="4" w:space="0" w:color="000000"/>
              <w:bottom w:val="single" w:sz="4" w:space="0" w:color="000000"/>
            </w:tcBorders>
            <w:shd w:val="clear" w:color="auto" w:fill="auto"/>
            <w:vAlign w:val="center"/>
          </w:tcPr>
          <w:p w14:paraId="03308F6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815" w:type="dxa"/>
            <w:vMerge w:val="restart"/>
            <w:tcBorders>
              <w:top w:val="single" w:sz="4" w:space="0" w:color="000000"/>
              <w:left w:val="single" w:sz="4" w:space="0" w:color="000000"/>
              <w:right w:val="single" w:sz="4" w:space="0" w:color="000000"/>
            </w:tcBorders>
            <w:shd w:val="clear" w:color="auto" w:fill="auto"/>
            <w:vAlign w:val="center"/>
          </w:tcPr>
          <w:p w14:paraId="78FA9ED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BA89681" w14:textId="77777777" w:rsidTr="00732453">
        <w:trPr>
          <w:cantSplit/>
          <w:trHeight w:hRule="exact" w:val="541"/>
        </w:trPr>
        <w:tc>
          <w:tcPr>
            <w:tcW w:w="4785" w:type="dxa"/>
            <w:tcBorders>
              <w:left w:val="single" w:sz="4" w:space="0" w:color="000000"/>
              <w:bottom w:val="single" w:sz="4" w:space="0" w:color="000000"/>
            </w:tcBorders>
            <w:shd w:val="clear" w:color="auto" w:fill="auto"/>
            <w:vAlign w:val="center"/>
          </w:tcPr>
          <w:p w14:paraId="320105E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815" w:type="dxa"/>
            <w:vMerge/>
            <w:tcBorders>
              <w:left w:val="single" w:sz="4" w:space="0" w:color="000000"/>
              <w:bottom w:val="single" w:sz="4" w:space="0" w:color="000000"/>
              <w:right w:val="single" w:sz="4" w:space="0" w:color="000000"/>
            </w:tcBorders>
            <w:shd w:val="clear" w:color="auto" w:fill="auto"/>
            <w:vAlign w:val="center"/>
          </w:tcPr>
          <w:p w14:paraId="6C4B9BE5" w14:textId="77777777" w:rsidR="008F52C8" w:rsidRPr="0030358C" w:rsidRDefault="008F52C8" w:rsidP="00732453">
            <w:pPr>
              <w:snapToGrid w:val="0"/>
              <w:rPr>
                <w:rFonts w:ascii="Arial" w:hAnsi="Arial" w:cs="Arial"/>
                <w:b/>
                <w:bCs/>
                <w:sz w:val="22"/>
                <w:szCs w:val="22"/>
                <w:lang w:eastAsia="zh-CN"/>
              </w:rPr>
            </w:pPr>
          </w:p>
        </w:tc>
      </w:tr>
      <w:tr w:rsidR="00E40657" w14:paraId="565BCA02" w14:textId="77777777" w:rsidTr="00732453">
        <w:trPr>
          <w:cantSplit/>
          <w:trHeight w:hRule="exact" w:val="651"/>
        </w:trPr>
        <w:tc>
          <w:tcPr>
            <w:tcW w:w="4785" w:type="dxa"/>
            <w:tcBorders>
              <w:left w:val="single" w:sz="4" w:space="0" w:color="000000"/>
              <w:bottom w:val="single" w:sz="4" w:space="0" w:color="000000"/>
            </w:tcBorders>
            <w:shd w:val="clear" w:color="auto" w:fill="auto"/>
            <w:vAlign w:val="center"/>
          </w:tcPr>
          <w:p w14:paraId="7DA2A58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p w14:paraId="63B4537A"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1)</w:t>
            </w:r>
          </w:p>
          <w:p w14:paraId="17F354DA" w14:textId="77777777" w:rsidR="008F52C8" w:rsidRPr="0030358C" w:rsidRDefault="008F52C8" w:rsidP="00732453">
            <w:pPr>
              <w:snapToGrid w:val="0"/>
              <w:jc w:val="center"/>
              <w:rPr>
                <w:rFonts w:ascii="Arial" w:hAnsi="Arial" w:cs="Arial"/>
                <w:b/>
                <w:bCs/>
                <w:sz w:val="22"/>
                <w:szCs w:val="22"/>
                <w:lang w:eastAsia="zh-CN"/>
              </w:rPr>
            </w:pP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AE76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1A61911C" w14:textId="77777777" w:rsidR="00FE2A95"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2C08A59B"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1) Platí pro sekundární odprášení.</w:t>
      </w:r>
    </w:p>
    <w:p w14:paraId="62C5FB41" w14:textId="77777777" w:rsidR="008F52C8" w:rsidRPr="0030358C" w:rsidRDefault="008F52C8" w:rsidP="008F52C8">
      <w:pPr>
        <w:keepNext/>
        <w:numPr>
          <w:ilvl w:val="2"/>
          <w:numId w:val="0"/>
        </w:numPr>
        <w:tabs>
          <w:tab w:val="num" w:pos="0"/>
        </w:tabs>
        <w:ind w:left="720"/>
        <w:outlineLvl w:val="2"/>
        <w:rPr>
          <w:rFonts w:ascii="Arial" w:hAnsi="Arial" w:cs="Arial"/>
          <w:b/>
          <w:bCs/>
          <w:sz w:val="22"/>
          <w:szCs w:val="22"/>
          <w:lang w:eastAsia="zh-CN"/>
        </w:rPr>
      </w:pPr>
    </w:p>
    <w:p w14:paraId="6044E58C" w14:textId="77777777" w:rsidR="008F52C8" w:rsidRPr="0030358C" w:rsidRDefault="00000000" w:rsidP="008F52C8">
      <w:pPr>
        <w:keepNext/>
        <w:numPr>
          <w:ilvl w:val="2"/>
          <w:numId w:val="0"/>
        </w:numPr>
        <w:tabs>
          <w:tab w:val="num" w:pos="0"/>
        </w:tabs>
        <w:outlineLvl w:val="2"/>
        <w:rPr>
          <w:rFonts w:ascii="Arial" w:hAnsi="Arial" w:cs="Arial"/>
          <w:b/>
          <w:bCs/>
          <w:sz w:val="22"/>
          <w:szCs w:val="22"/>
          <w:lang w:eastAsia="zh-CN"/>
        </w:rPr>
      </w:pPr>
      <w:r w:rsidRPr="0030358C">
        <w:rPr>
          <w:rFonts w:ascii="Arial" w:hAnsi="Arial" w:cs="Arial"/>
          <w:b/>
          <w:bCs/>
          <w:sz w:val="22"/>
          <w:szCs w:val="22"/>
          <w:lang w:eastAsia="zh-CN"/>
        </w:rPr>
        <w:t xml:space="preserve">Technické podmínky provozu: </w:t>
      </w:r>
    </w:p>
    <w:p w14:paraId="4E270C24" w14:textId="77777777" w:rsidR="008F52C8" w:rsidRPr="0030358C" w:rsidRDefault="00000000" w:rsidP="0058795B">
      <w:pPr>
        <w:numPr>
          <w:ilvl w:val="0"/>
          <w:numId w:val="212"/>
        </w:numPr>
        <w:tabs>
          <w:tab w:val="clear" w:pos="0"/>
          <w:tab w:val="num" w:pos="-360"/>
        </w:tabs>
        <w:suppressAutoHyphens/>
        <w:spacing w:before="60" w:line="240" w:lineRule="atLeast"/>
        <w:ind w:left="360"/>
        <w:jc w:val="both"/>
        <w:rPr>
          <w:rFonts w:ascii="Arial" w:hAnsi="Arial" w:cs="Arial"/>
          <w:b/>
          <w:bCs/>
          <w:sz w:val="22"/>
          <w:szCs w:val="22"/>
          <w:lang w:eastAsia="zh-CN"/>
        </w:rPr>
      </w:pPr>
      <w:r w:rsidRPr="0030358C">
        <w:rPr>
          <w:rFonts w:ascii="Arial" w:hAnsi="Arial" w:cs="Arial"/>
          <w:b/>
          <w:bCs/>
          <w:sz w:val="22"/>
          <w:szCs w:val="22"/>
          <w:lang w:eastAsia="zh-CN"/>
        </w:rPr>
        <w:t>Konvertorový plyn je třeba jímat s ohledem na procesní možnosti a dále jej využívat.</w:t>
      </w:r>
    </w:p>
    <w:p w14:paraId="4B09AA94" w14:textId="77777777" w:rsidR="008F52C8" w:rsidRPr="0030358C" w:rsidRDefault="00000000" w:rsidP="0058795B">
      <w:pPr>
        <w:numPr>
          <w:ilvl w:val="0"/>
          <w:numId w:val="212"/>
        </w:numPr>
        <w:suppressAutoHyphens/>
        <w:spacing w:before="60" w:line="240" w:lineRule="atLeast"/>
        <w:ind w:left="284" w:hanging="284"/>
        <w:jc w:val="both"/>
        <w:rPr>
          <w:rFonts w:ascii="Arial" w:hAnsi="Arial" w:cs="Arial"/>
          <w:b/>
          <w:bCs/>
          <w:sz w:val="22"/>
          <w:szCs w:val="22"/>
          <w:lang w:eastAsia="zh-CN"/>
        </w:rPr>
      </w:pPr>
      <w:r w:rsidRPr="0030358C">
        <w:rPr>
          <w:rFonts w:ascii="Arial" w:hAnsi="Arial" w:cs="Arial"/>
          <w:b/>
          <w:bCs/>
          <w:sz w:val="22"/>
          <w:szCs w:val="22"/>
          <w:lang w:eastAsia="zh-CN"/>
        </w:rPr>
        <w:t xml:space="preserve">Účinnost odsávání prachu z haly ocelárny musí být vyšší než 90 %. </w:t>
      </w:r>
    </w:p>
    <w:p w14:paraId="4CE1C003" w14:textId="77777777" w:rsidR="008F52C8" w:rsidRPr="0030358C" w:rsidRDefault="008F52C8" w:rsidP="008F52C8">
      <w:pPr>
        <w:widowControl w:val="0"/>
        <w:tabs>
          <w:tab w:val="left" w:pos="284"/>
        </w:tabs>
        <w:autoSpaceDE w:val="0"/>
        <w:spacing w:line="300" w:lineRule="exact"/>
        <w:jc w:val="both"/>
        <w:rPr>
          <w:rFonts w:ascii="Arial" w:hAnsi="Arial" w:cs="Arial"/>
          <w:b/>
          <w:bCs/>
          <w:sz w:val="22"/>
          <w:szCs w:val="22"/>
          <w:lang w:eastAsia="zh-CN"/>
        </w:rPr>
      </w:pPr>
    </w:p>
    <w:p w14:paraId="0B90218A"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3.3.4. – 3.3.6. (kód 4.3.4. – 4.3.6. přílohy č. 2 k zákonu)</w:t>
      </w:r>
    </w:p>
    <w:tbl>
      <w:tblPr>
        <w:tblW w:w="96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33"/>
        <w:gridCol w:w="18"/>
        <w:gridCol w:w="1136"/>
        <w:gridCol w:w="1134"/>
        <w:gridCol w:w="1560"/>
        <w:gridCol w:w="4515"/>
      </w:tblGrid>
      <w:tr w:rsidR="00E40657" w14:paraId="753B9402" w14:textId="77777777" w:rsidTr="00732453">
        <w:trPr>
          <w:cantSplit/>
          <w:trHeight w:hRule="exact" w:val="340"/>
        </w:trPr>
        <w:tc>
          <w:tcPr>
            <w:tcW w:w="5085" w:type="dxa"/>
            <w:gridSpan w:val="6"/>
            <w:shd w:val="clear" w:color="auto" w:fill="auto"/>
            <w:vAlign w:val="center"/>
          </w:tcPr>
          <w:p w14:paraId="3363549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515" w:type="dxa"/>
            <w:vMerge w:val="restart"/>
            <w:shd w:val="clear" w:color="auto" w:fill="auto"/>
            <w:vAlign w:val="center"/>
          </w:tcPr>
          <w:p w14:paraId="04B029A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C3D2A3C" w14:textId="77777777" w:rsidTr="00732453">
        <w:trPr>
          <w:cantSplit/>
          <w:trHeight w:hRule="exact" w:val="555"/>
        </w:trPr>
        <w:tc>
          <w:tcPr>
            <w:tcW w:w="1237" w:type="dxa"/>
            <w:gridSpan w:val="2"/>
            <w:shd w:val="clear" w:color="auto" w:fill="auto"/>
            <w:vAlign w:val="center"/>
          </w:tcPr>
          <w:p w14:paraId="09A9F97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154" w:type="dxa"/>
            <w:gridSpan w:val="2"/>
            <w:shd w:val="clear" w:color="auto" w:fill="auto"/>
            <w:vAlign w:val="center"/>
          </w:tcPr>
          <w:p w14:paraId="58D494C3"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134" w:type="dxa"/>
            <w:shd w:val="clear" w:color="auto" w:fill="auto"/>
            <w:vAlign w:val="center"/>
          </w:tcPr>
          <w:p w14:paraId="6E5BD5B4"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560" w:type="dxa"/>
            <w:shd w:val="clear" w:color="auto" w:fill="auto"/>
            <w:vAlign w:val="center"/>
          </w:tcPr>
          <w:p w14:paraId="5422449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4515" w:type="dxa"/>
            <w:vMerge/>
            <w:shd w:val="clear" w:color="auto" w:fill="auto"/>
            <w:vAlign w:val="center"/>
          </w:tcPr>
          <w:p w14:paraId="41AD30FD" w14:textId="77777777" w:rsidR="008F52C8" w:rsidRPr="0030358C" w:rsidRDefault="008F52C8" w:rsidP="00732453">
            <w:pPr>
              <w:snapToGrid w:val="0"/>
              <w:rPr>
                <w:rFonts w:ascii="Arial" w:hAnsi="Arial" w:cs="Arial"/>
                <w:b/>
                <w:bCs/>
                <w:sz w:val="22"/>
                <w:szCs w:val="22"/>
                <w:lang w:eastAsia="zh-CN"/>
              </w:rPr>
            </w:pPr>
          </w:p>
        </w:tc>
      </w:tr>
      <w:tr w:rsidR="00E40657" w14:paraId="68686682" w14:textId="77777777" w:rsidTr="00732453">
        <w:trPr>
          <w:cantSplit/>
          <w:trHeight w:hRule="exact" w:val="340"/>
        </w:trPr>
        <w:tc>
          <w:tcPr>
            <w:tcW w:w="9600" w:type="dxa"/>
            <w:gridSpan w:val="7"/>
            <w:shd w:val="clear" w:color="auto" w:fill="auto"/>
            <w:vAlign w:val="center"/>
          </w:tcPr>
          <w:p w14:paraId="418A0ED9"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3.3.4. Elektrické obloukové pece (kód 4.3.4. přílohy č. 2  k zákonu)</w:t>
            </w:r>
          </w:p>
        </w:tc>
      </w:tr>
      <w:tr w:rsidR="00E40657" w14:paraId="7A22B9BD" w14:textId="77777777" w:rsidTr="00732453">
        <w:trPr>
          <w:cantSplit/>
          <w:trHeight w:hRule="exact" w:val="389"/>
        </w:trPr>
        <w:tc>
          <w:tcPr>
            <w:tcW w:w="1255" w:type="dxa"/>
            <w:gridSpan w:val="3"/>
            <w:shd w:val="clear" w:color="auto" w:fill="auto"/>
            <w:vAlign w:val="center"/>
          </w:tcPr>
          <w:p w14:paraId="0831749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136" w:type="dxa"/>
            <w:shd w:val="clear" w:color="auto" w:fill="auto"/>
            <w:vAlign w:val="center"/>
          </w:tcPr>
          <w:p w14:paraId="6C52F69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134" w:type="dxa"/>
            <w:shd w:val="clear" w:color="auto" w:fill="auto"/>
            <w:vAlign w:val="center"/>
          </w:tcPr>
          <w:p w14:paraId="45CAACA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60" w:type="dxa"/>
            <w:shd w:val="clear" w:color="auto" w:fill="auto"/>
            <w:vAlign w:val="center"/>
          </w:tcPr>
          <w:p w14:paraId="0B4DC27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4515" w:type="dxa"/>
            <w:shd w:val="clear" w:color="auto" w:fill="auto"/>
            <w:vAlign w:val="center"/>
          </w:tcPr>
          <w:p w14:paraId="4129C2C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2804742D" w14:textId="77777777" w:rsidTr="00732453">
        <w:trPr>
          <w:cantSplit/>
          <w:trHeight w:hRule="exact" w:val="389"/>
        </w:trPr>
        <w:tc>
          <w:tcPr>
            <w:tcW w:w="9600" w:type="dxa"/>
            <w:gridSpan w:val="7"/>
            <w:shd w:val="clear" w:color="auto" w:fill="auto"/>
            <w:vAlign w:val="center"/>
          </w:tcPr>
          <w:p w14:paraId="213C7941" w14:textId="77777777" w:rsidR="008F52C8" w:rsidRPr="0030358C" w:rsidRDefault="00000000" w:rsidP="00732453">
            <w:pPr>
              <w:snapToGrid w:val="0"/>
              <w:jc w:val="both"/>
              <w:rPr>
                <w:rFonts w:ascii="Arial" w:hAnsi="Arial" w:cs="Arial"/>
                <w:b/>
                <w:bCs/>
                <w:sz w:val="22"/>
                <w:szCs w:val="22"/>
                <w:lang w:eastAsia="zh-CN"/>
              </w:rPr>
            </w:pPr>
            <w:r w:rsidRPr="0030358C">
              <w:rPr>
                <w:rFonts w:ascii="Arial" w:hAnsi="Arial" w:cs="Arial"/>
                <w:b/>
                <w:bCs/>
                <w:sz w:val="22"/>
                <w:szCs w:val="22"/>
                <w:lang w:eastAsia="zh-CN"/>
              </w:rPr>
              <w:t xml:space="preserve">3.3.5. Pánvové pece (kód 4.3.5. přílohy č. 2 k zákonu) </w:t>
            </w:r>
          </w:p>
        </w:tc>
      </w:tr>
      <w:tr w:rsidR="00E40657" w14:paraId="6863CD87" w14:textId="77777777" w:rsidTr="00732453">
        <w:trPr>
          <w:cantSplit/>
          <w:trHeight w:hRule="exact" w:val="580"/>
        </w:trPr>
        <w:tc>
          <w:tcPr>
            <w:tcW w:w="1204" w:type="dxa"/>
            <w:shd w:val="clear" w:color="auto" w:fill="auto"/>
            <w:vAlign w:val="center"/>
          </w:tcPr>
          <w:p w14:paraId="4DE9B9B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187" w:type="dxa"/>
            <w:gridSpan w:val="3"/>
            <w:shd w:val="clear" w:color="auto" w:fill="auto"/>
            <w:vAlign w:val="center"/>
          </w:tcPr>
          <w:p w14:paraId="1A86736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134" w:type="dxa"/>
            <w:shd w:val="clear" w:color="auto" w:fill="auto"/>
            <w:vAlign w:val="center"/>
          </w:tcPr>
          <w:p w14:paraId="3305182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560" w:type="dxa"/>
            <w:shd w:val="clear" w:color="auto" w:fill="auto"/>
            <w:vAlign w:val="center"/>
          </w:tcPr>
          <w:p w14:paraId="657D11D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1000</w:t>
            </w:r>
          </w:p>
        </w:tc>
        <w:tc>
          <w:tcPr>
            <w:tcW w:w="4515" w:type="dxa"/>
            <w:shd w:val="clear" w:color="auto" w:fill="auto"/>
            <w:vAlign w:val="center"/>
          </w:tcPr>
          <w:p w14:paraId="0A227EB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7A2A22E1" w14:textId="77777777" w:rsidTr="00732453">
        <w:trPr>
          <w:cantSplit/>
          <w:trHeight w:hRule="exact" w:val="556"/>
        </w:trPr>
        <w:tc>
          <w:tcPr>
            <w:tcW w:w="9600" w:type="dxa"/>
            <w:gridSpan w:val="7"/>
            <w:shd w:val="clear" w:color="auto" w:fill="auto"/>
            <w:vAlign w:val="center"/>
          </w:tcPr>
          <w:p w14:paraId="57D0A3D6"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3.3.6. Elektrické indukční pece s celkovou projektovanou kapacitou 2,5 t za hodinu a více (kód 4.3.6. přílohy č. 2 k zákonu)</w:t>
            </w:r>
          </w:p>
        </w:tc>
      </w:tr>
      <w:tr w:rsidR="00E40657" w14:paraId="03072828" w14:textId="77777777" w:rsidTr="00732453">
        <w:trPr>
          <w:cantSplit/>
          <w:trHeight w:hRule="exact" w:val="556"/>
        </w:trPr>
        <w:tc>
          <w:tcPr>
            <w:tcW w:w="1255" w:type="dxa"/>
            <w:gridSpan w:val="3"/>
            <w:shd w:val="clear" w:color="auto" w:fill="auto"/>
            <w:vAlign w:val="center"/>
          </w:tcPr>
          <w:p w14:paraId="3D88FF4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136" w:type="dxa"/>
            <w:shd w:val="clear" w:color="auto" w:fill="auto"/>
            <w:vAlign w:val="center"/>
          </w:tcPr>
          <w:p w14:paraId="4BB65C9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134" w:type="dxa"/>
            <w:shd w:val="clear" w:color="auto" w:fill="auto"/>
            <w:vAlign w:val="center"/>
          </w:tcPr>
          <w:p w14:paraId="2E0A511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60" w:type="dxa"/>
            <w:shd w:val="clear" w:color="auto" w:fill="auto"/>
            <w:vAlign w:val="center"/>
          </w:tcPr>
          <w:p w14:paraId="5CD4AE9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4515" w:type="dxa"/>
            <w:shd w:val="clear" w:color="auto" w:fill="auto"/>
            <w:vAlign w:val="center"/>
          </w:tcPr>
          <w:p w14:paraId="663B10F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449C3822" w14:textId="77777777" w:rsidR="008F52C8" w:rsidRPr="0030358C" w:rsidRDefault="008F52C8" w:rsidP="008F52C8">
      <w:pPr>
        <w:spacing w:before="60"/>
        <w:rPr>
          <w:rFonts w:ascii="Arial" w:hAnsi="Arial" w:cs="Arial"/>
          <w:b/>
          <w:bCs/>
          <w:sz w:val="22"/>
          <w:szCs w:val="22"/>
          <w:lang w:eastAsia="zh-CN"/>
        </w:rPr>
      </w:pPr>
    </w:p>
    <w:p w14:paraId="382253A2" w14:textId="77777777" w:rsidR="008F52C8" w:rsidRPr="0030358C" w:rsidRDefault="00000000" w:rsidP="008F52C8">
      <w:pPr>
        <w:keepNext/>
        <w:numPr>
          <w:ilvl w:val="2"/>
          <w:numId w:val="0"/>
        </w:numPr>
        <w:tabs>
          <w:tab w:val="num" w:pos="0"/>
        </w:tabs>
        <w:spacing w:before="60"/>
        <w:ind w:left="720" w:hanging="720"/>
        <w:outlineLvl w:val="2"/>
        <w:rPr>
          <w:rFonts w:ascii="Arial" w:hAnsi="Arial" w:cs="Arial"/>
          <w:b/>
          <w:bCs/>
          <w:sz w:val="22"/>
          <w:szCs w:val="22"/>
          <w:lang w:eastAsia="zh-CN"/>
        </w:rPr>
      </w:pPr>
      <w:r w:rsidRPr="0030358C">
        <w:rPr>
          <w:rFonts w:ascii="Arial" w:hAnsi="Arial" w:cs="Arial"/>
          <w:b/>
          <w:bCs/>
          <w:sz w:val="22"/>
          <w:szCs w:val="22"/>
          <w:lang w:eastAsia="zh-CN"/>
        </w:rPr>
        <w:t>3.4. Zpracování železných kovů ve válcovnách a kovárnách</w:t>
      </w:r>
    </w:p>
    <w:p w14:paraId="17EF522F"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 xml:space="preserve">Uvedené emisní limity platí pro pece s přímým procesním ohřevem nebo při použití speciální ochranné atmosféry. </w:t>
      </w:r>
    </w:p>
    <w:p w14:paraId="533090DE" w14:textId="77777777" w:rsidR="008F52C8" w:rsidRPr="0030358C" w:rsidRDefault="00000000" w:rsidP="008F52C8">
      <w:pPr>
        <w:widowControl w:val="0"/>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Emisní limit na SO</w:t>
      </w:r>
      <w:r w:rsidRPr="0030358C">
        <w:rPr>
          <w:rFonts w:ascii="Arial" w:hAnsi="Arial" w:cs="Arial"/>
          <w:b/>
          <w:bCs/>
          <w:iCs/>
          <w:sz w:val="22"/>
          <w:szCs w:val="22"/>
          <w:vertAlign w:val="subscript"/>
          <w:lang w:eastAsia="zh-CN"/>
        </w:rPr>
        <w:t>2</w:t>
      </w:r>
      <w:r w:rsidRPr="0030358C">
        <w:rPr>
          <w:rFonts w:ascii="Arial" w:hAnsi="Arial" w:cs="Arial"/>
          <w:b/>
          <w:bCs/>
          <w:iCs/>
          <w:sz w:val="22"/>
          <w:szCs w:val="22"/>
          <w:lang w:eastAsia="zh-CN"/>
        </w:rPr>
        <w:t xml:space="preserve"> neplatí pro pece používající jako palivo pouze zemní plyn.</w:t>
      </w:r>
    </w:p>
    <w:p w14:paraId="09326C8B" w14:textId="77777777" w:rsidR="008F52C8" w:rsidRPr="0030358C" w:rsidRDefault="008F52C8" w:rsidP="008F52C8">
      <w:pPr>
        <w:widowControl w:val="0"/>
        <w:autoSpaceDE w:val="0"/>
        <w:jc w:val="both"/>
        <w:rPr>
          <w:rFonts w:ascii="Arial" w:hAnsi="Arial" w:cs="Arial"/>
          <w:b/>
          <w:bCs/>
          <w:sz w:val="22"/>
          <w:szCs w:val="22"/>
          <w:lang w:eastAsia="zh-CN"/>
        </w:rPr>
      </w:pPr>
    </w:p>
    <w:p w14:paraId="6E7AC671"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3.4.1. Válcovny za tepla nebo za studena, včetně ohřívacích pecí nebo pecí na tepelné zpracování (kód 4.4. přílohy č. 2 k zákonu)</w:t>
      </w:r>
    </w:p>
    <w:tbl>
      <w:tblPr>
        <w:tblW w:w="9418" w:type="dxa"/>
        <w:tblInd w:w="-6" w:type="dxa"/>
        <w:tblLayout w:type="fixed"/>
        <w:tblCellMar>
          <w:left w:w="10" w:type="dxa"/>
          <w:right w:w="10" w:type="dxa"/>
        </w:tblCellMar>
        <w:tblLook w:val="0000" w:firstRow="0" w:lastRow="0" w:firstColumn="0" w:lastColumn="0" w:noHBand="0" w:noVBand="0"/>
      </w:tblPr>
      <w:tblGrid>
        <w:gridCol w:w="1618"/>
        <w:gridCol w:w="1618"/>
        <w:gridCol w:w="1753"/>
        <w:gridCol w:w="1901"/>
        <w:gridCol w:w="2528"/>
      </w:tblGrid>
      <w:tr w:rsidR="00E40657" w14:paraId="06C1CE1B" w14:textId="77777777" w:rsidTr="00732453">
        <w:trPr>
          <w:cantSplit/>
          <w:trHeight w:hRule="exact" w:val="341"/>
        </w:trPr>
        <w:tc>
          <w:tcPr>
            <w:tcW w:w="6890" w:type="dxa"/>
            <w:gridSpan w:val="4"/>
            <w:tcBorders>
              <w:top w:val="single" w:sz="2" w:space="0" w:color="000000"/>
              <w:left w:val="single" w:sz="2" w:space="0" w:color="000000"/>
              <w:bottom w:val="single" w:sz="2" w:space="0" w:color="000000"/>
            </w:tcBorders>
          </w:tcPr>
          <w:p w14:paraId="771BD4DC"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528" w:type="dxa"/>
            <w:vMerge w:val="restart"/>
            <w:tcBorders>
              <w:top w:val="single" w:sz="2" w:space="0" w:color="000000"/>
              <w:left w:val="single" w:sz="2" w:space="0" w:color="000000"/>
              <w:right w:val="single" w:sz="2" w:space="0" w:color="000000"/>
            </w:tcBorders>
            <w:shd w:val="clear" w:color="auto" w:fill="auto"/>
            <w:vAlign w:val="center"/>
          </w:tcPr>
          <w:p w14:paraId="01C1E6D9"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0709D33" w14:textId="77777777" w:rsidTr="00732453">
        <w:trPr>
          <w:trHeight w:hRule="exact" w:val="597"/>
        </w:trPr>
        <w:tc>
          <w:tcPr>
            <w:tcW w:w="1618" w:type="dxa"/>
            <w:tcBorders>
              <w:top w:val="single" w:sz="2" w:space="0" w:color="000000"/>
              <w:left w:val="single" w:sz="2" w:space="0" w:color="000000"/>
              <w:bottom w:val="single" w:sz="2" w:space="0" w:color="000000"/>
            </w:tcBorders>
            <w:vAlign w:val="center"/>
          </w:tcPr>
          <w:p w14:paraId="540C88EC"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618" w:type="dxa"/>
            <w:tcBorders>
              <w:top w:val="single" w:sz="2" w:space="0" w:color="000000"/>
              <w:left w:val="single" w:sz="2" w:space="0" w:color="000000"/>
              <w:bottom w:val="single" w:sz="2" w:space="0" w:color="000000"/>
            </w:tcBorders>
            <w:shd w:val="clear" w:color="auto" w:fill="auto"/>
            <w:vAlign w:val="center"/>
          </w:tcPr>
          <w:p w14:paraId="7FEDAF85"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753" w:type="dxa"/>
            <w:tcBorders>
              <w:top w:val="single" w:sz="2" w:space="0" w:color="000000"/>
              <w:left w:val="single" w:sz="2" w:space="0" w:color="000000"/>
              <w:bottom w:val="single" w:sz="2" w:space="0" w:color="000000"/>
            </w:tcBorders>
            <w:shd w:val="clear" w:color="auto" w:fill="auto"/>
            <w:vAlign w:val="center"/>
          </w:tcPr>
          <w:p w14:paraId="5C738484"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901" w:type="dxa"/>
            <w:tcBorders>
              <w:top w:val="single" w:sz="2" w:space="0" w:color="000000"/>
              <w:left w:val="single" w:sz="2" w:space="0" w:color="000000"/>
              <w:bottom w:val="single" w:sz="2" w:space="0" w:color="000000"/>
            </w:tcBorders>
            <w:shd w:val="clear" w:color="auto" w:fill="auto"/>
            <w:vAlign w:val="center"/>
          </w:tcPr>
          <w:p w14:paraId="56AF97E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2528" w:type="dxa"/>
            <w:vMerge/>
            <w:tcBorders>
              <w:left w:val="single" w:sz="2" w:space="0" w:color="000000"/>
              <w:bottom w:val="single" w:sz="2" w:space="0" w:color="000000"/>
              <w:right w:val="single" w:sz="2" w:space="0" w:color="000000"/>
            </w:tcBorders>
            <w:shd w:val="clear" w:color="auto" w:fill="auto"/>
            <w:vAlign w:val="center"/>
          </w:tcPr>
          <w:p w14:paraId="2962DACC"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48243736" w14:textId="77777777" w:rsidTr="00732453">
        <w:trPr>
          <w:trHeight w:hRule="exact" w:val="597"/>
        </w:trPr>
        <w:tc>
          <w:tcPr>
            <w:tcW w:w="1618" w:type="dxa"/>
            <w:tcBorders>
              <w:top w:val="single" w:sz="2" w:space="0" w:color="000000"/>
              <w:left w:val="single" w:sz="2" w:space="0" w:color="000000"/>
              <w:bottom w:val="single" w:sz="2" w:space="0" w:color="000000"/>
            </w:tcBorders>
            <w:vAlign w:val="center"/>
          </w:tcPr>
          <w:p w14:paraId="0B4B863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100</w:t>
            </w:r>
            <w:r w:rsidRPr="0030358C">
              <w:rPr>
                <w:rFonts w:ascii="Arial" w:hAnsi="Arial" w:cs="Arial"/>
                <w:b/>
                <w:bCs/>
                <w:sz w:val="22"/>
                <w:szCs w:val="22"/>
                <w:vertAlign w:val="superscript"/>
                <w:lang w:eastAsia="zh-CN"/>
              </w:rPr>
              <w:t>1)</w:t>
            </w:r>
          </w:p>
        </w:tc>
        <w:tc>
          <w:tcPr>
            <w:tcW w:w="1618" w:type="dxa"/>
            <w:tcBorders>
              <w:top w:val="single" w:sz="2" w:space="0" w:color="000000"/>
              <w:left w:val="single" w:sz="2" w:space="0" w:color="000000"/>
              <w:bottom w:val="single" w:sz="2" w:space="0" w:color="000000"/>
            </w:tcBorders>
            <w:shd w:val="clear" w:color="auto" w:fill="auto"/>
            <w:vAlign w:val="center"/>
          </w:tcPr>
          <w:p w14:paraId="6B69D4C2"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753" w:type="dxa"/>
            <w:tcBorders>
              <w:top w:val="single" w:sz="2" w:space="0" w:color="000000"/>
              <w:left w:val="single" w:sz="2" w:space="0" w:color="000000"/>
              <w:bottom w:val="single" w:sz="2" w:space="0" w:color="000000"/>
            </w:tcBorders>
            <w:shd w:val="clear" w:color="auto" w:fill="auto"/>
            <w:vAlign w:val="center"/>
          </w:tcPr>
          <w:p w14:paraId="56140751"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901" w:type="dxa"/>
            <w:tcBorders>
              <w:top w:val="single" w:sz="2" w:space="0" w:color="000000"/>
              <w:left w:val="single" w:sz="2" w:space="0" w:color="000000"/>
              <w:bottom w:val="single" w:sz="2" w:space="0" w:color="000000"/>
            </w:tcBorders>
            <w:shd w:val="clear" w:color="auto" w:fill="auto"/>
            <w:vAlign w:val="center"/>
          </w:tcPr>
          <w:p w14:paraId="59699D8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800</w:t>
            </w:r>
          </w:p>
        </w:tc>
        <w:tc>
          <w:tcPr>
            <w:tcW w:w="25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CDC5A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3066FE84" w14:textId="77777777" w:rsidR="0058795B"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7A3ED701"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1) platí pro manipulaci s výrobky, povrchové úpravy válcováním a mechanické úpravy</w:t>
      </w:r>
    </w:p>
    <w:p w14:paraId="57CB4563" w14:textId="77777777" w:rsidR="008F52C8" w:rsidRPr="0030358C" w:rsidRDefault="008F52C8" w:rsidP="008F52C8">
      <w:pPr>
        <w:widowControl w:val="0"/>
        <w:autoSpaceDE w:val="0"/>
        <w:jc w:val="both"/>
        <w:rPr>
          <w:rFonts w:ascii="Arial" w:hAnsi="Arial" w:cs="Arial"/>
          <w:b/>
          <w:bCs/>
          <w:sz w:val="22"/>
          <w:szCs w:val="22"/>
          <w:lang w:eastAsia="zh-CN"/>
        </w:rPr>
      </w:pPr>
    </w:p>
    <w:p w14:paraId="2C31C2E7"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 xml:space="preserve">3.4.2. </w:t>
      </w:r>
      <w:r w:rsidR="0052793F" w:rsidRPr="0030358C">
        <w:rPr>
          <w:rFonts w:ascii="Arial" w:hAnsi="Arial" w:cs="Arial"/>
          <w:b/>
          <w:bCs/>
          <w:sz w:val="22"/>
          <w:szCs w:val="22"/>
          <w:lang w:eastAsia="zh-CN"/>
        </w:rPr>
        <w:t>Kovárny – ohřívací</w:t>
      </w:r>
      <w:r w:rsidRPr="0030358C">
        <w:rPr>
          <w:rFonts w:ascii="Arial" w:hAnsi="Arial" w:cs="Arial"/>
          <w:b/>
          <w:bCs/>
          <w:sz w:val="22"/>
          <w:szCs w:val="22"/>
          <w:lang w:eastAsia="zh-CN"/>
        </w:rPr>
        <w:t xml:space="preserve"> pece </w:t>
      </w:r>
      <w:r w:rsidR="007665C1" w:rsidRPr="0030358C">
        <w:rPr>
          <w:rFonts w:ascii="Arial" w:hAnsi="Arial" w:cs="Arial"/>
          <w:b/>
          <w:bCs/>
          <w:sz w:val="22"/>
          <w:szCs w:val="22"/>
          <w:lang w:eastAsia="zh-CN"/>
        </w:rPr>
        <w:t xml:space="preserve">nebo </w:t>
      </w:r>
      <w:r w:rsidRPr="0030358C">
        <w:rPr>
          <w:rFonts w:ascii="Arial" w:hAnsi="Arial" w:cs="Arial"/>
          <w:b/>
          <w:bCs/>
          <w:sz w:val="22"/>
          <w:szCs w:val="22"/>
          <w:lang w:eastAsia="zh-CN"/>
        </w:rPr>
        <w:t>pece na tepelné zpracování o celkovém jmenovitém tepelném příkonu od 1 MW včetně (kód 4.5. přílohy č. 2 k zákonu)</w:t>
      </w:r>
    </w:p>
    <w:tbl>
      <w:tblPr>
        <w:tblW w:w="0" w:type="auto"/>
        <w:tblInd w:w="-6" w:type="dxa"/>
        <w:tblLayout w:type="fixed"/>
        <w:tblCellMar>
          <w:left w:w="10" w:type="dxa"/>
          <w:right w:w="10" w:type="dxa"/>
        </w:tblCellMar>
        <w:tblLook w:val="0000" w:firstRow="0" w:lastRow="0" w:firstColumn="0" w:lastColumn="0" w:noHBand="0" w:noVBand="0"/>
      </w:tblPr>
      <w:tblGrid>
        <w:gridCol w:w="1693"/>
        <w:gridCol w:w="1669"/>
        <w:gridCol w:w="1901"/>
        <w:gridCol w:w="4117"/>
      </w:tblGrid>
      <w:tr w:rsidR="00E40657" w14:paraId="7FE9B54C" w14:textId="77777777" w:rsidTr="00732453">
        <w:trPr>
          <w:cantSplit/>
          <w:trHeight w:hRule="exact" w:val="341"/>
        </w:trPr>
        <w:tc>
          <w:tcPr>
            <w:tcW w:w="5263" w:type="dxa"/>
            <w:gridSpan w:val="3"/>
            <w:tcBorders>
              <w:top w:val="single" w:sz="2" w:space="0" w:color="000000"/>
              <w:left w:val="single" w:sz="2" w:space="0" w:color="000000"/>
              <w:bottom w:val="single" w:sz="2" w:space="0" w:color="000000"/>
            </w:tcBorders>
            <w:shd w:val="clear" w:color="auto" w:fill="auto"/>
            <w:vAlign w:val="center"/>
          </w:tcPr>
          <w:p w14:paraId="0C0EECE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117" w:type="dxa"/>
            <w:vMerge w:val="restart"/>
            <w:tcBorders>
              <w:top w:val="single" w:sz="2" w:space="0" w:color="000000"/>
              <w:left w:val="single" w:sz="2" w:space="0" w:color="000000"/>
              <w:right w:val="single" w:sz="2" w:space="0" w:color="000000"/>
            </w:tcBorders>
            <w:shd w:val="clear" w:color="auto" w:fill="auto"/>
            <w:vAlign w:val="center"/>
          </w:tcPr>
          <w:p w14:paraId="33A2998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B164885" w14:textId="77777777" w:rsidTr="00732453">
        <w:trPr>
          <w:trHeight w:hRule="exact" w:val="637"/>
        </w:trPr>
        <w:tc>
          <w:tcPr>
            <w:tcW w:w="1693" w:type="dxa"/>
            <w:tcBorders>
              <w:top w:val="single" w:sz="2" w:space="0" w:color="000000"/>
              <w:left w:val="single" w:sz="2" w:space="0" w:color="000000"/>
              <w:bottom w:val="single" w:sz="2" w:space="0" w:color="000000"/>
            </w:tcBorders>
            <w:shd w:val="clear" w:color="auto" w:fill="auto"/>
            <w:vAlign w:val="center"/>
          </w:tcPr>
          <w:p w14:paraId="43DD2736"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669" w:type="dxa"/>
            <w:tcBorders>
              <w:top w:val="single" w:sz="2" w:space="0" w:color="000000"/>
              <w:left w:val="single" w:sz="2" w:space="0" w:color="000000"/>
              <w:bottom w:val="single" w:sz="2" w:space="0" w:color="000000"/>
            </w:tcBorders>
            <w:shd w:val="clear" w:color="auto" w:fill="auto"/>
            <w:vAlign w:val="center"/>
          </w:tcPr>
          <w:p w14:paraId="16360D2C"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901" w:type="dxa"/>
            <w:tcBorders>
              <w:top w:val="single" w:sz="2" w:space="0" w:color="000000"/>
              <w:left w:val="single" w:sz="2" w:space="0" w:color="000000"/>
              <w:bottom w:val="single" w:sz="2" w:space="0" w:color="000000"/>
            </w:tcBorders>
            <w:shd w:val="clear" w:color="auto" w:fill="auto"/>
            <w:vAlign w:val="center"/>
          </w:tcPr>
          <w:p w14:paraId="32A4208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4117" w:type="dxa"/>
            <w:vMerge/>
            <w:tcBorders>
              <w:left w:val="single" w:sz="2" w:space="0" w:color="000000"/>
              <w:bottom w:val="single" w:sz="2" w:space="0" w:color="000000"/>
              <w:right w:val="single" w:sz="2" w:space="0" w:color="000000"/>
            </w:tcBorders>
            <w:shd w:val="clear" w:color="auto" w:fill="auto"/>
            <w:vAlign w:val="center"/>
          </w:tcPr>
          <w:p w14:paraId="5D81E40A"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3574516E" w14:textId="77777777" w:rsidTr="00732453">
        <w:trPr>
          <w:trHeight w:hRule="exact" w:val="637"/>
        </w:trPr>
        <w:tc>
          <w:tcPr>
            <w:tcW w:w="1693" w:type="dxa"/>
            <w:tcBorders>
              <w:top w:val="single" w:sz="2" w:space="0" w:color="000000"/>
              <w:left w:val="single" w:sz="2" w:space="0" w:color="000000"/>
              <w:bottom w:val="single" w:sz="2" w:space="0" w:color="000000"/>
            </w:tcBorders>
            <w:shd w:val="clear" w:color="auto" w:fill="auto"/>
            <w:vAlign w:val="center"/>
          </w:tcPr>
          <w:p w14:paraId="00E8FDF2"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669" w:type="dxa"/>
            <w:tcBorders>
              <w:top w:val="single" w:sz="2" w:space="0" w:color="000000"/>
              <w:left w:val="single" w:sz="2" w:space="0" w:color="000000"/>
              <w:bottom w:val="single" w:sz="2" w:space="0" w:color="000000"/>
            </w:tcBorders>
            <w:shd w:val="clear" w:color="auto" w:fill="auto"/>
            <w:vAlign w:val="center"/>
          </w:tcPr>
          <w:p w14:paraId="0562E869"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901" w:type="dxa"/>
            <w:tcBorders>
              <w:top w:val="single" w:sz="2" w:space="0" w:color="000000"/>
              <w:left w:val="single" w:sz="2" w:space="0" w:color="000000"/>
              <w:bottom w:val="single" w:sz="2" w:space="0" w:color="000000"/>
            </w:tcBorders>
            <w:shd w:val="clear" w:color="auto" w:fill="auto"/>
            <w:vAlign w:val="center"/>
          </w:tcPr>
          <w:p w14:paraId="3E7AC02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800</w:t>
            </w:r>
          </w:p>
        </w:tc>
        <w:tc>
          <w:tcPr>
            <w:tcW w:w="41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2ADD31"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4A64BE61" w14:textId="77777777" w:rsidR="008F52C8" w:rsidRPr="0030358C" w:rsidRDefault="008F52C8" w:rsidP="008F52C8">
      <w:pPr>
        <w:keepNext/>
        <w:numPr>
          <w:ilvl w:val="2"/>
          <w:numId w:val="0"/>
        </w:numPr>
        <w:tabs>
          <w:tab w:val="num" w:pos="0"/>
          <w:tab w:val="left" w:pos="420"/>
        </w:tabs>
        <w:spacing w:before="60"/>
        <w:ind w:left="720"/>
        <w:outlineLvl w:val="2"/>
        <w:rPr>
          <w:rFonts w:ascii="Arial" w:hAnsi="Arial" w:cs="Arial"/>
          <w:b/>
          <w:bCs/>
          <w:sz w:val="22"/>
          <w:szCs w:val="22"/>
          <w:lang w:eastAsia="zh-CN"/>
        </w:rPr>
      </w:pPr>
    </w:p>
    <w:p w14:paraId="15E86BC7" w14:textId="77777777" w:rsidR="008F52C8" w:rsidRPr="0030358C" w:rsidRDefault="008F52C8" w:rsidP="008F52C8">
      <w:pPr>
        <w:rPr>
          <w:rFonts w:ascii="Arial" w:hAnsi="Arial" w:cs="Arial"/>
          <w:b/>
          <w:bCs/>
          <w:sz w:val="22"/>
          <w:szCs w:val="22"/>
          <w:lang w:eastAsia="zh-CN"/>
        </w:rPr>
      </w:pPr>
    </w:p>
    <w:p w14:paraId="107B7149" w14:textId="77777777" w:rsidR="008F52C8" w:rsidRPr="0030358C" w:rsidRDefault="00000000" w:rsidP="008F52C8">
      <w:pPr>
        <w:keepNext/>
        <w:numPr>
          <w:ilvl w:val="1"/>
          <w:numId w:val="0"/>
        </w:numPr>
        <w:tabs>
          <w:tab w:val="num" w:pos="0"/>
          <w:tab w:val="left" w:pos="420"/>
        </w:tabs>
        <w:suppressAutoHyphens/>
        <w:spacing w:before="60"/>
        <w:ind w:left="576" w:hanging="576"/>
        <w:outlineLvl w:val="2"/>
        <w:rPr>
          <w:rFonts w:ascii="Arial" w:hAnsi="Arial" w:cs="Arial"/>
          <w:b/>
          <w:bCs/>
          <w:sz w:val="22"/>
          <w:szCs w:val="22"/>
          <w:lang w:eastAsia="zh-CN"/>
        </w:rPr>
      </w:pPr>
      <w:r w:rsidRPr="0030358C">
        <w:rPr>
          <w:rFonts w:ascii="Arial" w:hAnsi="Arial" w:cs="Arial"/>
          <w:b/>
          <w:bCs/>
          <w:sz w:val="22"/>
          <w:szCs w:val="22"/>
          <w:lang w:eastAsia="zh-CN"/>
        </w:rPr>
        <w:t>3.5. Slévárny železných kovů (slitin železa)</w:t>
      </w:r>
    </w:p>
    <w:p w14:paraId="6AB5B5A3" w14:textId="77777777" w:rsidR="008F52C8" w:rsidRPr="0030358C" w:rsidRDefault="008F52C8" w:rsidP="008F52C8">
      <w:pPr>
        <w:rPr>
          <w:rFonts w:ascii="Arial" w:hAnsi="Arial" w:cs="Arial"/>
          <w:b/>
          <w:bCs/>
          <w:sz w:val="22"/>
          <w:szCs w:val="22"/>
          <w:lang w:eastAsia="zh-CN"/>
        </w:rPr>
      </w:pPr>
    </w:p>
    <w:p w14:paraId="5806304A"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3.5.1. Doprava a manipulace se vsázkou nebo produktem (kód 4.6.1. přílohy č. 2 k zákonu)</w:t>
      </w:r>
    </w:p>
    <w:p w14:paraId="00776D50"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Včetně ostatních technologických uzlů, jako jsou úpravárenská zařízení, výroby forem a jader, odlévání, čištění odlitků, dokončovací operace.</w:t>
      </w:r>
    </w:p>
    <w:tbl>
      <w:tblPr>
        <w:tblW w:w="9366" w:type="dxa"/>
        <w:tblInd w:w="-15" w:type="dxa"/>
        <w:tblLayout w:type="fixed"/>
        <w:tblLook w:val="0000" w:firstRow="0" w:lastRow="0" w:firstColumn="0" w:lastColumn="0" w:noHBand="0" w:noVBand="0"/>
      </w:tblPr>
      <w:tblGrid>
        <w:gridCol w:w="3271"/>
        <w:gridCol w:w="2976"/>
        <w:gridCol w:w="3119"/>
      </w:tblGrid>
      <w:tr w:rsidR="00E40657" w14:paraId="2AA254C7" w14:textId="77777777" w:rsidTr="000032A3">
        <w:trPr>
          <w:cantSplit/>
          <w:trHeight w:hRule="exact" w:val="340"/>
        </w:trPr>
        <w:tc>
          <w:tcPr>
            <w:tcW w:w="6247" w:type="dxa"/>
            <w:gridSpan w:val="2"/>
            <w:tcBorders>
              <w:top w:val="single" w:sz="4" w:space="0" w:color="000000"/>
              <w:left w:val="single" w:sz="4" w:space="0" w:color="000000"/>
              <w:bottom w:val="single" w:sz="4" w:space="0" w:color="000000"/>
            </w:tcBorders>
            <w:shd w:val="clear" w:color="auto" w:fill="auto"/>
            <w:vAlign w:val="center"/>
          </w:tcPr>
          <w:p w14:paraId="00A95528" w14:textId="77777777" w:rsidR="001C1FA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3490C2" w14:textId="77777777" w:rsidR="001C1FA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43D1BDC" w14:textId="77777777" w:rsidTr="000032A3">
        <w:trPr>
          <w:cantSplit/>
          <w:trHeight w:hRule="exact" w:val="406"/>
        </w:trPr>
        <w:tc>
          <w:tcPr>
            <w:tcW w:w="3271" w:type="dxa"/>
            <w:tcBorders>
              <w:left w:val="single" w:sz="4" w:space="0" w:color="000000"/>
              <w:bottom w:val="single" w:sz="4" w:space="0" w:color="auto"/>
            </w:tcBorders>
            <w:shd w:val="clear" w:color="auto" w:fill="auto"/>
            <w:vAlign w:val="center"/>
          </w:tcPr>
          <w:p w14:paraId="309B2FFC" w14:textId="77777777" w:rsidR="001C1FA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976" w:type="dxa"/>
            <w:tcBorders>
              <w:left w:val="single" w:sz="4" w:space="0" w:color="000000"/>
              <w:bottom w:val="single" w:sz="4" w:space="0" w:color="auto"/>
            </w:tcBorders>
          </w:tcPr>
          <w:p w14:paraId="4C8C9A48" w14:textId="77777777" w:rsidR="001C1FA8" w:rsidRPr="0030358C" w:rsidRDefault="00000000" w:rsidP="000032A3">
            <w:pPr>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3119"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49079DCA" w14:textId="77777777" w:rsidR="001C1FA8" w:rsidRPr="0030358C" w:rsidRDefault="001C1FA8" w:rsidP="00732453">
            <w:pPr>
              <w:snapToGrid w:val="0"/>
              <w:rPr>
                <w:rFonts w:ascii="Arial" w:hAnsi="Arial" w:cs="Arial"/>
                <w:b/>
                <w:bCs/>
                <w:sz w:val="22"/>
                <w:szCs w:val="22"/>
                <w:lang w:eastAsia="zh-CN"/>
              </w:rPr>
            </w:pPr>
          </w:p>
        </w:tc>
      </w:tr>
      <w:tr w:rsidR="00E40657" w14:paraId="1958EE37" w14:textId="77777777" w:rsidTr="000032A3">
        <w:trPr>
          <w:cantSplit/>
          <w:trHeight w:hRule="exact" w:val="626"/>
        </w:trPr>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76299B7" w14:textId="77777777" w:rsidR="001C1FA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100</w:t>
            </w:r>
          </w:p>
          <w:p w14:paraId="1CAFF6AC" w14:textId="77777777" w:rsidR="001C1FA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w:t>
            </w:r>
          </w:p>
        </w:tc>
        <w:tc>
          <w:tcPr>
            <w:tcW w:w="2976" w:type="dxa"/>
            <w:tcBorders>
              <w:top w:val="single" w:sz="4" w:space="0" w:color="auto"/>
              <w:left w:val="single" w:sz="4" w:space="0" w:color="auto"/>
              <w:bottom w:val="single" w:sz="4" w:space="0" w:color="auto"/>
              <w:right w:val="single" w:sz="4" w:space="0" w:color="auto"/>
            </w:tcBorders>
          </w:tcPr>
          <w:p w14:paraId="2596DB42" w14:textId="77777777" w:rsidR="001C1FA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766445A" w14:textId="77777777" w:rsidR="001C1FA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03B76C55"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xml:space="preserve">Vysvětlivky: </w:t>
      </w:r>
    </w:p>
    <w:p w14:paraId="2EC39CC5" w14:textId="77777777" w:rsidR="001C1FA8" w:rsidRPr="0030358C" w:rsidRDefault="00000000" w:rsidP="000032A3">
      <w:pPr>
        <w:pStyle w:val="Odstavecseseznamem"/>
        <w:numPr>
          <w:ilvl w:val="0"/>
          <w:numId w:val="195"/>
        </w:numPr>
        <w:rPr>
          <w:rFonts w:ascii="Arial" w:hAnsi="Arial" w:cs="Arial"/>
          <w:b/>
          <w:bCs/>
          <w:lang w:eastAsia="zh-CN"/>
        </w:rPr>
      </w:pPr>
      <w:r w:rsidRPr="0030358C">
        <w:rPr>
          <w:rFonts w:ascii="Arial" w:hAnsi="Arial" w:cs="Arial"/>
          <w:b/>
          <w:bCs/>
          <w:lang w:eastAsia="zh-CN"/>
        </w:rPr>
        <w:t>Platí pro slévárny železných kovů o celkové projektované výrobní kapacitě větší než 20 t za den.</w:t>
      </w:r>
    </w:p>
    <w:p w14:paraId="21620BA2" w14:textId="77777777" w:rsidR="001C1FA8" w:rsidRPr="0030358C" w:rsidRDefault="00000000" w:rsidP="001C1FA8">
      <w:pPr>
        <w:pStyle w:val="Odstavecseseznamem"/>
        <w:numPr>
          <w:ilvl w:val="0"/>
          <w:numId w:val="195"/>
        </w:numPr>
        <w:rPr>
          <w:rFonts w:ascii="Arial" w:hAnsi="Arial" w:cs="Arial"/>
          <w:b/>
          <w:bCs/>
          <w:lang w:eastAsia="zh-CN"/>
        </w:rPr>
      </w:pPr>
      <w:r w:rsidRPr="0030358C">
        <w:rPr>
          <w:rFonts w:ascii="Arial" w:hAnsi="Arial" w:cs="Arial"/>
          <w:b/>
          <w:bCs/>
          <w:lang w:eastAsia="zh-CN"/>
        </w:rPr>
        <w:t xml:space="preserve">Platí </w:t>
      </w:r>
      <w:r w:rsidR="003811AD" w:rsidRPr="0030358C">
        <w:rPr>
          <w:rFonts w:ascii="Arial" w:hAnsi="Arial" w:cs="Arial"/>
          <w:b/>
          <w:bCs/>
          <w:lang w:eastAsia="zh-CN"/>
        </w:rPr>
        <w:t xml:space="preserve">od 1. 1. 2026 </w:t>
      </w:r>
      <w:r w:rsidRPr="0030358C">
        <w:rPr>
          <w:rFonts w:ascii="Arial" w:hAnsi="Arial" w:cs="Arial"/>
          <w:b/>
          <w:bCs/>
          <w:lang w:eastAsia="zh-CN"/>
        </w:rPr>
        <w:t>pro výrobu forem a jader</w:t>
      </w:r>
      <w:r w:rsidR="00934B8A" w:rsidRPr="0030358C">
        <w:rPr>
          <w:rFonts w:ascii="Arial" w:hAnsi="Arial" w:cs="Arial"/>
          <w:b/>
          <w:bCs/>
          <w:lang w:eastAsia="zh-CN"/>
        </w:rPr>
        <w:t xml:space="preserve"> u sléváren o celkové projektované kapacitě větší než 20 t za den</w:t>
      </w:r>
      <w:r w:rsidRPr="0030358C">
        <w:rPr>
          <w:rFonts w:ascii="Arial" w:hAnsi="Arial" w:cs="Arial"/>
          <w:b/>
          <w:bCs/>
          <w:lang w:eastAsia="zh-CN"/>
        </w:rPr>
        <w:t>.</w:t>
      </w:r>
    </w:p>
    <w:p w14:paraId="49650611" w14:textId="77777777" w:rsidR="008F52C8" w:rsidRPr="0030358C" w:rsidRDefault="00000000" w:rsidP="001C1FA8">
      <w:pPr>
        <w:rPr>
          <w:rFonts w:ascii="Arial" w:hAnsi="Arial" w:cs="Arial"/>
          <w:b/>
          <w:bCs/>
          <w:sz w:val="22"/>
          <w:szCs w:val="22"/>
          <w:lang w:eastAsia="zh-CN"/>
        </w:rPr>
      </w:pPr>
      <w:r w:rsidRPr="0030358C">
        <w:rPr>
          <w:rFonts w:ascii="Arial" w:hAnsi="Arial" w:cs="Arial"/>
          <w:b/>
          <w:bCs/>
          <w:sz w:val="22"/>
          <w:szCs w:val="22"/>
          <w:lang w:eastAsia="zh-CN"/>
        </w:rPr>
        <w:t xml:space="preserve"> Technické podmínky provozu:</w:t>
      </w:r>
    </w:p>
    <w:p w14:paraId="43A68734" w14:textId="77777777" w:rsidR="008F52C8" w:rsidRPr="0030358C" w:rsidRDefault="008F52C8" w:rsidP="008F52C8">
      <w:pPr>
        <w:rPr>
          <w:rFonts w:ascii="Arial" w:hAnsi="Arial" w:cs="Arial"/>
          <w:b/>
          <w:bCs/>
          <w:sz w:val="22"/>
          <w:szCs w:val="22"/>
          <w:lang w:eastAsia="zh-CN"/>
        </w:rPr>
      </w:pPr>
    </w:p>
    <w:p w14:paraId="669DA53D"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Omezování emisí VOC vznikajících při výrobě forem a jader</w:t>
      </w:r>
      <w:r w:rsidR="00AC6692" w:rsidRPr="0030358C">
        <w:rPr>
          <w:rFonts w:ascii="Arial" w:hAnsi="Arial" w:cs="Arial"/>
          <w:b/>
          <w:bCs/>
          <w:sz w:val="22"/>
          <w:szCs w:val="22"/>
          <w:lang w:eastAsia="zh-CN"/>
        </w:rPr>
        <w:t xml:space="preserve"> zařízením ke snížení emisí (u sléváren o celkové projektované kapacitě větší než 20 t za den) a </w:t>
      </w:r>
      <w:r w:rsidRPr="0030358C">
        <w:rPr>
          <w:rFonts w:ascii="Arial" w:hAnsi="Arial" w:cs="Arial"/>
          <w:b/>
          <w:bCs/>
          <w:sz w:val="22"/>
          <w:szCs w:val="22"/>
          <w:lang w:eastAsia="zh-CN"/>
        </w:rPr>
        <w:t>běžně dostupnými prostředky např. minimalizací spotřeby pojiva, náhradou nátěrů na bázi alkoholu za nátěry na bázi vody, použitím takových rozpouštědel pro výrobu jader cold-box, která nejsou na bázi aromatických uhlovodíků.</w:t>
      </w:r>
      <w:r w:rsidR="00AC6692" w:rsidRPr="0030358C">
        <w:rPr>
          <w:rFonts w:ascii="Arial" w:hAnsi="Arial" w:cs="Arial"/>
          <w:b/>
          <w:bCs/>
          <w:sz w:val="22"/>
          <w:szCs w:val="22"/>
          <w:lang w:eastAsia="zh-CN"/>
        </w:rPr>
        <w:t xml:space="preserve"> </w:t>
      </w:r>
    </w:p>
    <w:p w14:paraId="48D8FCB6" w14:textId="77777777" w:rsidR="008F52C8" w:rsidRPr="0030358C" w:rsidRDefault="008F52C8" w:rsidP="008F52C8">
      <w:pPr>
        <w:widowControl w:val="0"/>
        <w:numPr>
          <w:ilvl w:val="0"/>
          <w:numId w:val="73"/>
        </w:numPr>
        <w:suppressAutoHyphens/>
        <w:autoSpaceDE w:val="0"/>
        <w:jc w:val="both"/>
        <w:rPr>
          <w:rFonts w:ascii="Arial" w:hAnsi="Arial" w:cs="Arial"/>
          <w:b/>
          <w:bCs/>
          <w:sz w:val="22"/>
          <w:szCs w:val="22"/>
          <w:lang w:eastAsia="zh-CN"/>
        </w:rPr>
      </w:pPr>
    </w:p>
    <w:p w14:paraId="4763AD01" w14:textId="77777777" w:rsidR="008F52C8" w:rsidRPr="0030358C" w:rsidRDefault="00000000" w:rsidP="008F52C8">
      <w:pPr>
        <w:widowControl w:val="0"/>
        <w:numPr>
          <w:ilvl w:val="0"/>
          <w:numId w:val="73"/>
        </w:numPr>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Musí být snižovány emise tuhých znečišťujících látek na všech technologických uzlech včetně skladování a přepravy materiálu, kde dochází k emisím tuhých znečišťujících látek do ovzduší. Lze použít například:</w:t>
      </w:r>
    </w:p>
    <w:p w14:paraId="55F0E5DD" w14:textId="77777777" w:rsidR="001A6FD8" w:rsidRPr="0030358C" w:rsidRDefault="001A6FD8" w:rsidP="008F52C8">
      <w:pPr>
        <w:widowControl w:val="0"/>
        <w:numPr>
          <w:ilvl w:val="0"/>
          <w:numId w:val="73"/>
        </w:numPr>
        <w:suppressAutoHyphens/>
        <w:autoSpaceDE w:val="0"/>
        <w:jc w:val="both"/>
        <w:rPr>
          <w:rFonts w:ascii="Arial" w:hAnsi="Arial" w:cs="Arial"/>
          <w:b/>
          <w:bCs/>
          <w:sz w:val="22"/>
          <w:szCs w:val="22"/>
          <w:lang w:eastAsia="zh-CN"/>
        </w:rPr>
      </w:pPr>
    </w:p>
    <w:p w14:paraId="15AF3BB6" w14:textId="77777777" w:rsidR="008F52C8" w:rsidRPr="0030358C" w:rsidRDefault="00000000" w:rsidP="001A6FD8">
      <w:pPr>
        <w:numPr>
          <w:ilvl w:val="0"/>
          <w:numId w:val="210"/>
        </w:numPr>
        <w:suppressAutoHyphens/>
        <w:jc w:val="both"/>
        <w:rPr>
          <w:rFonts w:ascii="Arial" w:hAnsi="Arial" w:cs="Arial"/>
          <w:b/>
          <w:bCs/>
          <w:sz w:val="22"/>
          <w:szCs w:val="22"/>
          <w:lang w:eastAsia="zh-CN"/>
        </w:rPr>
      </w:pPr>
      <w:r w:rsidRPr="0030358C">
        <w:rPr>
          <w:rFonts w:ascii="Arial" w:hAnsi="Arial" w:cs="Arial"/>
          <w:b/>
          <w:bCs/>
          <w:sz w:val="22"/>
          <w:szCs w:val="22"/>
          <w:lang w:eastAsia="zh-CN"/>
        </w:rPr>
        <w:t xml:space="preserve">opatření pro skladování prašných </w:t>
      </w:r>
      <w:r w:rsidR="0052793F" w:rsidRPr="0030358C">
        <w:rPr>
          <w:rFonts w:ascii="Arial" w:hAnsi="Arial" w:cs="Arial"/>
          <w:b/>
          <w:bCs/>
          <w:sz w:val="22"/>
          <w:szCs w:val="22"/>
          <w:lang w:eastAsia="zh-CN"/>
        </w:rPr>
        <w:t>materiálů -</w:t>
      </w:r>
      <w:r w:rsidRPr="0030358C">
        <w:rPr>
          <w:rFonts w:ascii="Arial" w:hAnsi="Arial" w:cs="Arial"/>
          <w:b/>
          <w:bCs/>
          <w:sz w:val="22"/>
          <w:szCs w:val="22"/>
          <w:lang w:eastAsia="zh-CN"/>
        </w:rPr>
        <w:t xml:space="preserve"> uzavřené skladovací prostory, umisťování venkovních skládek na závětrnou stranu, jejich skrápění a budování zástěn,</w:t>
      </w:r>
    </w:p>
    <w:p w14:paraId="7E926238" w14:textId="77777777" w:rsidR="008F52C8" w:rsidRPr="0030358C" w:rsidRDefault="00000000" w:rsidP="001A6FD8">
      <w:pPr>
        <w:numPr>
          <w:ilvl w:val="0"/>
          <w:numId w:val="210"/>
        </w:numPr>
        <w:suppressAutoHyphens/>
        <w:ind w:left="426" w:hanging="426"/>
        <w:jc w:val="both"/>
        <w:rPr>
          <w:rFonts w:ascii="Arial" w:hAnsi="Arial" w:cs="Arial"/>
          <w:b/>
          <w:bCs/>
          <w:sz w:val="22"/>
          <w:szCs w:val="22"/>
          <w:lang w:eastAsia="zh-CN"/>
        </w:rPr>
      </w:pPr>
      <w:r w:rsidRPr="0030358C">
        <w:rPr>
          <w:rFonts w:ascii="Arial" w:hAnsi="Arial" w:cs="Arial"/>
          <w:b/>
          <w:bCs/>
          <w:sz w:val="22"/>
          <w:szCs w:val="22"/>
          <w:lang w:eastAsia="zh-CN"/>
        </w:rPr>
        <w:lastRenderedPageBreak/>
        <w:t xml:space="preserve">opatření pro přepravu </w:t>
      </w:r>
      <w:r w:rsidR="0052793F" w:rsidRPr="0030358C">
        <w:rPr>
          <w:rFonts w:ascii="Arial" w:hAnsi="Arial" w:cs="Arial"/>
          <w:b/>
          <w:bCs/>
          <w:sz w:val="22"/>
          <w:szCs w:val="22"/>
          <w:lang w:eastAsia="zh-CN"/>
        </w:rPr>
        <w:t>materiálů – pravidelná</w:t>
      </w:r>
      <w:r w:rsidRPr="0030358C">
        <w:rPr>
          <w:rFonts w:ascii="Arial" w:hAnsi="Arial" w:cs="Arial"/>
          <w:b/>
          <w:bCs/>
          <w:sz w:val="22"/>
          <w:szCs w:val="22"/>
          <w:lang w:eastAsia="zh-CN"/>
        </w:rPr>
        <w:t xml:space="preserve"> očista a skrápění komunikací a manipulačních ploch, omezení rychlosti pohybu vozidel v areálu zdroje, zakrývání nákladních prostorů expedujících dopravních prostředků.</w:t>
      </w:r>
    </w:p>
    <w:p w14:paraId="50CF0BE2" w14:textId="77777777" w:rsidR="008F52C8" w:rsidRPr="0030358C" w:rsidRDefault="008F52C8" w:rsidP="008F52C8">
      <w:pPr>
        <w:rPr>
          <w:rFonts w:ascii="Arial" w:hAnsi="Arial" w:cs="Arial"/>
          <w:b/>
          <w:bCs/>
          <w:sz w:val="22"/>
          <w:szCs w:val="22"/>
          <w:lang w:eastAsia="zh-CN"/>
        </w:rPr>
      </w:pPr>
    </w:p>
    <w:p w14:paraId="3207BB96"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Odsávat a odlučovat znečišťující látky při dělení těžkého kovového odpadu řezáním tam, kde je to technicky možné.</w:t>
      </w:r>
    </w:p>
    <w:p w14:paraId="6DB44534" w14:textId="77777777" w:rsidR="008F52C8" w:rsidRPr="0030358C" w:rsidRDefault="008F52C8" w:rsidP="008F52C8">
      <w:pPr>
        <w:rPr>
          <w:rFonts w:ascii="Arial" w:hAnsi="Arial" w:cs="Arial"/>
          <w:b/>
          <w:bCs/>
          <w:sz w:val="22"/>
          <w:szCs w:val="22"/>
          <w:lang w:eastAsia="zh-CN"/>
        </w:rPr>
      </w:pPr>
    </w:p>
    <w:p w14:paraId="37CFC252" w14:textId="77777777" w:rsidR="005B7939" w:rsidRPr="0030358C" w:rsidRDefault="005B7939" w:rsidP="000032A3">
      <w:pPr>
        <w:widowControl w:val="0"/>
        <w:tabs>
          <w:tab w:val="left" w:pos="284"/>
        </w:tabs>
        <w:suppressAutoHyphens/>
        <w:autoSpaceDE w:val="0"/>
        <w:jc w:val="both"/>
        <w:rPr>
          <w:rFonts w:ascii="Arial" w:hAnsi="Arial" w:cs="Arial"/>
          <w:b/>
          <w:bCs/>
          <w:iCs/>
          <w:sz w:val="22"/>
          <w:szCs w:val="22"/>
          <w:lang w:eastAsia="zh-CN"/>
        </w:rPr>
      </w:pPr>
    </w:p>
    <w:p w14:paraId="385E82F4" w14:textId="77777777" w:rsidR="005B7939" w:rsidRPr="0030358C" w:rsidRDefault="00000000" w:rsidP="005B7939">
      <w:pPr>
        <w:widowControl w:val="0"/>
        <w:tabs>
          <w:tab w:val="left" w:pos="284"/>
        </w:tabs>
        <w:suppressAutoHyphens/>
        <w:autoSpaceDE w:val="0"/>
        <w:jc w:val="both"/>
        <w:rPr>
          <w:rFonts w:ascii="Arial" w:hAnsi="Arial" w:cs="Arial"/>
          <w:b/>
          <w:bCs/>
          <w:iCs/>
          <w:sz w:val="22"/>
          <w:szCs w:val="22"/>
          <w:lang w:eastAsia="zh-CN"/>
        </w:rPr>
      </w:pPr>
      <w:r w:rsidRPr="0030358C">
        <w:rPr>
          <w:rFonts w:ascii="Arial" w:hAnsi="Arial" w:cs="Arial"/>
          <w:b/>
          <w:bCs/>
          <w:iCs/>
          <w:sz w:val="22"/>
          <w:szCs w:val="22"/>
          <w:lang w:eastAsia="zh-CN"/>
        </w:rPr>
        <w:t>3.5.2. Žíhací nebo sušící pece o celkovém jmenovitém tepelném příkonu 0,3 MW a více (kód 4.6.2. přílohy č. 2 k zákonu)</w:t>
      </w:r>
    </w:p>
    <w:p w14:paraId="1CD2A934" w14:textId="77777777" w:rsidR="005B7939" w:rsidRPr="0030358C" w:rsidRDefault="005B7939" w:rsidP="005B7939">
      <w:pPr>
        <w:widowControl w:val="0"/>
        <w:tabs>
          <w:tab w:val="left" w:pos="284"/>
        </w:tabs>
        <w:suppressAutoHyphens/>
        <w:autoSpaceDE w:val="0"/>
        <w:jc w:val="both"/>
        <w:rPr>
          <w:rFonts w:ascii="Arial" w:hAnsi="Arial" w:cs="Arial"/>
          <w:b/>
          <w:bCs/>
          <w:iCs/>
          <w:sz w:val="22"/>
          <w:szCs w:val="22"/>
          <w:lang w:eastAsia="zh-CN"/>
        </w:rPr>
      </w:pPr>
    </w:p>
    <w:tbl>
      <w:tblPr>
        <w:tblStyle w:val="Mkatabulky"/>
        <w:tblW w:w="9346" w:type="dxa"/>
        <w:tblBorders>
          <w:top w:val="nil"/>
          <w:left w:val="nil"/>
          <w:bottom w:val="nil"/>
          <w:right w:val="nil"/>
          <w:insideH w:val="nil"/>
          <w:insideV w:val="nil"/>
        </w:tblBorders>
        <w:tblLook w:val="04A0" w:firstRow="1" w:lastRow="0" w:firstColumn="1" w:lastColumn="0" w:noHBand="0" w:noVBand="1"/>
      </w:tblPr>
      <w:tblGrid>
        <w:gridCol w:w="1240"/>
        <w:gridCol w:w="1237"/>
        <w:gridCol w:w="3750"/>
        <w:gridCol w:w="3119"/>
      </w:tblGrid>
      <w:tr w:rsidR="00E40657" w14:paraId="1BF346C7" w14:textId="77777777" w:rsidTr="00995E39">
        <w:trPr>
          <w:trHeight w:val="443"/>
        </w:trPr>
        <w:tc>
          <w:tcPr>
            <w:tcW w:w="6227" w:type="dxa"/>
            <w:gridSpan w:val="3"/>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58B1EC35"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 xml:space="preserve">Emisní limity </w:t>
            </w:r>
            <w:r w:rsidRPr="0030358C">
              <w:rPr>
                <w:rFonts w:ascii="Arial" w:hAnsi="Arial" w:cs="Arial"/>
                <w:b/>
                <w:bCs/>
                <w:iCs/>
                <w:sz w:val="22"/>
                <w:szCs w:val="22"/>
                <w:vertAlign w:val="superscript"/>
                <w:lang w:eastAsia="zh-CN"/>
              </w:rPr>
              <w:t>1)</w:t>
            </w:r>
            <w:r w:rsidRPr="0030358C">
              <w:rPr>
                <w:rFonts w:ascii="Arial" w:hAnsi="Arial" w:cs="Arial"/>
                <w:b/>
                <w:bCs/>
                <w:iCs/>
                <w:sz w:val="22"/>
                <w:szCs w:val="22"/>
                <w:lang w:eastAsia="zh-CN"/>
              </w:rPr>
              <w:t xml:space="preserve"> [mg/m</w:t>
            </w:r>
            <w:r w:rsidRPr="0030358C">
              <w:rPr>
                <w:rFonts w:ascii="Arial" w:hAnsi="Arial" w:cs="Arial"/>
                <w:b/>
                <w:bCs/>
                <w:iCs/>
                <w:sz w:val="22"/>
                <w:szCs w:val="22"/>
                <w:vertAlign w:val="superscript"/>
                <w:lang w:eastAsia="zh-CN"/>
              </w:rPr>
              <w:t>3</w:t>
            </w:r>
            <w:r w:rsidRPr="0030358C">
              <w:rPr>
                <w:rFonts w:ascii="Arial" w:hAnsi="Arial" w:cs="Arial"/>
                <w:b/>
                <w:bCs/>
                <w:iCs/>
                <w:sz w:val="22"/>
                <w:szCs w:val="22"/>
                <w:lang w:eastAsia="zh-CN"/>
              </w:rPr>
              <w:t>]</w:t>
            </w:r>
          </w:p>
        </w:tc>
        <w:tc>
          <w:tcPr>
            <w:tcW w:w="3119"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3CBF8F8F"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Vztažné podmínky</w:t>
            </w:r>
          </w:p>
        </w:tc>
      </w:tr>
      <w:tr w:rsidR="00E40657" w14:paraId="5BEB8B0B" w14:textId="77777777" w:rsidTr="00995E39">
        <w:trPr>
          <w:trHeight w:val="433"/>
        </w:trPr>
        <w:tc>
          <w:tcPr>
            <w:tcW w:w="124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5EEF145C"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SO</w:t>
            </w:r>
            <w:r w:rsidRPr="0030358C">
              <w:rPr>
                <w:rFonts w:ascii="Arial" w:hAnsi="Arial" w:cs="Arial"/>
                <w:b/>
                <w:bCs/>
                <w:iCs/>
                <w:sz w:val="22"/>
                <w:szCs w:val="22"/>
                <w:vertAlign w:val="subscript"/>
                <w:lang w:eastAsia="zh-CN"/>
              </w:rPr>
              <w:t>2</w:t>
            </w:r>
          </w:p>
        </w:tc>
        <w:tc>
          <w:tcPr>
            <w:tcW w:w="123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14ED05FC"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NO</w:t>
            </w:r>
            <w:r w:rsidRPr="0030358C">
              <w:rPr>
                <w:rFonts w:ascii="Arial" w:hAnsi="Arial" w:cs="Arial"/>
                <w:b/>
                <w:bCs/>
                <w:iCs/>
                <w:sz w:val="22"/>
                <w:szCs w:val="22"/>
                <w:vertAlign w:val="subscript"/>
                <w:lang w:eastAsia="zh-CN"/>
              </w:rPr>
              <w:t>x</w:t>
            </w:r>
          </w:p>
        </w:tc>
        <w:tc>
          <w:tcPr>
            <w:tcW w:w="375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640B51FC"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CO</w:t>
            </w:r>
          </w:p>
        </w:tc>
        <w:tc>
          <w:tcPr>
            <w:tcW w:w="3119" w:type="dxa"/>
            <w:vMerge w:val="restart"/>
            <w:tcBorders>
              <w:top w:val="nil"/>
              <w:left w:val="nil"/>
              <w:bottom w:val="single" w:sz="8" w:space="0" w:color="000000"/>
              <w:right w:val="single" w:sz="8" w:space="0" w:color="000000"/>
            </w:tcBorders>
            <w:tcMar>
              <w:top w:w="0" w:type="dxa"/>
              <w:left w:w="10" w:type="dxa"/>
              <w:bottom w:w="0" w:type="dxa"/>
              <w:right w:w="10" w:type="dxa"/>
            </w:tcMar>
            <w:vAlign w:val="center"/>
          </w:tcPr>
          <w:p w14:paraId="21552EA7"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A</w:t>
            </w:r>
          </w:p>
        </w:tc>
      </w:tr>
      <w:tr w:rsidR="00E40657" w14:paraId="023BC6AD" w14:textId="77777777" w:rsidTr="00995E39">
        <w:trPr>
          <w:trHeight w:val="483"/>
        </w:trPr>
        <w:tc>
          <w:tcPr>
            <w:tcW w:w="1240"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7641FEAF"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400</w:t>
            </w:r>
            <w:r w:rsidRPr="0030358C">
              <w:rPr>
                <w:rFonts w:ascii="Arial" w:hAnsi="Arial" w:cs="Arial"/>
                <w:b/>
                <w:bCs/>
                <w:iCs/>
                <w:sz w:val="22"/>
                <w:szCs w:val="22"/>
                <w:vertAlign w:val="superscript"/>
                <w:lang w:eastAsia="zh-CN"/>
              </w:rPr>
              <w:t>2)</w:t>
            </w:r>
          </w:p>
        </w:tc>
        <w:tc>
          <w:tcPr>
            <w:tcW w:w="1237"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CD469AC"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400</w:t>
            </w:r>
          </w:p>
        </w:tc>
        <w:tc>
          <w:tcPr>
            <w:tcW w:w="3750" w:type="dxa"/>
            <w:tcBorders>
              <w:top w:val="nil"/>
              <w:left w:val="nil"/>
              <w:bottom w:val="single" w:sz="8" w:space="0" w:color="000000"/>
              <w:right w:val="single" w:sz="8" w:space="0" w:color="000000"/>
            </w:tcBorders>
            <w:tcMar>
              <w:top w:w="0" w:type="dxa"/>
              <w:left w:w="10" w:type="dxa"/>
              <w:bottom w:w="0" w:type="dxa"/>
              <w:right w:w="10" w:type="dxa"/>
            </w:tcMar>
            <w:vAlign w:val="center"/>
          </w:tcPr>
          <w:p w14:paraId="5BE6CD1D" w14:textId="77777777" w:rsidR="005B7939" w:rsidRPr="0030358C" w:rsidRDefault="00000000" w:rsidP="005B7939">
            <w:pPr>
              <w:widowControl w:val="0"/>
              <w:tabs>
                <w:tab w:val="left" w:pos="284"/>
              </w:tabs>
              <w:suppressAutoHyphens/>
              <w:autoSpaceDE w:val="0"/>
              <w:jc w:val="center"/>
              <w:rPr>
                <w:rFonts w:ascii="Arial" w:hAnsi="Arial" w:cs="Arial"/>
                <w:b/>
                <w:bCs/>
                <w:iCs/>
                <w:sz w:val="22"/>
                <w:szCs w:val="22"/>
                <w:lang w:eastAsia="zh-CN"/>
              </w:rPr>
            </w:pPr>
            <w:r w:rsidRPr="0030358C">
              <w:rPr>
                <w:rFonts w:ascii="Arial" w:hAnsi="Arial" w:cs="Arial"/>
                <w:b/>
                <w:bCs/>
                <w:iCs/>
                <w:sz w:val="22"/>
                <w:szCs w:val="22"/>
                <w:lang w:eastAsia="zh-CN"/>
              </w:rPr>
              <w:t>800</w:t>
            </w:r>
          </w:p>
        </w:tc>
        <w:tc>
          <w:tcPr>
            <w:tcW w:w="3119" w:type="dxa"/>
            <w:vMerge/>
            <w:tcBorders>
              <w:top w:val="nil"/>
              <w:left w:val="nil"/>
              <w:bottom w:val="single" w:sz="8" w:space="0" w:color="000000"/>
              <w:right w:val="single" w:sz="8" w:space="0" w:color="000000"/>
            </w:tcBorders>
          </w:tcPr>
          <w:p w14:paraId="4057C560" w14:textId="77777777" w:rsidR="005B7939" w:rsidRPr="0030358C" w:rsidRDefault="005B7939" w:rsidP="005B7939">
            <w:pPr>
              <w:widowControl w:val="0"/>
              <w:tabs>
                <w:tab w:val="left" w:pos="284"/>
              </w:tabs>
              <w:suppressAutoHyphens/>
              <w:autoSpaceDE w:val="0"/>
              <w:jc w:val="both"/>
              <w:rPr>
                <w:rFonts w:ascii="Arial" w:hAnsi="Arial" w:cs="Arial"/>
                <w:b/>
                <w:bCs/>
                <w:iCs/>
                <w:sz w:val="22"/>
                <w:szCs w:val="22"/>
                <w:lang w:eastAsia="zh-CN"/>
              </w:rPr>
            </w:pPr>
          </w:p>
        </w:tc>
      </w:tr>
    </w:tbl>
    <w:p w14:paraId="4A41834F" w14:textId="77777777" w:rsidR="005B7939" w:rsidRPr="0030358C" w:rsidRDefault="005B7939" w:rsidP="005B7939">
      <w:pPr>
        <w:widowControl w:val="0"/>
        <w:tabs>
          <w:tab w:val="left" w:pos="284"/>
        </w:tabs>
        <w:suppressAutoHyphens/>
        <w:autoSpaceDE w:val="0"/>
        <w:jc w:val="both"/>
        <w:rPr>
          <w:rFonts w:ascii="Arial" w:hAnsi="Arial" w:cs="Arial"/>
          <w:b/>
          <w:bCs/>
          <w:iCs/>
          <w:sz w:val="22"/>
          <w:szCs w:val="22"/>
          <w:lang w:eastAsia="zh-CN"/>
        </w:rPr>
      </w:pPr>
    </w:p>
    <w:p w14:paraId="4E574AD6" w14:textId="77777777" w:rsidR="005B7939" w:rsidRPr="0030358C" w:rsidRDefault="00000000" w:rsidP="005B7939">
      <w:pPr>
        <w:widowControl w:val="0"/>
        <w:tabs>
          <w:tab w:val="left" w:pos="284"/>
        </w:tabs>
        <w:suppressAutoHyphens/>
        <w:autoSpaceDE w:val="0"/>
        <w:jc w:val="both"/>
        <w:rPr>
          <w:rFonts w:ascii="Arial" w:hAnsi="Arial" w:cs="Arial"/>
          <w:b/>
          <w:bCs/>
          <w:iCs/>
          <w:sz w:val="22"/>
          <w:szCs w:val="22"/>
          <w:lang w:eastAsia="zh-CN"/>
        </w:rPr>
      </w:pPr>
      <w:r w:rsidRPr="0030358C">
        <w:rPr>
          <w:rFonts w:ascii="Arial" w:hAnsi="Arial" w:cs="Arial"/>
          <w:b/>
          <w:bCs/>
          <w:iCs/>
          <w:sz w:val="22"/>
          <w:szCs w:val="22"/>
          <w:lang w:eastAsia="zh-CN"/>
        </w:rPr>
        <w:t>Vysvětlivky:</w:t>
      </w:r>
    </w:p>
    <w:p w14:paraId="05DEDC1F" w14:textId="77777777" w:rsidR="005B7939" w:rsidRPr="0030358C" w:rsidRDefault="00000000" w:rsidP="005B7939">
      <w:pPr>
        <w:widowControl w:val="0"/>
        <w:tabs>
          <w:tab w:val="left" w:pos="284"/>
        </w:tabs>
        <w:suppressAutoHyphens/>
        <w:autoSpaceDE w:val="0"/>
        <w:jc w:val="both"/>
        <w:rPr>
          <w:rFonts w:ascii="Arial" w:hAnsi="Arial" w:cs="Arial"/>
          <w:b/>
          <w:bCs/>
          <w:iCs/>
          <w:sz w:val="22"/>
          <w:szCs w:val="22"/>
          <w:lang w:eastAsia="zh-CN"/>
        </w:rPr>
      </w:pPr>
      <w:r w:rsidRPr="0030358C">
        <w:rPr>
          <w:rFonts w:ascii="Arial" w:hAnsi="Arial" w:cs="Arial"/>
          <w:b/>
          <w:bCs/>
          <w:iCs/>
          <w:sz w:val="22"/>
          <w:szCs w:val="22"/>
          <w:lang w:eastAsia="zh-CN"/>
        </w:rPr>
        <w:t>1) Platí pro spalovací jednotky.</w:t>
      </w:r>
    </w:p>
    <w:p w14:paraId="51AF45B6" w14:textId="77777777" w:rsidR="005B7939" w:rsidRPr="0030358C" w:rsidRDefault="00000000" w:rsidP="005B7939">
      <w:pPr>
        <w:widowControl w:val="0"/>
        <w:tabs>
          <w:tab w:val="left" w:pos="284"/>
        </w:tabs>
        <w:suppressAutoHyphens/>
        <w:autoSpaceDE w:val="0"/>
        <w:jc w:val="both"/>
        <w:rPr>
          <w:rFonts w:ascii="Arial" w:hAnsi="Arial" w:cs="Arial"/>
          <w:b/>
          <w:bCs/>
          <w:iCs/>
          <w:sz w:val="22"/>
          <w:szCs w:val="22"/>
          <w:lang w:eastAsia="zh-CN"/>
        </w:rPr>
      </w:pPr>
      <w:r w:rsidRPr="0030358C">
        <w:rPr>
          <w:rFonts w:ascii="Arial" w:hAnsi="Arial" w:cs="Arial"/>
          <w:b/>
          <w:bCs/>
          <w:iCs/>
          <w:sz w:val="22"/>
          <w:szCs w:val="22"/>
          <w:lang w:eastAsia="zh-CN"/>
        </w:rPr>
        <w:t xml:space="preserve">2) </w:t>
      </w:r>
      <w:r w:rsidRPr="0030358C">
        <w:rPr>
          <w:rFonts w:ascii="Arial" w:hAnsi="Arial" w:cs="Arial"/>
          <w:b/>
          <w:bCs/>
          <w:iCs/>
          <w:sz w:val="22"/>
          <w:szCs w:val="22"/>
          <w:lang w:eastAsia="zh-CN"/>
        </w:rPr>
        <w:tab/>
        <w:t>Neplatí pro pece používající jako palivo pouze zemní plyn.</w:t>
      </w:r>
    </w:p>
    <w:p w14:paraId="4C1236A6" w14:textId="77777777" w:rsidR="005B7939" w:rsidRPr="0030358C" w:rsidRDefault="005B7939" w:rsidP="000032A3">
      <w:pPr>
        <w:widowControl w:val="0"/>
        <w:tabs>
          <w:tab w:val="left" w:pos="284"/>
        </w:tabs>
        <w:suppressAutoHyphens/>
        <w:autoSpaceDE w:val="0"/>
        <w:jc w:val="both"/>
        <w:rPr>
          <w:rFonts w:ascii="Arial" w:hAnsi="Arial" w:cs="Arial"/>
          <w:b/>
          <w:bCs/>
          <w:iCs/>
          <w:sz w:val="22"/>
          <w:szCs w:val="22"/>
          <w:lang w:eastAsia="zh-CN"/>
        </w:rPr>
      </w:pPr>
    </w:p>
    <w:p w14:paraId="71C76ED8" w14:textId="77777777" w:rsidR="008F52C8" w:rsidRPr="0030358C" w:rsidRDefault="008F52C8" w:rsidP="008F52C8">
      <w:pPr>
        <w:rPr>
          <w:rFonts w:ascii="Arial" w:hAnsi="Arial" w:cs="Arial"/>
          <w:b/>
          <w:bCs/>
          <w:sz w:val="22"/>
          <w:szCs w:val="22"/>
          <w:lang w:eastAsia="zh-CN"/>
        </w:rPr>
      </w:pPr>
    </w:p>
    <w:p w14:paraId="0AF44DEE" w14:textId="77777777" w:rsidR="008F52C8" w:rsidRPr="0030358C" w:rsidRDefault="008F52C8" w:rsidP="008F52C8">
      <w:pPr>
        <w:rPr>
          <w:rFonts w:ascii="Arial" w:hAnsi="Arial" w:cs="Arial"/>
          <w:b/>
          <w:bCs/>
          <w:sz w:val="22"/>
          <w:szCs w:val="22"/>
          <w:lang w:eastAsia="zh-CN"/>
        </w:rPr>
      </w:pPr>
    </w:p>
    <w:p w14:paraId="595E67DF" w14:textId="77777777" w:rsidR="008F52C8" w:rsidRPr="0030358C" w:rsidRDefault="00000000" w:rsidP="008F52C8">
      <w:pPr>
        <w:ind w:left="-142" w:firstLine="142"/>
        <w:rPr>
          <w:rFonts w:ascii="Arial" w:hAnsi="Arial" w:cs="Arial"/>
          <w:b/>
          <w:bCs/>
          <w:sz w:val="22"/>
          <w:szCs w:val="22"/>
          <w:lang w:eastAsia="zh-CN"/>
        </w:rPr>
      </w:pPr>
      <w:r w:rsidRPr="0030358C">
        <w:rPr>
          <w:rFonts w:ascii="Arial" w:hAnsi="Arial" w:cs="Arial"/>
          <w:b/>
          <w:bCs/>
          <w:sz w:val="22"/>
          <w:szCs w:val="22"/>
          <w:lang w:eastAsia="zh-CN"/>
        </w:rPr>
        <w:t>3.5.3. – 3.5.7. (kód 4.6.3. – 4.6.7. dle přílohy č. 2 zákona)</w:t>
      </w:r>
    </w:p>
    <w:tbl>
      <w:tblPr>
        <w:tblW w:w="9366" w:type="dxa"/>
        <w:tblInd w:w="-15" w:type="dxa"/>
        <w:tblLayout w:type="fixed"/>
        <w:tblLook w:val="0000" w:firstRow="0" w:lastRow="0" w:firstColumn="0" w:lastColumn="0" w:noHBand="0" w:noVBand="0"/>
      </w:tblPr>
      <w:tblGrid>
        <w:gridCol w:w="1420"/>
        <w:gridCol w:w="1378"/>
        <w:gridCol w:w="1537"/>
        <w:gridCol w:w="8"/>
        <w:gridCol w:w="1167"/>
        <w:gridCol w:w="1417"/>
        <w:gridCol w:w="2439"/>
      </w:tblGrid>
      <w:tr w:rsidR="00E40657" w14:paraId="1A1F3C1E" w14:textId="77777777" w:rsidTr="00732453">
        <w:trPr>
          <w:cantSplit/>
          <w:trHeight w:hRule="exact" w:val="340"/>
        </w:trPr>
        <w:tc>
          <w:tcPr>
            <w:tcW w:w="6927" w:type="dxa"/>
            <w:gridSpan w:val="6"/>
            <w:tcBorders>
              <w:top w:val="single" w:sz="4" w:space="0" w:color="000000"/>
              <w:left w:val="single" w:sz="4" w:space="0" w:color="000000"/>
              <w:bottom w:val="single" w:sz="4" w:space="0" w:color="000000"/>
            </w:tcBorders>
            <w:shd w:val="clear" w:color="auto" w:fill="auto"/>
            <w:vAlign w:val="center"/>
          </w:tcPr>
          <w:p w14:paraId="15C3A9A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4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F7A9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AB23688" w14:textId="77777777" w:rsidTr="00732453">
        <w:trPr>
          <w:cantSplit/>
          <w:trHeight w:hRule="exact" w:val="406"/>
        </w:trPr>
        <w:tc>
          <w:tcPr>
            <w:tcW w:w="1420" w:type="dxa"/>
            <w:tcBorders>
              <w:left w:val="single" w:sz="4" w:space="0" w:color="000000"/>
              <w:bottom w:val="single" w:sz="4" w:space="0" w:color="000000"/>
            </w:tcBorders>
            <w:shd w:val="clear" w:color="auto" w:fill="auto"/>
            <w:vAlign w:val="center"/>
          </w:tcPr>
          <w:p w14:paraId="3B51FA0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378" w:type="dxa"/>
            <w:tcBorders>
              <w:left w:val="single" w:sz="4" w:space="0" w:color="000000"/>
              <w:bottom w:val="single" w:sz="4" w:space="0" w:color="000000"/>
            </w:tcBorders>
            <w:shd w:val="clear" w:color="auto" w:fill="auto"/>
            <w:vAlign w:val="center"/>
          </w:tcPr>
          <w:p w14:paraId="52F1C20C"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537" w:type="dxa"/>
            <w:tcBorders>
              <w:left w:val="single" w:sz="4" w:space="0" w:color="000000"/>
              <w:bottom w:val="single" w:sz="4" w:space="0" w:color="000000"/>
            </w:tcBorders>
            <w:shd w:val="clear" w:color="auto" w:fill="auto"/>
            <w:vAlign w:val="center"/>
          </w:tcPr>
          <w:p w14:paraId="1FAE2898"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175" w:type="dxa"/>
            <w:gridSpan w:val="2"/>
            <w:tcBorders>
              <w:left w:val="single" w:sz="4" w:space="0" w:color="000000"/>
              <w:bottom w:val="single" w:sz="4" w:space="0" w:color="000000"/>
            </w:tcBorders>
            <w:shd w:val="clear" w:color="auto" w:fill="auto"/>
            <w:vAlign w:val="center"/>
          </w:tcPr>
          <w:p w14:paraId="775807B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417" w:type="dxa"/>
            <w:tcBorders>
              <w:left w:val="single" w:sz="4" w:space="0" w:color="000000"/>
              <w:bottom w:val="single" w:sz="4" w:space="0" w:color="000000"/>
            </w:tcBorders>
            <w:shd w:val="clear" w:color="auto" w:fill="auto"/>
            <w:vAlign w:val="center"/>
          </w:tcPr>
          <w:p w14:paraId="072CCFA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24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27CB61" w14:textId="77777777" w:rsidR="008F52C8" w:rsidRPr="0030358C" w:rsidRDefault="008F52C8" w:rsidP="00732453">
            <w:pPr>
              <w:snapToGrid w:val="0"/>
              <w:rPr>
                <w:rFonts w:ascii="Arial" w:hAnsi="Arial" w:cs="Arial"/>
                <w:b/>
                <w:bCs/>
                <w:sz w:val="22"/>
                <w:szCs w:val="22"/>
                <w:lang w:eastAsia="zh-CN"/>
              </w:rPr>
            </w:pPr>
          </w:p>
        </w:tc>
      </w:tr>
      <w:tr w:rsidR="00E40657" w14:paraId="51250D59"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1E2E7A3"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3.5.3. Tavení v elektrické obloukové peci (kód 4.6.3. dle přílohy č. 2 zákona)</w:t>
            </w:r>
          </w:p>
          <w:p w14:paraId="78DCFEBA" w14:textId="77777777" w:rsidR="008F52C8" w:rsidRPr="0030358C" w:rsidRDefault="008F52C8" w:rsidP="00732453">
            <w:pPr>
              <w:snapToGrid w:val="0"/>
              <w:rPr>
                <w:rFonts w:ascii="Arial" w:hAnsi="Arial" w:cs="Arial"/>
                <w:b/>
                <w:bCs/>
                <w:sz w:val="22"/>
                <w:szCs w:val="22"/>
                <w:lang w:eastAsia="zh-CN"/>
              </w:rPr>
            </w:pPr>
          </w:p>
        </w:tc>
      </w:tr>
      <w:tr w:rsidR="00E40657" w14:paraId="1590A6AD" w14:textId="77777777" w:rsidTr="00732453">
        <w:trPr>
          <w:cantSplit/>
          <w:trHeight w:hRule="exact" w:val="354"/>
        </w:trPr>
        <w:tc>
          <w:tcPr>
            <w:tcW w:w="1420" w:type="dxa"/>
            <w:tcBorders>
              <w:left w:val="single" w:sz="4" w:space="0" w:color="000000"/>
              <w:bottom w:val="single" w:sz="4" w:space="0" w:color="000000"/>
            </w:tcBorders>
            <w:shd w:val="clear" w:color="auto" w:fill="auto"/>
            <w:vAlign w:val="center"/>
          </w:tcPr>
          <w:p w14:paraId="157DEFC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1B64034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45" w:type="dxa"/>
            <w:gridSpan w:val="2"/>
            <w:tcBorders>
              <w:left w:val="single" w:sz="4" w:space="0" w:color="000000"/>
              <w:bottom w:val="single" w:sz="4" w:space="0" w:color="000000"/>
            </w:tcBorders>
            <w:shd w:val="clear" w:color="auto" w:fill="auto"/>
            <w:vAlign w:val="center"/>
          </w:tcPr>
          <w:p w14:paraId="66DE82C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167" w:type="dxa"/>
            <w:tcBorders>
              <w:left w:val="single" w:sz="4" w:space="0" w:color="000000"/>
              <w:bottom w:val="single" w:sz="4" w:space="0" w:color="000000"/>
            </w:tcBorders>
            <w:shd w:val="clear" w:color="auto" w:fill="auto"/>
            <w:vAlign w:val="center"/>
          </w:tcPr>
          <w:p w14:paraId="014CBB4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417" w:type="dxa"/>
            <w:tcBorders>
              <w:left w:val="single" w:sz="4" w:space="0" w:color="000000"/>
              <w:bottom w:val="single" w:sz="4" w:space="0" w:color="000000"/>
              <w:right w:val="single" w:sz="4" w:space="0" w:color="000000"/>
            </w:tcBorders>
            <w:shd w:val="clear" w:color="auto" w:fill="auto"/>
            <w:vAlign w:val="center"/>
          </w:tcPr>
          <w:p w14:paraId="77BA681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4538228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7065D838"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956FF54"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3.5.4. Tavení v elektrické indukční peci (kód 4.6.4. dle přílohy č. 2 zákona)</w:t>
            </w:r>
          </w:p>
          <w:p w14:paraId="498E3A78" w14:textId="77777777" w:rsidR="008F52C8" w:rsidRPr="0030358C" w:rsidRDefault="008F52C8" w:rsidP="00732453">
            <w:pPr>
              <w:snapToGrid w:val="0"/>
              <w:rPr>
                <w:rFonts w:ascii="Arial" w:hAnsi="Arial" w:cs="Arial"/>
                <w:b/>
                <w:bCs/>
                <w:sz w:val="22"/>
                <w:szCs w:val="22"/>
                <w:lang w:eastAsia="zh-CN"/>
              </w:rPr>
            </w:pPr>
          </w:p>
        </w:tc>
      </w:tr>
      <w:tr w:rsidR="00E40657" w14:paraId="3475F7EB" w14:textId="77777777" w:rsidTr="00732453">
        <w:trPr>
          <w:cantSplit/>
          <w:trHeight w:hRule="exact" w:val="340"/>
        </w:trPr>
        <w:tc>
          <w:tcPr>
            <w:tcW w:w="1420" w:type="dxa"/>
            <w:tcBorders>
              <w:left w:val="single" w:sz="4" w:space="0" w:color="000000"/>
              <w:bottom w:val="single" w:sz="4" w:space="0" w:color="000000"/>
            </w:tcBorders>
            <w:shd w:val="clear" w:color="auto" w:fill="auto"/>
            <w:vAlign w:val="center"/>
          </w:tcPr>
          <w:p w14:paraId="0E24D94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36AF3E4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37" w:type="dxa"/>
            <w:tcBorders>
              <w:left w:val="single" w:sz="4" w:space="0" w:color="000000"/>
              <w:bottom w:val="single" w:sz="4" w:space="0" w:color="000000"/>
            </w:tcBorders>
            <w:shd w:val="clear" w:color="auto" w:fill="auto"/>
            <w:vAlign w:val="center"/>
          </w:tcPr>
          <w:p w14:paraId="7BF5BF7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175" w:type="dxa"/>
            <w:gridSpan w:val="2"/>
            <w:tcBorders>
              <w:left w:val="single" w:sz="4" w:space="0" w:color="000000"/>
              <w:bottom w:val="single" w:sz="4" w:space="0" w:color="000000"/>
            </w:tcBorders>
            <w:shd w:val="clear" w:color="auto" w:fill="auto"/>
            <w:vAlign w:val="center"/>
          </w:tcPr>
          <w:p w14:paraId="1DBF8B4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417" w:type="dxa"/>
            <w:tcBorders>
              <w:left w:val="single" w:sz="4" w:space="0" w:color="000000"/>
              <w:bottom w:val="single" w:sz="4" w:space="0" w:color="000000"/>
            </w:tcBorders>
            <w:shd w:val="clear" w:color="auto" w:fill="auto"/>
            <w:vAlign w:val="center"/>
          </w:tcPr>
          <w:p w14:paraId="584FFD0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0FAB29F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3F1128D2"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CB4D0A2"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3.5.5. Kuplovny (kód 4.6.5. dle přílohy č. 2 zákona)</w:t>
            </w:r>
          </w:p>
          <w:p w14:paraId="2FB49DA9" w14:textId="77777777" w:rsidR="008F52C8" w:rsidRPr="0030358C" w:rsidRDefault="008F52C8" w:rsidP="00732453">
            <w:pPr>
              <w:snapToGrid w:val="0"/>
              <w:rPr>
                <w:rFonts w:ascii="Arial" w:hAnsi="Arial" w:cs="Arial"/>
                <w:b/>
                <w:bCs/>
                <w:sz w:val="22"/>
                <w:szCs w:val="22"/>
                <w:lang w:eastAsia="zh-CN"/>
              </w:rPr>
            </w:pPr>
          </w:p>
        </w:tc>
      </w:tr>
      <w:tr w:rsidR="00E40657" w14:paraId="14231AF7" w14:textId="77777777" w:rsidTr="00732453">
        <w:trPr>
          <w:cantSplit/>
          <w:trHeight w:hRule="exact" w:val="373"/>
        </w:trPr>
        <w:tc>
          <w:tcPr>
            <w:tcW w:w="1420" w:type="dxa"/>
            <w:tcBorders>
              <w:top w:val="single" w:sz="4" w:space="0" w:color="000000"/>
              <w:left w:val="single" w:sz="4" w:space="0" w:color="000000"/>
              <w:bottom w:val="single" w:sz="4" w:space="0" w:color="000000"/>
            </w:tcBorders>
            <w:shd w:val="clear" w:color="auto" w:fill="auto"/>
            <w:vAlign w:val="center"/>
          </w:tcPr>
          <w:p w14:paraId="1057E49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378" w:type="dxa"/>
            <w:tcBorders>
              <w:top w:val="single" w:sz="4" w:space="0" w:color="000000"/>
              <w:left w:val="single" w:sz="4" w:space="0" w:color="000000"/>
              <w:bottom w:val="single" w:sz="4" w:space="0" w:color="000000"/>
            </w:tcBorders>
            <w:shd w:val="clear" w:color="auto" w:fill="auto"/>
            <w:vAlign w:val="center"/>
          </w:tcPr>
          <w:p w14:paraId="16EA638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537" w:type="dxa"/>
            <w:tcBorders>
              <w:top w:val="single" w:sz="4" w:space="0" w:color="000000"/>
              <w:left w:val="single" w:sz="4" w:space="0" w:color="000000"/>
              <w:bottom w:val="single" w:sz="4" w:space="0" w:color="000000"/>
            </w:tcBorders>
            <w:shd w:val="clear" w:color="auto" w:fill="auto"/>
            <w:vAlign w:val="center"/>
          </w:tcPr>
          <w:p w14:paraId="38FA167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175" w:type="dxa"/>
            <w:gridSpan w:val="2"/>
            <w:tcBorders>
              <w:top w:val="single" w:sz="4" w:space="0" w:color="000000"/>
              <w:left w:val="single" w:sz="4" w:space="0" w:color="000000"/>
              <w:bottom w:val="single" w:sz="4" w:space="0" w:color="000000"/>
            </w:tcBorders>
            <w:shd w:val="clear" w:color="auto" w:fill="auto"/>
            <w:vAlign w:val="center"/>
          </w:tcPr>
          <w:p w14:paraId="6D3D22A1"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1000</w:t>
            </w:r>
            <w:r w:rsidRPr="0030358C">
              <w:rPr>
                <w:rFonts w:ascii="Arial" w:hAnsi="Arial" w:cs="Arial"/>
                <w:b/>
                <w:bCs/>
                <w:sz w:val="22"/>
                <w:szCs w:val="22"/>
                <w:vertAlign w:val="superscript"/>
                <w:lang w:eastAsia="zh-CN"/>
              </w:rPr>
              <w:t>1)</w:t>
            </w:r>
          </w:p>
        </w:tc>
        <w:tc>
          <w:tcPr>
            <w:tcW w:w="1417" w:type="dxa"/>
            <w:tcBorders>
              <w:top w:val="single" w:sz="4" w:space="0" w:color="000000"/>
              <w:left w:val="single" w:sz="4" w:space="0" w:color="000000"/>
              <w:bottom w:val="single" w:sz="4" w:space="0" w:color="000000"/>
            </w:tcBorders>
            <w:shd w:val="clear" w:color="auto" w:fill="auto"/>
            <w:vAlign w:val="center"/>
          </w:tcPr>
          <w:p w14:paraId="5D66724C"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2)</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BB88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468718B7"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1CE3C3D"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3.5.6. Tavení v ostatních pecích – kapalná paliva (kód 4.6.6. dle přílohy č. 2 zákona)</w:t>
            </w:r>
          </w:p>
          <w:p w14:paraId="7FE9C713" w14:textId="77777777" w:rsidR="008F52C8" w:rsidRPr="0030358C" w:rsidRDefault="008F52C8" w:rsidP="00732453">
            <w:pPr>
              <w:snapToGrid w:val="0"/>
              <w:rPr>
                <w:rFonts w:ascii="Arial" w:hAnsi="Arial" w:cs="Arial"/>
                <w:b/>
                <w:bCs/>
                <w:sz w:val="22"/>
                <w:szCs w:val="22"/>
                <w:lang w:eastAsia="zh-CN"/>
              </w:rPr>
            </w:pPr>
          </w:p>
        </w:tc>
      </w:tr>
      <w:tr w:rsidR="00E40657" w14:paraId="24BCDCAB" w14:textId="77777777" w:rsidTr="00732453">
        <w:trPr>
          <w:cantSplit/>
          <w:trHeight w:hRule="exact" w:val="648"/>
        </w:trPr>
        <w:tc>
          <w:tcPr>
            <w:tcW w:w="1420" w:type="dxa"/>
            <w:tcBorders>
              <w:left w:val="single" w:sz="4" w:space="0" w:color="000000"/>
              <w:bottom w:val="single" w:sz="4" w:space="0" w:color="000000"/>
            </w:tcBorders>
            <w:shd w:val="clear" w:color="auto" w:fill="auto"/>
            <w:vAlign w:val="center"/>
          </w:tcPr>
          <w:p w14:paraId="47CC053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78F0D58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1700</w:t>
            </w:r>
          </w:p>
        </w:tc>
        <w:tc>
          <w:tcPr>
            <w:tcW w:w="1537" w:type="dxa"/>
            <w:tcBorders>
              <w:left w:val="single" w:sz="4" w:space="0" w:color="000000"/>
              <w:bottom w:val="single" w:sz="4" w:space="0" w:color="000000"/>
            </w:tcBorders>
            <w:shd w:val="clear" w:color="auto" w:fill="auto"/>
            <w:vAlign w:val="center"/>
          </w:tcPr>
          <w:p w14:paraId="4A3DD33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175" w:type="dxa"/>
            <w:gridSpan w:val="2"/>
            <w:tcBorders>
              <w:left w:val="single" w:sz="4" w:space="0" w:color="000000"/>
              <w:bottom w:val="single" w:sz="4" w:space="0" w:color="000000"/>
            </w:tcBorders>
            <w:shd w:val="clear" w:color="auto" w:fill="auto"/>
            <w:vAlign w:val="center"/>
          </w:tcPr>
          <w:p w14:paraId="40DC15E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300</w:t>
            </w:r>
          </w:p>
        </w:tc>
        <w:tc>
          <w:tcPr>
            <w:tcW w:w="1417" w:type="dxa"/>
            <w:tcBorders>
              <w:left w:val="single" w:sz="4" w:space="0" w:color="000000"/>
              <w:bottom w:val="single" w:sz="4" w:space="0" w:color="000000"/>
            </w:tcBorders>
            <w:shd w:val="clear" w:color="auto" w:fill="auto"/>
            <w:vAlign w:val="center"/>
          </w:tcPr>
          <w:p w14:paraId="5642337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44BD143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26D26E9C" w14:textId="77777777" w:rsidTr="00732453">
        <w:trPr>
          <w:cantSplit/>
          <w:trHeight w:hRule="exact" w:val="340"/>
        </w:trPr>
        <w:tc>
          <w:tcPr>
            <w:tcW w:w="93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C6A546C"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3.5.7. Tavení v ostatních pecích – plynná paliva (kód 4.6.7. dle přílohy č. 2 zákona)</w:t>
            </w:r>
          </w:p>
          <w:p w14:paraId="1635BE4E" w14:textId="77777777" w:rsidR="008F52C8" w:rsidRPr="0030358C" w:rsidRDefault="008F52C8" w:rsidP="00732453">
            <w:pPr>
              <w:snapToGrid w:val="0"/>
              <w:rPr>
                <w:rFonts w:ascii="Arial" w:hAnsi="Arial" w:cs="Arial"/>
                <w:b/>
                <w:bCs/>
                <w:sz w:val="22"/>
                <w:szCs w:val="22"/>
                <w:lang w:eastAsia="zh-CN"/>
              </w:rPr>
            </w:pPr>
          </w:p>
        </w:tc>
      </w:tr>
      <w:tr w:rsidR="00E40657" w14:paraId="7A661DEA" w14:textId="77777777" w:rsidTr="00732453">
        <w:trPr>
          <w:cantSplit/>
          <w:trHeight w:hRule="exact" w:val="380"/>
        </w:trPr>
        <w:tc>
          <w:tcPr>
            <w:tcW w:w="1420" w:type="dxa"/>
            <w:tcBorders>
              <w:left w:val="single" w:sz="4" w:space="0" w:color="000000"/>
              <w:bottom w:val="single" w:sz="4" w:space="0" w:color="000000"/>
            </w:tcBorders>
            <w:shd w:val="clear" w:color="auto" w:fill="auto"/>
            <w:vAlign w:val="center"/>
          </w:tcPr>
          <w:p w14:paraId="71EA19F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378" w:type="dxa"/>
            <w:tcBorders>
              <w:left w:val="single" w:sz="4" w:space="0" w:color="000000"/>
              <w:bottom w:val="single" w:sz="4" w:space="0" w:color="000000"/>
            </w:tcBorders>
            <w:shd w:val="clear" w:color="auto" w:fill="auto"/>
            <w:vAlign w:val="center"/>
          </w:tcPr>
          <w:p w14:paraId="3CF2AA3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37" w:type="dxa"/>
            <w:tcBorders>
              <w:left w:val="single" w:sz="4" w:space="0" w:color="000000"/>
              <w:bottom w:val="single" w:sz="4" w:space="0" w:color="000000"/>
            </w:tcBorders>
            <w:shd w:val="clear" w:color="auto" w:fill="auto"/>
            <w:vAlign w:val="center"/>
          </w:tcPr>
          <w:p w14:paraId="4477D9B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175" w:type="dxa"/>
            <w:gridSpan w:val="2"/>
            <w:tcBorders>
              <w:left w:val="single" w:sz="4" w:space="0" w:color="000000"/>
              <w:bottom w:val="single" w:sz="4" w:space="0" w:color="000000"/>
            </w:tcBorders>
            <w:shd w:val="clear" w:color="auto" w:fill="auto"/>
            <w:vAlign w:val="center"/>
          </w:tcPr>
          <w:p w14:paraId="44E818F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200</w:t>
            </w:r>
          </w:p>
        </w:tc>
        <w:tc>
          <w:tcPr>
            <w:tcW w:w="1417" w:type="dxa"/>
            <w:tcBorders>
              <w:left w:val="single" w:sz="4" w:space="0" w:color="000000"/>
              <w:bottom w:val="single" w:sz="4" w:space="0" w:color="000000"/>
            </w:tcBorders>
            <w:shd w:val="clear" w:color="auto" w:fill="auto"/>
            <w:vAlign w:val="center"/>
          </w:tcPr>
          <w:p w14:paraId="1713CE7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439" w:type="dxa"/>
            <w:tcBorders>
              <w:left w:val="single" w:sz="4" w:space="0" w:color="000000"/>
              <w:bottom w:val="single" w:sz="4" w:space="0" w:color="000000"/>
              <w:right w:val="single" w:sz="4" w:space="0" w:color="000000"/>
            </w:tcBorders>
            <w:shd w:val="clear" w:color="auto" w:fill="auto"/>
            <w:vAlign w:val="center"/>
          </w:tcPr>
          <w:p w14:paraId="6DE4B7A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3A968648" w14:textId="77777777" w:rsidR="008F52C8" w:rsidRPr="0030358C" w:rsidRDefault="00000000" w:rsidP="008F52C8">
      <w:pPr>
        <w:spacing w:before="60" w:line="300" w:lineRule="exact"/>
        <w:rPr>
          <w:rFonts w:ascii="Arial" w:hAnsi="Arial" w:cs="Arial"/>
          <w:b/>
          <w:bCs/>
          <w:sz w:val="22"/>
          <w:szCs w:val="22"/>
          <w:lang w:eastAsia="zh-CN"/>
        </w:rPr>
      </w:pPr>
      <w:r w:rsidRPr="0030358C">
        <w:rPr>
          <w:rFonts w:ascii="Arial" w:hAnsi="Arial" w:cs="Arial"/>
          <w:b/>
          <w:bCs/>
          <w:sz w:val="22"/>
          <w:szCs w:val="22"/>
          <w:lang w:eastAsia="zh-CN"/>
        </w:rPr>
        <w:t>Vysvětlivky:</w:t>
      </w:r>
    </w:p>
    <w:p w14:paraId="3BAA3DC4" w14:textId="77777777" w:rsidR="008F52C8" w:rsidRPr="0030358C" w:rsidRDefault="00000000" w:rsidP="000032A3">
      <w:pPr>
        <w:keepNext/>
        <w:keepLines/>
        <w:suppressAutoHyphens/>
        <w:jc w:val="both"/>
        <w:rPr>
          <w:rFonts w:ascii="Arial" w:hAnsi="Arial" w:cs="Arial"/>
          <w:b/>
          <w:bCs/>
          <w:iCs/>
          <w:sz w:val="22"/>
          <w:szCs w:val="22"/>
          <w:lang w:eastAsia="zh-CN"/>
        </w:rPr>
      </w:pPr>
      <w:r w:rsidRPr="0030358C">
        <w:rPr>
          <w:rFonts w:ascii="Arial" w:hAnsi="Arial" w:cs="Arial"/>
          <w:b/>
          <w:bCs/>
          <w:iCs/>
          <w:sz w:val="22"/>
          <w:szCs w:val="22"/>
          <w:lang w:eastAsia="zh-CN"/>
        </w:rPr>
        <w:t xml:space="preserve">1) </w:t>
      </w:r>
      <w:r w:rsidRPr="0030358C">
        <w:rPr>
          <w:rFonts w:ascii="Arial" w:hAnsi="Arial" w:cs="Arial"/>
          <w:b/>
          <w:bCs/>
          <w:iCs/>
          <w:sz w:val="22"/>
          <w:szCs w:val="22"/>
          <w:lang w:eastAsia="zh-CN"/>
        </w:rPr>
        <w:tab/>
        <w:t>Platí v komíně za rekuperátorem u horkovětrných kuploven.</w:t>
      </w:r>
    </w:p>
    <w:p w14:paraId="0D10583B" w14:textId="77777777" w:rsidR="008F52C8" w:rsidRPr="0030358C" w:rsidRDefault="00000000" w:rsidP="000032A3">
      <w:pPr>
        <w:keepNext/>
        <w:keepLines/>
        <w:suppressAutoHyphens/>
        <w:jc w:val="both"/>
        <w:rPr>
          <w:rFonts w:ascii="Arial" w:hAnsi="Arial" w:cs="Arial"/>
          <w:b/>
          <w:bCs/>
          <w:iCs/>
          <w:sz w:val="22"/>
          <w:szCs w:val="22"/>
          <w:lang w:eastAsia="zh-CN"/>
        </w:rPr>
      </w:pPr>
      <w:r w:rsidRPr="0030358C">
        <w:rPr>
          <w:rFonts w:ascii="Arial" w:hAnsi="Arial" w:cs="Arial"/>
          <w:b/>
          <w:bCs/>
          <w:iCs/>
          <w:sz w:val="22"/>
          <w:szCs w:val="22"/>
          <w:lang w:eastAsia="zh-CN"/>
        </w:rPr>
        <w:t>2)</w:t>
      </w:r>
      <w:r w:rsidRPr="0030358C">
        <w:rPr>
          <w:rFonts w:ascii="Arial" w:hAnsi="Arial" w:cs="Arial"/>
          <w:b/>
          <w:bCs/>
          <w:iCs/>
          <w:sz w:val="22"/>
          <w:szCs w:val="22"/>
          <w:lang w:eastAsia="zh-CN"/>
        </w:rPr>
        <w:tab/>
        <w:t>Platí pro studenovětrné kuplovny.</w:t>
      </w:r>
    </w:p>
    <w:p w14:paraId="4715829C" w14:textId="77777777" w:rsidR="008F52C8" w:rsidRPr="0030358C" w:rsidRDefault="008F52C8" w:rsidP="008F52C8">
      <w:pPr>
        <w:widowControl w:val="0"/>
        <w:autoSpaceDE w:val="0"/>
        <w:spacing w:before="60" w:line="300" w:lineRule="exact"/>
        <w:jc w:val="both"/>
        <w:rPr>
          <w:rFonts w:ascii="Arial" w:hAnsi="Arial" w:cs="Arial"/>
          <w:b/>
          <w:bCs/>
          <w:sz w:val="22"/>
          <w:szCs w:val="22"/>
          <w:lang w:eastAsia="zh-CN"/>
        </w:rPr>
      </w:pPr>
    </w:p>
    <w:p w14:paraId="1F4076D6"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071BB342" w14:textId="77777777" w:rsidR="008F52C8" w:rsidRPr="0030358C" w:rsidRDefault="00000000" w:rsidP="008F52C8">
      <w:pPr>
        <w:pStyle w:val="Odstavecseseznamem"/>
        <w:keepNext/>
        <w:keepLines/>
        <w:numPr>
          <w:ilvl w:val="0"/>
          <w:numId w:val="190"/>
        </w:numPr>
        <w:tabs>
          <w:tab w:val="left" w:pos="180"/>
        </w:tabs>
        <w:suppressAutoHyphens/>
        <w:spacing w:after="0" w:line="240" w:lineRule="auto"/>
        <w:jc w:val="both"/>
        <w:rPr>
          <w:rFonts w:ascii="Arial" w:hAnsi="Arial" w:cs="Arial"/>
          <w:b/>
          <w:bCs/>
          <w:lang w:eastAsia="zh-CN"/>
        </w:rPr>
      </w:pPr>
      <w:r w:rsidRPr="0030358C">
        <w:rPr>
          <w:rFonts w:ascii="Arial" w:hAnsi="Arial" w:cs="Arial"/>
          <w:b/>
          <w:bCs/>
          <w:lang w:eastAsia="zh-CN"/>
        </w:rPr>
        <w:lastRenderedPageBreak/>
        <w:t>U studenovětrných kuploven omezování emisí CO běžně dostupnými prostředky</w:t>
      </w:r>
      <w:r w:rsidR="0076411E" w:rsidRPr="0030358C">
        <w:rPr>
          <w:rFonts w:ascii="Arial" w:hAnsi="Arial" w:cs="Arial"/>
          <w:b/>
          <w:bCs/>
          <w:lang w:eastAsia="zh-CN"/>
        </w:rPr>
        <w:t>,</w:t>
      </w:r>
      <w:r w:rsidRPr="0030358C">
        <w:rPr>
          <w:rFonts w:ascii="Arial" w:hAnsi="Arial" w:cs="Arial"/>
          <w:b/>
          <w:bCs/>
          <w:lang w:eastAsia="zh-CN"/>
        </w:rPr>
        <w:t xml:space="preserve"> např. zlepšením tepelné účinnosti kuplovny, řízením jakosti koksu na vstupu, dodatečným spalováním, použitím biofiltru.</w:t>
      </w:r>
    </w:p>
    <w:p w14:paraId="4CB89157" w14:textId="77777777" w:rsidR="008F52C8" w:rsidRPr="0030358C" w:rsidRDefault="008F52C8" w:rsidP="008F52C8">
      <w:pPr>
        <w:keepNext/>
        <w:keepLines/>
        <w:tabs>
          <w:tab w:val="left" w:pos="180"/>
        </w:tabs>
        <w:jc w:val="both"/>
        <w:rPr>
          <w:rFonts w:ascii="Arial" w:hAnsi="Arial" w:cs="Arial"/>
          <w:b/>
          <w:bCs/>
          <w:sz w:val="22"/>
          <w:szCs w:val="22"/>
          <w:lang w:eastAsia="zh-CN"/>
        </w:rPr>
      </w:pPr>
    </w:p>
    <w:p w14:paraId="5FAC9071" w14:textId="77777777" w:rsidR="008F52C8" w:rsidRPr="0030358C" w:rsidRDefault="00000000" w:rsidP="008F52C8">
      <w:pPr>
        <w:pStyle w:val="Odstavecseseznamem"/>
        <w:keepNext/>
        <w:keepLines/>
        <w:numPr>
          <w:ilvl w:val="0"/>
          <w:numId w:val="190"/>
        </w:numPr>
        <w:tabs>
          <w:tab w:val="left" w:pos="180"/>
        </w:tabs>
        <w:suppressAutoHyphens/>
        <w:spacing w:after="0" w:line="240" w:lineRule="auto"/>
        <w:jc w:val="both"/>
        <w:rPr>
          <w:rFonts w:ascii="Arial" w:hAnsi="Arial" w:cs="Arial"/>
          <w:b/>
          <w:bCs/>
          <w:lang w:eastAsia="zh-CN"/>
        </w:rPr>
      </w:pPr>
      <w:r w:rsidRPr="0030358C">
        <w:rPr>
          <w:rFonts w:ascii="Arial" w:hAnsi="Arial" w:cs="Arial"/>
          <w:b/>
          <w:bCs/>
          <w:lang w:eastAsia="zh-CN"/>
        </w:rPr>
        <w:t>Při tavení a odlévání jsou za účelem snížení fugitivních emisí prachu (včetně otevřeného pecního víka) používány odtahové zákryty, sběrné systémy či jiná zařízení pro záchyt těchto emisí s obdobnou účinností a tyto jsou svedeny do zařízení ke snižování emisí.</w:t>
      </w:r>
    </w:p>
    <w:p w14:paraId="7A2E3715" w14:textId="77777777" w:rsidR="008F52C8" w:rsidRPr="0030358C" w:rsidRDefault="008F52C8" w:rsidP="008F52C8">
      <w:pPr>
        <w:keepNext/>
        <w:keepLines/>
        <w:tabs>
          <w:tab w:val="left" w:pos="180"/>
        </w:tabs>
        <w:jc w:val="both"/>
        <w:rPr>
          <w:rFonts w:ascii="Arial" w:hAnsi="Arial" w:cs="Arial"/>
          <w:b/>
          <w:bCs/>
          <w:sz w:val="22"/>
          <w:szCs w:val="22"/>
          <w:lang w:eastAsia="zh-CN"/>
        </w:rPr>
      </w:pPr>
    </w:p>
    <w:p w14:paraId="5A042061" w14:textId="77777777" w:rsidR="008F52C8" w:rsidRPr="0030358C" w:rsidRDefault="008F52C8" w:rsidP="008F52C8">
      <w:pPr>
        <w:keepNext/>
        <w:keepLines/>
        <w:tabs>
          <w:tab w:val="left" w:pos="180"/>
        </w:tabs>
        <w:jc w:val="both"/>
        <w:rPr>
          <w:rFonts w:ascii="Arial" w:hAnsi="Arial" w:cs="Arial"/>
          <w:b/>
          <w:bCs/>
          <w:sz w:val="22"/>
          <w:szCs w:val="22"/>
          <w:lang w:eastAsia="zh-CN"/>
        </w:rPr>
      </w:pPr>
    </w:p>
    <w:p w14:paraId="6B5B1DE6" w14:textId="77777777" w:rsidR="008F52C8" w:rsidRPr="0030358C" w:rsidRDefault="008F52C8" w:rsidP="008F52C8">
      <w:pPr>
        <w:widowControl w:val="0"/>
        <w:autoSpaceDE w:val="0"/>
        <w:spacing w:before="60" w:line="300" w:lineRule="exact"/>
        <w:jc w:val="both"/>
        <w:rPr>
          <w:rFonts w:ascii="Arial" w:hAnsi="Arial" w:cs="Arial"/>
          <w:b/>
          <w:bCs/>
          <w:sz w:val="22"/>
          <w:szCs w:val="22"/>
          <w:lang w:eastAsia="zh-CN"/>
        </w:rPr>
      </w:pPr>
    </w:p>
    <w:p w14:paraId="2196F9A4" w14:textId="77777777" w:rsidR="008F52C8" w:rsidRPr="0030358C" w:rsidRDefault="00000000" w:rsidP="008F52C8">
      <w:pPr>
        <w:keepNext/>
        <w:numPr>
          <w:ilvl w:val="2"/>
          <w:numId w:val="0"/>
        </w:numPr>
        <w:tabs>
          <w:tab w:val="num" w:pos="0"/>
        </w:tabs>
        <w:spacing w:before="60"/>
        <w:ind w:left="720" w:hanging="720"/>
        <w:outlineLvl w:val="2"/>
        <w:rPr>
          <w:rFonts w:ascii="Arial" w:hAnsi="Arial" w:cs="Arial"/>
          <w:b/>
          <w:bCs/>
          <w:sz w:val="22"/>
          <w:szCs w:val="22"/>
          <w:lang w:eastAsia="zh-CN"/>
        </w:rPr>
      </w:pPr>
      <w:r w:rsidRPr="0030358C">
        <w:rPr>
          <w:rFonts w:ascii="Arial" w:hAnsi="Arial" w:cs="Arial"/>
          <w:b/>
          <w:bCs/>
          <w:sz w:val="22"/>
          <w:szCs w:val="22"/>
          <w:lang w:eastAsia="zh-CN"/>
        </w:rPr>
        <w:t xml:space="preserve">3.6. Metalurgie neželezných kovů </w:t>
      </w:r>
    </w:p>
    <w:p w14:paraId="37F3D06F" w14:textId="77777777" w:rsidR="008F52C8" w:rsidRPr="0030358C" w:rsidRDefault="008F52C8" w:rsidP="008F52C8">
      <w:pPr>
        <w:rPr>
          <w:rFonts w:ascii="Arial" w:hAnsi="Arial" w:cs="Arial"/>
          <w:b/>
          <w:bCs/>
          <w:sz w:val="22"/>
          <w:szCs w:val="22"/>
          <w:lang w:eastAsia="zh-CN"/>
        </w:rPr>
      </w:pPr>
    </w:p>
    <w:p w14:paraId="1F901395" w14:textId="77777777" w:rsidR="008F52C8" w:rsidRPr="0030358C" w:rsidRDefault="00000000" w:rsidP="008F52C8">
      <w:pPr>
        <w:widowControl w:val="0"/>
        <w:autoSpaceDE w:val="0"/>
        <w:jc w:val="both"/>
        <w:rPr>
          <w:rFonts w:ascii="Arial" w:hAnsi="Arial" w:cs="Arial"/>
          <w:b/>
          <w:bCs/>
          <w:i/>
          <w:sz w:val="22"/>
          <w:szCs w:val="22"/>
          <w:lang w:eastAsia="zh-CN"/>
        </w:rPr>
      </w:pPr>
      <w:r w:rsidRPr="0030358C">
        <w:rPr>
          <w:rFonts w:ascii="Arial" w:hAnsi="Arial" w:cs="Arial"/>
          <w:b/>
          <w:bCs/>
          <w:sz w:val="22"/>
          <w:szCs w:val="22"/>
          <w:lang w:eastAsia="zh-CN"/>
        </w:rPr>
        <w:t>3.6.1. Úprava rud neželezných kovů (kód 4.7. dle přílohy č. 2 zákona)</w:t>
      </w:r>
      <w:r w:rsidRPr="0030358C">
        <w:rPr>
          <w:rFonts w:ascii="Arial" w:hAnsi="Arial" w:cs="Arial"/>
          <w:b/>
          <w:bCs/>
          <w:i/>
          <w:sz w:val="22"/>
          <w:szCs w:val="22"/>
          <w:lang w:eastAsia="zh-CN"/>
        </w:rPr>
        <w:t xml:space="preserve"> </w:t>
      </w:r>
    </w:p>
    <w:tbl>
      <w:tblPr>
        <w:tblW w:w="0" w:type="auto"/>
        <w:tblInd w:w="-15" w:type="dxa"/>
        <w:tblLayout w:type="fixed"/>
        <w:tblLook w:val="0000" w:firstRow="0" w:lastRow="0" w:firstColumn="0" w:lastColumn="0" w:noHBand="0" w:noVBand="0"/>
      </w:tblPr>
      <w:tblGrid>
        <w:gridCol w:w="5285"/>
        <w:gridCol w:w="4315"/>
      </w:tblGrid>
      <w:tr w:rsidR="00E40657" w14:paraId="429F4C7F" w14:textId="77777777" w:rsidTr="00732453">
        <w:trPr>
          <w:cantSplit/>
          <w:trHeight w:hRule="exact" w:val="492"/>
        </w:trPr>
        <w:tc>
          <w:tcPr>
            <w:tcW w:w="5285" w:type="dxa"/>
            <w:tcBorders>
              <w:top w:val="single" w:sz="4" w:space="0" w:color="000000"/>
              <w:left w:val="single" w:sz="4" w:space="0" w:color="000000"/>
              <w:bottom w:val="single" w:sz="4" w:space="0" w:color="000000"/>
            </w:tcBorders>
            <w:shd w:val="clear" w:color="auto" w:fill="auto"/>
            <w:vAlign w:val="center"/>
          </w:tcPr>
          <w:p w14:paraId="754C0C2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7A0F0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F567401" w14:textId="77777777" w:rsidTr="00732453">
        <w:trPr>
          <w:cantSplit/>
          <w:trHeight w:hRule="exact" w:val="492"/>
        </w:trPr>
        <w:tc>
          <w:tcPr>
            <w:tcW w:w="5285" w:type="dxa"/>
            <w:tcBorders>
              <w:top w:val="single" w:sz="4" w:space="0" w:color="000000"/>
              <w:left w:val="single" w:sz="4" w:space="0" w:color="000000"/>
              <w:bottom w:val="single" w:sz="4" w:space="0" w:color="000000"/>
            </w:tcBorders>
            <w:shd w:val="clear" w:color="auto" w:fill="auto"/>
            <w:vAlign w:val="center"/>
          </w:tcPr>
          <w:p w14:paraId="74466C8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BDFB17" w14:textId="77777777" w:rsidR="008F52C8" w:rsidRPr="0030358C" w:rsidRDefault="008F52C8" w:rsidP="00732453">
            <w:pPr>
              <w:snapToGrid w:val="0"/>
              <w:jc w:val="center"/>
              <w:rPr>
                <w:rFonts w:ascii="Arial" w:hAnsi="Arial" w:cs="Arial"/>
                <w:b/>
                <w:bCs/>
                <w:sz w:val="22"/>
                <w:szCs w:val="22"/>
                <w:lang w:eastAsia="zh-CN"/>
              </w:rPr>
            </w:pPr>
          </w:p>
        </w:tc>
      </w:tr>
      <w:tr w:rsidR="00E40657" w14:paraId="446F3D18" w14:textId="77777777" w:rsidTr="00732453">
        <w:trPr>
          <w:trHeight w:hRule="exact" w:val="581"/>
        </w:trPr>
        <w:tc>
          <w:tcPr>
            <w:tcW w:w="5285" w:type="dxa"/>
            <w:tcBorders>
              <w:top w:val="single" w:sz="4" w:space="0" w:color="000000"/>
              <w:left w:val="single" w:sz="4" w:space="0" w:color="000000"/>
              <w:bottom w:val="single" w:sz="4" w:space="0" w:color="000000"/>
            </w:tcBorders>
            <w:shd w:val="clear" w:color="auto" w:fill="auto"/>
            <w:vAlign w:val="center"/>
          </w:tcPr>
          <w:p w14:paraId="22AD0B4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p w14:paraId="63957BA0"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1)</w:t>
            </w:r>
          </w:p>
        </w:tc>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A01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7A87A359" w14:textId="77777777" w:rsidR="0058795B" w:rsidRPr="0030358C" w:rsidRDefault="00000000" w:rsidP="008F52C8">
      <w:pPr>
        <w:spacing w:before="60" w:line="300" w:lineRule="exact"/>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4092812C" w14:textId="77777777" w:rsidR="008F52C8" w:rsidRPr="0030358C" w:rsidRDefault="00000000" w:rsidP="008F52C8">
      <w:pPr>
        <w:spacing w:before="60" w:line="300" w:lineRule="exact"/>
        <w:rPr>
          <w:rFonts w:ascii="Arial" w:hAnsi="Arial" w:cs="Arial"/>
          <w:b/>
          <w:bCs/>
          <w:sz w:val="22"/>
          <w:szCs w:val="22"/>
          <w:lang w:eastAsia="zh-CN"/>
        </w:rPr>
      </w:pPr>
      <w:r w:rsidRPr="0030358C">
        <w:rPr>
          <w:rFonts w:ascii="Arial" w:hAnsi="Arial" w:cs="Arial"/>
          <w:b/>
          <w:bCs/>
          <w:sz w:val="22"/>
          <w:szCs w:val="22"/>
          <w:lang w:eastAsia="zh-CN"/>
        </w:rPr>
        <w:t>1) Při zpracování rud na získání olova.</w:t>
      </w:r>
    </w:p>
    <w:p w14:paraId="4F7247EE" w14:textId="77777777" w:rsidR="008F52C8" w:rsidRPr="0030358C" w:rsidRDefault="008F52C8" w:rsidP="008F52C8">
      <w:pPr>
        <w:rPr>
          <w:rFonts w:ascii="Arial" w:hAnsi="Arial" w:cs="Arial"/>
          <w:b/>
          <w:bCs/>
          <w:sz w:val="22"/>
          <w:szCs w:val="22"/>
          <w:lang w:eastAsia="zh-CN"/>
        </w:rPr>
      </w:pPr>
    </w:p>
    <w:p w14:paraId="6E3E5238" w14:textId="77777777" w:rsidR="008F52C8" w:rsidRPr="0030358C" w:rsidRDefault="008F52C8" w:rsidP="008F52C8">
      <w:pPr>
        <w:rPr>
          <w:rFonts w:ascii="Arial" w:hAnsi="Arial" w:cs="Arial"/>
          <w:b/>
          <w:bCs/>
          <w:sz w:val="22"/>
          <w:szCs w:val="22"/>
          <w:lang w:eastAsia="zh-CN"/>
        </w:rPr>
      </w:pPr>
    </w:p>
    <w:p w14:paraId="67E52999"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 xml:space="preserve">3.7. Výroba nebo tavení neželezných kovů, včetně slévání slitin a přetavování produktů, rafinace a výroby odlitků </w:t>
      </w:r>
    </w:p>
    <w:p w14:paraId="5D79CB24" w14:textId="77777777" w:rsidR="008F52C8" w:rsidRPr="0030358C" w:rsidRDefault="008F52C8" w:rsidP="008F52C8">
      <w:pPr>
        <w:widowControl w:val="0"/>
        <w:autoSpaceDE w:val="0"/>
        <w:jc w:val="both"/>
        <w:rPr>
          <w:rFonts w:ascii="Arial" w:hAnsi="Arial" w:cs="Arial"/>
          <w:b/>
          <w:bCs/>
          <w:i/>
          <w:sz w:val="22"/>
          <w:szCs w:val="22"/>
          <w:lang w:eastAsia="zh-CN"/>
        </w:rPr>
      </w:pPr>
    </w:p>
    <w:p w14:paraId="247307E2"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3.7.1. Doprava a manipulace se vsázkou nebo produktem (kód 4.8.1. dle přílohy č. 2 zákona)</w:t>
      </w:r>
    </w:p>
    <w:p w14:paraId="6C0240D7" w14:textId="77777777" w:rsidR="008F52C8" w:rsidRPr="0030358C" w:rsidRDefault="008F52C8" w:rsidP="008F52C8">
      <w:pPr>
        <w:widowControl w:val="0"/>
        <w:autoSpaceDE w:val="0"/>
        <w:jc w:val="both"/>
        <w:rPr>
          <w:rFonts w:ascii="Arial" w:hAnsi="Arial" w:cs="Arial"/>
          <w:b/>
          <w:bCs/>
          <w:sz w:val="22"/>
          <w:szCs w:val="22"/>
          <w:lang w:eastAsia="zh-CN"/>
        </w:rPr>
      </w:pPr>
    </w:p>
    <w:p w14:paraId="2D7E6CD8" w14:textId="77777777" w:rsidR="008F52C8" w:rsidRPr="0030358C" w:rsidRDefault="00000000" w:rsidP="008F52C8">
      <w:pPr>
        <w:jc w:val="both"/>
        <w:rPr>
          <w:rFonts w:ascii="Arial" w:hAnsi="Arial" w:cs="Arial"/>
          <w:b/>
          <w:bCs/>
          <w:i/>
          <w:sz w:val="22"/>
          <w:szCs w:val="22"/>
          <w:lang w:eastAsia="zh-CN"/>
        </w:rPr>
      </w:pPr>
      <w:r w:rsidRPr="0030358C">
        <w:rPr>
          <w:rFonts w:ascii="Arial" w:hAnsi="Arial" w:cs="Arial"/>
          <w:b/>
          <w:bCs/>
          <w:sz w:val="22"/>
          <w:szCs w:val="22"/>
          <w:lang w:eastAsia="zh-CN"/>
        </w:rPr>
        <w:t>Včetně ostatních technologických uzlů, jako úpravárenských zařízení, výroby forem a jader, spalovací procesy (žíhací a sušící pece), odlévání, čištění odlitků, dokončovacích operací apod.</w:t>
      </w:r>
      <w:r w:rsidRPr="0030358C">
        <w:rPr>
          <w:rFonts w:ascii="Arial" w:hAnsi="Arial" w:cs="Arial"/>
          <w:b/>
          <w:bCs/>
          <w:i/>
          <w:sz w:val="22"/>
          <w:szCs w:val="22"/>
          <w:lang w:eastAsia="zh-CN"/>
        </w:rPr>
        <w:t xml:space="preserve"> </w:t>
      </w:r>
    </w:p>
    <w:tbl>
      <w:tblPr>
        <w:tblW w:w="0" w:type="auto"/>
        <w:tblInd w:w="-15" w:type="dxa"/>
        <w:tblLayout w:type="fixed"/>
        <w:tblLook w:val="0000" w:firstRow="0" w:lastRow="0" w:firstColumn="0" w:lastColumn="0" w:noHBand="0" w:noVBand="0"/>
      </w:tblPr>
      <w:tblGrid>
        <w:gridCol w:w="1321"/>
        <w:gridCol w:w="1321"/>
        <w:gridCol w:w="1321"/>
        <w:gridCol w:w="1322"/>
        <w:gridCol w:w="4315"/>
      </w:tblGrid>
      <w:tr w:rsidR="00E40657" w14:paraId="48B131E7" w14:textId="77777777" w:rsidTr="00732453">
        <w:trPr>
          <w:cantSplit/>
          <w:trHeight w:hRule="exact" w:val="529"/>
        </w:trPr>
        <w:tc>
          <w:tcPr>
            <w:tcW w:w="5285" w:type="dxa"/>
            <w:gridSpan w:val="4"/>
            <w:tcBorders>
              <w:top w:val="single" w:sz="4" w:space="0" w:color="000000"/>
              <w:left w:val="single" w:sz="4" w:space="0" w:color="000000"/>
              <w:bottom w:val="single" w:sz="4" w:space="0" w:color="000000"/>
            </w:tcBorders>
            <w:shd w:val="clear" w:color="auto" w:fill="auto"/>
            <w:vAlign w:val="center"/>
          </w:tcPr>
          <w:p w14:paraId="6622744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D4CC5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18DC65E4" w14:textId="77777777" w:rsidTr="00732453">
        <w:trPr>
          <w:cantSplit/>
          <w:trHeight w:hRule="exact" w:val="410"/>
        </w:trPr>
        <w:tc>
          <w:tcPr>
            <w:tcW w:w="1321" w:type="dxa"/>
            <w:tcBorders>
              <w:top w:val="single" w:sz="4" w:space="0" w:color="000000"/>
              <w:left w:val="single" w:sz="4" w:space="0" w:color="000000"/>
              <w:bottom w:val="single" w:sz="4" w:space="0" w:color="000000"/>
            </w:tcBorders>
            <w:shd w:val="clear" w:color="auto" w:fill="auto"/>
            <w:vAlign w:val="center"/>
          </w:tcPr>
          <w:p w14:paraId="50D4392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321" w:type="dxa"/>
            <w:tcBorders>
              <w:top w:val="single" w:sz="4" w:space="0" w:color="000000"/>
              <w:left w:val="single" w:sz="4" w:space="0" w:color="000000"/>
              <w:bottom w:val="single" w:sz="4" w:space="0" w:color="000000"/>
            </w:tcBorders>
            <w:shd w:val="clear" w:color="auto" w:fill="auto"/>
            <w:vAlign w:val="center"/>
          </w:tcPr>
          <w:p w14:paraId="78A10C3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r w:rsidRPr="0030358C">
              <w:rPr>
                <w:rFonts w:ascii="Arial" w:hAnsi="Arial" w:cs="Arial"/>
                <w:b/>
                <w:bCs/>
                <w:sz w:val="22"/>
                <w:szCs w:val="22"/>
                <w:vertAlign w:val="superscript"/>
                <w:lang w:eastAsia="zh-CN"/>
              </w:rPr>
              <w:t>1)</w:t>
            </w:r>
          </w:p>
        </w:tc>
        <w:tc>
          <w:tcPr>
            <w:tcW w:w="1321" w:type="dxa"/>
            <w:tcBorders>
              <w:top w:val="single" w:sz="4" w:space="0" w:color="000000"/>
              <w:left w:val="single" w:sz="4" w:space="0" w:color="000000"/>
              <w:bottom w:val="single" w:sz="4" w:space="0" w:color="000000"/>
            </w:tcBorders>
            <w:shd w:val="clear" w:color="auto" w:fill="auto"/>
            <w:vAlign w:val="center"/>
          </w:tcPr>
          <w:p w14:paraId="555DA62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r w:rsidRPr="0030358C">
              <w:rPr>
                <w:rFonts w:ascii="Arial" w:hAnsi="Arial" w:cs="Arial"/>
                <w:b/>
                <w:bCs/>
                <w:sz w:val="22"/>
                <w:szCs w:val="22"/>
                <w:vertAlign w:val="superscript"/>
                <w:lang w:eastAsia="zh-CN"/>
              </w:rPr>
              <w:t>1)</w:t>
            </w:r>
          </w:p>
        </w:tc>
        <w:tc>
          <w:tcPr>
            <w:tcW w:w="1322" w:type="dxa"/>
            <w:tcBorders>
              <w:top w:val="single" w:sz="4" w:space="0" w:color="000000"/>
              <w:left w:val="single" w:sz="4" w:space="0" w:color="000000"/>
              <w:bottom w:val="single" w:sz="4" w:space="0" w:color="000000"/>
            </w:tcBorders>
            <w:shd w:val="clear" w:color="auto" w:fill="auto"/>
            <w:vAlign w:val="center"/>
          </w:tcPr>
          <w:p w14:paraId="04BB941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CO</w:t>
            </w:r>
            <w:r w:rsidRPr="0030358C">
              <w:rPr>
                <w:rFonts w:ascii="Arial" w:hAnsi="Arial" w:cs="Arial"/>
                <w:b/>
                <w:bCs/>
                <w:sz w:val="22"/>
                <w:szCs w:val="22"/>
                <w:vertAlign w:val="superscript"/>
                <w:lang w:eastAsia="zh-CN"/>
              </w:rPr>
              <w:t>1)</w:t>
            </w:r>
          </w:p>
        </w:tc>
        <w:tc>
          <w:tcPr>
            <w:tcW w:w="4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2DD8A1" w14:textId="77777777" w:rsidR="008F52C8" w:rsidRPr="0030358C" w:rsidRDefault="008F52C8" w:rsidP="00732453">
            <w:pPr>
              <w:snapToGrid w:val="0"/>
              <w:jc w:val="center"/>
              <w:rPr>
                <w:rFonts w:ascii="Arial" w:hAnsi="Arial" w:cs="Arial"/>
                <w:b/>
                <w:bCs/>
                <w:sz w:val="22"/>
                <w:szCs w:val="22"/>
                <w:lang w:eastAsia="zh-CN"/>
              </w:rPr>
            </w:pPr>
          </w:p>
        </w:tc>
      </w:tr>
      <w:tr w:rsidR="00E40657" w14:paraId="5D23590F" w14:textId="77777777" w:rsidTr="00732453">
        <w:trPr>
          <w:trHeight w:hRule="exact" w:val="745"/>
        </w:trPr>
        <w:tc>
          <w:tcPr>
            <w:tcW w:w="1321" w:type="dxa"/>
            <w:tcBorders>
              <w:top w:val="single" w:sz="4" w:space="0" w:color="000000"/>
              <w:left w:val="single" w:sz="4" w:space="0" w:color="000000"/>
              <w:bottom w:val="single" w:sz="4" w:space="0" w:color="000000"/>
            </w:tcBorders>
            <w:shd w:val="clear" w:color="auto" w:fill="auto"/>
            <w:vAlign w:val="center"/>
          </w:tcPr>
          <w:p w14:paraId="5A3DA7A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p w14:paraId="0A55AAF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2)</w:t>
            </w:r>
          </w:p>
        </w:tc>
        <w:tc>
          <w:tcPr>
            <w:tcW w:w="1321" w:type="dxa"/>
            <w:tcBorders>
              <w:top w:val="single" w:sz="4" w:space="0" w:color="000000"/>
              <w:left w:val="single" w:sz="4" w:space="0" w:color="000000"/>
              <w:bottom w:val="single" w:sz="4" w:space="0" w:color="000000"/>
            </w:tcBorders>
            <w:shd w:val="clear" w:color="auto" w:fill="auto"/>
            <w:vAlign w:val="center"/>
          </w:tcPr>
          <w:p w14:paraId="138D159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r w:rsidRPr="0030358C">
              <w:rPr>
                <w:rFonts w:ascii="Arial" w:hAnsi="Arial" w:cs="Arial"/>
                <w:b/>
                <w:bCs/>
                <w:sz w:val="22"/>
                <w:szCs w:val="22"/>
                <w:vertAlign w:val="superscript"/>
                <w:lang w:eastAsia="zh-CN"/>
              </w:rPr>
              <w:t>3)</w:t>
            </w:r>
          </w:p>
        </w:tc>
        <w:tc>
          <w:tcPr>
            <w:tcW w:w="1321" w:type="dxa"/>
            <w:tcBorders>
              <w:top w:val="single" w:sz="4" w:space="0" w:color="000000"/>
              <w:left w:val="single" w:sz="4" w:space="0" w:color="000000"/>
              <w:bottom w:val="single" w:sz="4" w:space="0" w:color="000000"/>
            </w:tcBorders>
            <w:shd w:val="clear" w:color="auto" w:fill="auto"/>
            <w:vAlign w:val="center"/>
          </w:tcPr>
          <w:p w14:paraId="2681CA0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322" w:type="dxa"/>
            <w:tcBorders>
              <w:top w:val="single" w:sz="4" w:space="0" w:color="000000"/>
              <w:left w:val="single" w:sz="4" w:space="0" w:color="000000"/>
              <w:bottom w:val="single" w:sz="4" w:space="0" w:color="000000"/>
            </w:tcBorders>
            <w:shd w:val="clear" w:color="auto" w:fill="auto"/>
            <w:vAlign w:val="center"/>
          </w:tcPr>
          <w:p w14:paraId="5C301A4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800</w:t>
            </w:r>
          </w:p>
        </w:tc>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D8C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301C88D0" w14:textId="77777777" w:rsidR="008F52C8" w:rsidRPr="0030358C" w:rsidRDefault="00000000" w:rsidP="008F52C8">
      <w:pPr>
        <w:spacing w:before="60" w:line="300" w:lineRule="exact"/>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 xml:space="preserve">: </w:t>
      </w:r>
    </w:p>
    <w:p w14:paraId="51B970C6" w14:textId="77777777" w:rsidR="008F52C8" w:rsidRPr="0030358C" w:rsidRDefault="00000000" w:rsidP="000032A3">
      <w:pPr>
        <w:tabs>
          <w:tab w:val="left" w:pos="284"/>
        </w:tabs>
        <w:rPr>
          <w:rFonts w:ascii="Arial" w:hAnsi="Arial" w:cs="Arial"/>
          <w:b/>
          <w:bCs/>
          <w:iCs/>
          <w:sz w:val="22"/>
          <w:szCs w:val="22"/>
          <w:lang w:eastAsia="zh-CN"/>
        </w:rPr>
      </w:pPr>
      <w:r w:rsidRPr="0030358C">
        <w:rPr>
          <w:rFonts w:ascii="Arial" w:hAnsi="Arial" w:cs="Arial"/>
          <w:b/>
          <w:bCs/>
          <w:iCs/>
          <w:sz w:val="22"/>
          <w:szCs w:val="22"/>
          <w:lang w:eastAsia="zh-CN"/>
        </w:rPr>
        <w:t>1)</w:t>
      </w:r>
      <w:r w:rsidRPr="0030358C">
        <w:rPr>
          <w:rFonts w:ascii="Arial" w:hAnsi="Arial" w:cs="Arial"/>
          <w:b/>
          <w:bCs/>
          <w:iCs/>
          <w:sz w:val="22"/>
          <w:szCs w:val="22"/>
          <w:lang w:eastAsia="zh-CN"/>
        </w:rPr>
        <w:tab/>
        <w:t>Platí pro spalovací procesy.</w:t>
      </w:r>
    </w:p>
    <w:p w14:paraId="52283445" w14:textId="77777777" w:rsidR="000032A3" w:rsidRPr="0030358C" w:rsidRDefault="00000000" w:rsidP="000032A3">
      <w:pPr>
        <w:tabs>
          <w:tab w:val="left" w:pos="284"/>
        </w:tabs>
        <w:jc w:val="both"/>
        <w:rPr>
          <w:rFonts w:ascii="Arial" w:hAnsi="Arial" w:cs="Arial"/>
          <w:b/>
          <w:bCs/>
          <w:iCs/>
          <w:sz w:val="22"/>
          <w:szCs w:val="22"/>
          <w:lang w:eastAsia="zh-CN"/>
        </w:rPr>
      </w:pPr>
      <w:r w:rsidRPr="0030358C">
        <w:rPr>
          <w:rFonts w:ascii="Arial" w:hAnsi="Arial" w:cs="Arial"/>
          <w:b/>
          <w:bCs/>
          <w:iCs/>
          <w:sz w:val="22"/>
          <w:szCs w:val="22"/>
          <w:lang w:eastAsia="zh-CN"/>
        </w:rPr>
        <w:t>2)</w:t>
      </w:r>
      <w:r w:rsidRPr="0030358C">
        <w:rPr>
          <w:rFonts w:ascii="Arial" w:hAnsi="Arial" w:cs="Arial"/>
          <w:b/>
          <w:bCs/>
          <w:iCs/>
          <w:sz w:val="22"/>
          <w:szCs w:val="22"/>
          <w:lang w:eastAsia="zh-CN"/>
        </w:rPr>
        <w:tab/>
      </w:r>
      <w:r w:rsidR="008F52C8" w:rsidRPr="0030358C">
        <w:rPr>
          <w:rFonts w:ascii="Arial" w:hAnsi="Arial" w:cs="Arial"/>
          <w:b/>
          <w:bCs/>
          <w:iCs/>
          <w:sz w:val="22"/>
          <w:szCs w:val="22"/>
          <w:lang w:eastAsia="zh-CN"/>
        </w:rPr>
        <w:t>Platí pro provoz sléváren neželezných kovů o celkové projektované kapacitě tavení větší než 4 t za den.</w:t>
      </w:r>
    </w:p>
    <w:p w14:paraId="6B6A1AD3" w14:textId="77777777" w:rsidR="008F52C8" w:rsidRPr="0030358C" w:rsidRDefault="00000000" w:rsidP="000032A3">
      <w:pPr>
        <w:tabs>
          <w:tab w:val="left" w:pos="284"/>
        </w:tabs>
        <w:jc w:val="both"/>
        <w:rPr>
          <w:rFonts w:ascii="Arial" w:hAnsi="Arial" w:cs="Arial"/>
          <w:b/>
          <w:bCs/>
          <w:iCs/>
          <w:sz w:val="22"/>
          <w:szCs w:val="22"/>
          <w:lang w:eastAsia="zh-CN"/>
        </w:rPr>
      </w:pPr>
      <w:r w:rsidRPr="0030358C">
        <w:rPr>
          <w:rFonts w:ascii="Arial" w:hAnsi="Arial" w:cs="Arial"/>
          <w:b/>
          <w:bCs/>
          <w:iCs/>
          <w:sz w:val="22"/>
          <w:szCs w:val="22"/>
          <w:lang w:eastAsia="zh-CN"/>
        </w:rPr>
        <w:t>3</w:t>
      </w:r>
      <w:r w:rsidR="000032A3" w:rsidRPr="0030358C">
        <w:rPr>
          <w:rFonts w:ascii="Arial" w:hAnsi="Arial" w:cs="Arial"/>
          <w:b/>
          <w:bCs/>
          <w:iCs/>
          <w:sz w:val="22"/>
          <w:szCs w:val="22"/>
          <w:lang w:eastAsia="zh-CN"/>
        </w:rPr>
        <w:t xml:space="preserve">) </w:t>
      </w:r>
      <w:r w:rsidRPr="0030358C">
        <w:rPr>
          <w:rFonts w:ascii="Arial" w:hAnsi="Arial" w:cs="Arial"/>
          <w:b/>
          <w:bCs/>
          <w:iCs/>
          <w:sz w:val="22"/>
          <w:szCs w:val="22"/>
          <w:lang w:eastAsia="zh-CN"/>
        </w:rPr>
        <w:t>Neplatí pro pece používající jako palivo pouze zemní plyn.</w:t>
      </w:r>
    </w:p>
    <w:p w14:paraId="6093EFBC" w14:textId="77777777" w:rsidR="008F52C8" w:rsidRPr="0030358C" w:rsidRDefault="008F52C8" w:rsidP="008F52C8">
      <w:pPr>
        <w:spacing w:before="60" w:line="300" w:lineRule="exact"/>
        <w:ind w:left="720"/>
        <w:rPr>
          <w:rFonts w:ascii="Arial" w:hAnsi="Arial" w:cs="Arial"/>
          <w:b/>
          <w:bCs/>
          <w:sz w:val="22"/>
          <w:szCs w:val="22"/>
          <w:lang w:eastAsia="zh-CN"/>
        </w:rPr>
      </w:pPr>
    </w:p>
    <w:p w14:paraId="2660EC78"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6F5C8405"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Omezování emisí VOC vznikajících při výrobě forem a jader např. minimalizací spotřeby pojiva, náhradou nátěrů na bázi alkoholu za nátěry na bázi vody, použitím takových rozpouštědel pro výrobu jader cold-box, která nejsou na bázi aromatických uhlovodíků.</w:t>
      </w:r>
    </w:p>
    <w:p w14:paraId="4B419825" w14:textId="77777777" w:rsidR="008F52C8" w:rsidRPr="0030358C" w:rsidRDefault="008F52C8" w:rsidP="008F52C8">
      <w:pPr>
        <w:rPr>
          <w:rFonts w:ascii="Arial" w:hAnsi="Arial" w:cs="Arial"/>
          <w:b/>
          <w:bCs/>
          <w:sz w:val="22"/>
          <w:szCs w:val="22"/>
          <w:lang w:eastAsia="zh-CN"/>
        </w:rPr>
      </w:pPr>
    </w:p>
    <w:p w14:paraId="2E76A5AC" w14:textId="77777777" w:rsidR="008F52C8" w:rsidRPr="0030358C" w:rsidRDefault="00000000" w:rsidP="008F52C8">
      <w:pPr>
        <w:widowControl w:val="0"/>
        <w:numPr>
          <w:ilvl w:val="0"/>
          <w:numId w:val="73"/>
        </w:numPr>
        <w:suppressAutoHyphens/>
        <w:autoSpaceDE w:val="0"/>
        <w:spacing w:after="60"/>
        <w:jc w:val="both"/>
        <w:rPr>
          <w:rFonts w:ascii="Arial" w:hAnsi="Arial" w:cs="Arial"/>
          <w:b/>
          <w:bCs/>
          <w:sz w:val="22"/>
          <w:szCs w:val="22"/>
          <w:lang w:eastAsia="zh-CN"/>
        </w:rPr>
      </w:pPr>
      <w:r w:rsidRPr="0030358C">
        <w:rPr>
          <w:rFonts w:ascii="Arial" w:hAnsi="Arial" w:cs="Arial"/>
          <w:b/>
          <w:bCs/>
          <w:sz w:val="22"/>
          <w:szCs w:val="22"/>
          <w:lang w:eastAsia="zh-CN"/>
        </w:rPr>
        <w:t xml:space="preserve">Musí být snižovány emise tuhých znečišťujících látek na všech technologických uzlech </w:t>
      </w:r>
      <w:r w:rsidRPr="0030358C">
        <w:rPr>
          <w:rFonts w:ascii="Arial" w:hAnsi="Arial" w:cs="Arial"/>
          <w:b/>
          <w:bCs/>
          <w:sz w:val="22"/>
          <w:szCs w:val="22"/>
          <w:lang w:eastAsia="zh-CN"/>
        </w:rPr>
        <w:lastRenderedPageBreak/>
        <w:t>včetně skladování a přepravy materiálu, kde dochází k emisím tuhých znečišťujících látek do ovzduší. Lze použít například:</w:t>
      </w:r>
    </w:p>
    <w:p w14:paraId="18BE9659" w14:textId="77777777" w:rsidR="008F52C8" w:rsidRPr="0030358C" w:rsidRDefault="00000000" w:rsidP="008F52C8">
      <w:pPr>
        <w:numPr>
          <w:ilvl w:val="0"/>
          <w:numId w:val="121"/>
        </w:numPr>
        <w:suppressAutoHyphens/>
        <w:spacing w:after="60"/>
        <w:ind w:left="426" w:hanging="426"/>
        <w:jc w:val="both"/>
        <w:rPr>
          <w:rFonts w:ascii="Arial" w:hAnsi="Arial" w:cs="Arial"/>
          <w:b/>
          <w:bCs/>
          <w:sz w:val="22"/>
          <w:szCs w:val="22"/>
          <w:lang w:eastAsia="zh-CN"/>
        </w:rPr>
      </w:pPr>
      <w:r w:rsidRPr="0030358C">
        <w:rPr>
          <w:rFonts w:ascii="Arial" w:hAnsi="Arial" w:cs="Arial"/>
          <w:b/>
          <w:bCs/>
          <w:sz w:val="22"/>
          <w:szCs w:val="22"/>
          <w:lang w:eastAsia="zh-CN"/>
        </w:rPr>
        <w:t xml:space="preserve">opatření pro skladování prašných </w:t>
      </w:r>
      <w:r w:rsidR="0052793F" w:rsidRPr="0030358C">
        <w:rPr>
          <w:rFonts w:ascii="Arial" w:hAnsi="Arial" w:cs="Arial"/>
          <w:b/>
          <w:bCs/>
          <w:sz w:val="22"/>
          <w:szCs w:val="22"/>
          <w:lang w:eastAsia="zh-CN"/>
        </w:rPr>
        <w:t>materiálů – uzavřené</w:t>
      </w:r>
      <w:r w:rsidRPr="0030358C">
        <w:rPr>
          <w:rFonts w:ascii="Arial" w:hAnsi="Arial" w:cs="Arial"/>
          <w:b/>
          <w:bCs/>
          <w:sz w:val="22"/>
          <w:szCs w:val="22"/>
          <w:lang w:eastAsia="zh-CN"/>
        </w:rPr>
        <w:t xml:space="preserve"> skladovací prostory, umisťování venkovních skládek na závětrnou stranu, jejich skrápění a budování zástěn,</w:t>
      </w:r>
    </w:p>
    <w:p w14:paraId="629A8628" w14:textId="77777777" w:rsidR="008F52C8" w:rsidRPr="0030358C" w:rsidRDefault="00000000" w:rsidP="008F52C8">
      <w:pPr>
        <w:numPr>
          <w:ilvl w:val="0"/>
          <w:numId w:val="121"/>
        </w:numPr>
        <w:suppressAutoHyphens/>
        <w:spacing w:after="60"/>
        <w:ind w:left="426" w:hanging="426"/>
        <w:jc w:val="both"/>
        <w:rPr>
          <w:rFonts w:ascii="Arial" w:hAnsi="Arial" w:cs="Arial"/>
          <w:b/>
          <w:bCs/>
          <w:sz w:val="22"/>
          <w:szCs w:val="22"/>
          <w:lang w:eastAsia="zh-CN"/>
        </w:rPr>
      </w:pPr>
      <w:r w:rsidRPr="0030358C">
        <w:rPr>
          <w:rFonts w:ascii="Arial" w:hAnsi="Arial" w:cs="Arial"/>
          <w:b/>
          <w:bCs/>
          <w:sz w:val="22"/>
          <w:szCs w:val="22"/>
          <w:lang w:eastAsia="zh-CN"/>
        </w:rPr>
        <w:t xml:space="preserve">opatření pro přepravu </w:t>
      </w:r>
      <w:r w:rsidR="0052793F" w:rsidRPr="0030358C">
        <w:rPr>
          <w:rFonts w:ascii="Arial" w:hAnsi="Arial" w:cs="Arial"/>
          <w:b/>
          <w:bCs/>
          <w:sz w:val="22"/>
          <w:szCs w:val="22"/>
          <w:lang w:eastAsia="zh-CN"/>
        </w:rPr>
        <w:t>materiálů – pravidelná</w:t>
      </w:r>
      <w:r w:rsidRPr="0030358C">
        <w:rPr>
          <w:rFonts w:ascii="Arial" w:hAnsi="Arial" w:cs="Arial"/>
          <w:b/>
          <w:bCs/>
          <w:sz w:val="22"/>
          <w:szCs w:val="22"/>
          <w:lang w:eastAsia="zh-CN"/>
        </w:rPr>
        <w:t xml:space="preserve"> očista a skrápění komunikací a manipulačních ploch, omezení rychlosti pohybu vozidel v areálu zdroje, zakrývání nákladních prostorů expedujících dopravních prostředků.</w:t>
      </w:r>
    </w:p>
    <w:p w14:paraId="5D19A4B7" w14:textId="77777777" w:rsidR="008F52C8" w:rsidRPr="0030358C" w:rsidRDefault="008F52C8" w:rsidP="008F52C8">
      <w:pPr>
        <w:keepNext/>
        <w:keepLines/>
        <w:tabs>
          <w:tab w:val="left" w:pos="284"/>
        </w:tabs>
        <w:autoSpaceDE w:val="0"/>
        <w:jc w:val="both"/>
        <w:rPr>
          <w:rFonts w:ascii="Arial" w:hAnsi="Arial" w:cs="Arial"/>
          <w:b/>
          <w:bCs/>
          <w:sz w:val="22"/>
          <w:szCs w:val="22"/>
          <w:lang w:eastAsia="zh-CN"/>
        </w:rPr>
      </w:pPr>
    </w:p>
    <w:p w14:paraId="3BD0E7CF"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3.7.2. Pecní agregáty pro výrobu neželezných kovů (kód 4.8.2.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2486"/>
        <w:gridCol w:w="2486"/>
        <w:gridCol w:w="2490"/>
        <w:gridCol w:w="1927"/>
      </w:tblGrid>
      <w:tr w:rsidR="00E40657" w14:paraId="470FF3B3" w14:textId="77777777" w:rsidTr="00732453">
        <w:trPr>
          <w:cantSplit/>
          <w:trHeight w:hRule="exact" w:val="341"/>
        </w:trPr>
        <w:tc>
          <w:tcPr>
            <w:tcW w:w="7462" w:type="dxa"/>
            <w:gridSpan w:val="3"/>
            <w:tcBorders>
              <w:top w:val="single" w:sz="2" w:space="0" w:color="000000"/>
              <w:left w:val="single" w:sz="2" w:space="0" w:color="000000"/>
              <w:bottom w:val="single" w:sz="2" w:space="0" w:color="000000"/>
            </w:tcBorders>
            <w:shd w:val="clear" w:color="auto" w:fill="auto"/>
            <w:vAlign w:val="center"/>
          </w:tcPr>
          <w:p w14:paraId="5859B62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927" w:type="dxa"/>
            <w:vMerge w:val="restart"/>
            <w:tcBorders>
              <w:top w:val="single" w:sz="2" w:space="0" w:color="000000"/>
              <w:left w:val="single" w:sz="2" w:space="0" w:color="000000"/>
              <w:right w:val="single" w:sz="2" w:space="0" w:color="000000"/>
            </w:tcBorders>
            <w:shd w:val="clear" w:color="auto" w:fill="auto"/>
            <w:vAlign w:val="center"/>
          </w:tcPr>
          <w:p w14:paraId="04AEF59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3A6CD59B" w14:textId="77777777" w:rsidTr="00732453">
        <w:trPr>
          <w:cantSplit/>
          <w:trHeight w:hRule="exact" w:val="587"/>
        </w:trPr>
        <w:tc>
          <w:tcPr>
            <w:tcW w:w="2486" w:type="dxa"/>
            <w:tcBorders>
              <w:top w:val="single" w:sz="2" w:space="0" w:color="000000"/>
              <w:left w:val="single" w:sz="2" w:space="0" w:color="000000"/>
              <w:bottom w:val="single" w:sz="2" w:space="0" w:color="000000"/>
            </w:tcBorders>
            <w:shd w:val="clear" w:color="auto" w:fill="auto"/>
            <w:vAlign w:val="center"/>
          </w:tcPr>
          <w:p w14:paraId="4A04F810"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486" w:type="dxa"/>
            <w:tcBorders>
              <w:top w:val="single" w:sz="2" w:space="0" w:color="000000"/>
              <w:left w:val="single" w:sz="2" w:space="0" w:color="000000"/>
              <w:bottom w:val="single" w:sz="2" w:space="0" w:color="000000"/>
            </w:tcBorders>
            <w:shd w:val="clear" w:color="auto" w:fill="auto"/>
            <w:vAlign w:val="center"/>
          </w:tcPr>
          <w:p w14:paraId="3BAD5614"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490" w:type="dxa"/>
            <w:tcBorders>
              <w:top w:val="single" w:sz="2" w:space="0" w:color="000000"/>
              <w:left w:val="single" w:sz="2" w:space="0" w:color="000000"/>
              <w:bottom w:val="single" w:sz="2" w:space="0" w:color="000000"/>
            </w:tcBorders>
            <w:shd w:val="clear" w:color="auto" w:fill="auto"/>
            <w:vAlign w:val="center"/>
          </w:tcPr>
          <w:p w14:paraId="03CC160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1927" w:type="dxa"/>
            <w:vMerge/>
            <w:tcBorders>
              <w:left w:val="single" w:sz="2" w:space="0" w:color="000000"/>
              <w:bottom w:val="single" w:sz="2" w:space="0" w:color="000000"/>
              <w:right w:val="single" w:sz="2" w:space="0" w:color="000000"/>
            </w:tcBorders>
            <w:shd w:val="clear" w:color="auto" w:fill="auto"/>
            <w:vAlign w:val="center"/>
          </w:tcPr>
          <w:p w14:paraId="4776FA4A"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1FCE9DC7" w14:textId="77777777" w:rsidTr="00732453">
        <w:trPr>
          <w:cantSplit/>
          <w:trHeight w:hRule="exact" w:val="1099"/>
        </w:trPr>
        <w:tc>
          <w:tcPr>
            <w:tcW w:w="2486" w:type="dxa"/>
            <w:tcBorders>
              <w:top w:val="single" w:sz="2" w:space="0" w:color="000000"/>
              <w:left w:val="single" w:sz="2" w:space="0" w:color="000000"/>
              <w:bottom w:val="single" w:sz="2" w:space="0" w:color="000000"/>
            </w:tcBorders>
            <w:shd w:val="clear" w:color="auto" w:fill="auto"/>
            <w:vAlign w:val="center"/>
          </w:tcPr>
          <w:p w14:paraId="7C4B6449"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1)</w:t>
            </w:r>
          </w:p>
          <w:p w14:paraId="73534192" w14:textId="77777777" w:rsidR="008F52C8" w:rsidRPr="0030358C" w:rsidRDefault="00000000" w:rsidP="00732453">
            <w:pPr>
              <w:widowControl w:val="0"/>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2)</w:t>
            </w:r>
          </w:p>
          <w:p w14:paraId="5C078462" w14:textId="77777777" w:rsidR="008F52C8" w:rsidRPr="0030358C" w:rsidRDefault="00000000" w:rsidP="00732453">
            <w:pPr>
              <w:widowControl w:val="0"/>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30</w:t>
            </w:r>
            <w:r w:rsidRPr="0030358C">
              <w:rPr>
                <w:rFonts w:ascii="Arial" w:hAnsi="Arial" w:cs="Arial"/>
                <w:b/>
                <w:bCs/>
                <w:sz w:val="22"/>
                <w:szCs w:val="22"/>
                <w:vertAlign w:val="superscript"/>
                <w:lang w:eastAsia="zh-CN"/>
              </w:rPr>
              <w:t>3)</w:t>
            </w:r>
          </w:p>
        </w:tc>
        <w:tc>
          <w:tcPr>
            <w:tcW w:w="2486" w:type="dxa"/>
            <w:tcBorders>
              <w:top w:val="single" w:sz="2" w:space="0" w:color="000000"/>
              <w:left w:val="single" w:sz="2" w:space="0" w:color="000000"/>
              <w:bottom w:val="single" w:sz="2" w:space="0" w:color="000000"/>
            </w:tcBorders>
            <w:shd w:val="clear" w:color="auto" w:fill="auto"/>
            <w:vAlign w:val="center"/>
          </w:tcPr>
          <w:p w14:paraId="276E97A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2490" w:type="dxa"/>
            <w:tcBorders>
              <w:top w:val="single" w:sz="2" w:space="0" w:color="000000"/>
              <w:left w:val="single" w:sz="2" w:space="0" w:color="000000"/>
              <w:bottom w:val="single" w:sz="2" w:space="0" w:color="000000"/>
            </w:tcBorders>
            <w:shd w:val="clear" w:color="auto" w:fill="auto"/>
            <w:vAlign w:val="center"/>
          </w:tcPr>
          <w:p w14:paraId="58BD3C75"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9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C53D5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5487A240" w14:textId="77777777" w:rsidR="008F52C8" w:rsidRPr="0030358C" w:rsidRDefault="00000000" w:rsidP="008F52C8">
      <w:pPr>
        <w:widowControl w:val="0"/>
        <w:autoSpaceDE w:val="0"/>
        <w:spacing w:line="200" w:lineRule="exact"/>
        <w:jc w:val="both"/>
        <w:rPr>
          <w:rFonts w:ascii="Arial" w:hAnsi="Arial" w:cs="Arial"/>
          <w:b/>
          <w:bCs/>
          <w:sz w:val="22"/>
          <w:szCs w:val="22"/>
          <w:lang w:eastAsia="zh-CN"/>
        </w:rPr>
      </w:pPr>
      <w:r w:rsidRPr="0030358C">
        <w:rPr>
          <w:rFonts w:ascii="Arial" w:hAnsi="Arial" w:cs="Arial"/>
          <w:b/>
          <w:bCs/>
          <w:sz w:val="22"/>
          <w:szCs w:val="22"/>
          <w:lang w:eastAsia="zh-CN"/>
        </w:rPr>
        <w:t>Vysvětlivky:</w:t>
      </w:r>
    </w:p>
    <w:p w14:paraId="72684B9C" w14:textId="77777777" w:rsidR="008F52C8" w:rsidRPr="0030358C" w:rsidRDefault="00000000" w:rsidP="000032A3">
      <w:pPr>
        <w:widowControl w:val="0"/>
        <w:suppressAutoHyphens/>
        <w:autoSpaceDE w:val="0"/>
        <w:spacing w:line="200" w:lineRule="exact"/>
        <w:jc w:val="both"/>
        <w:rPr>
          <w:rFonts w:ascii="Arial" w:hAnsi="Arial" w:cs="Arial"/>
          <w:b/>
          <w:bCs/>
          <w:sz w:val="22"/>
          <w:szCs w:val="22"/>
          <w:lang w:eastAsia="zh-CN"/>
        </w:rPr>
      </w:pPr>
      <w:r w:rsidRPr="0030358C">
        <w:rPr>
          <w:rFonts w:ascii="Arial" w:hAnsi="Arial" w:cs="Arial"/>
          <w:b/>
          <w:bCs/>
          <w:sz w:val="22"/>
          <w:szCs w:val="22"/>
          <w:lang w:eastAsia="zh-CN"/>
        </w:rPr>
        <w:t>1)</w:t>
      </w:r>
      <w:r w:rsidRPr="0030358C">
        <w:rPr>
          <w:rFonts w:ascii="Arial" w:hAnsi="Arial" w:cs="Arial"/>
          <w:b/>
          <w:bCs/>
          <w:sz w:val="22"/>
          <w:szCs w:val="22"/>
          <w:lang w:eastAsia="zh-CN"/>
        </w:rPr>
        <w:tab/>
        <w:t>Platí při výrobě olova</w:t>
      </w:r>
    </w:p>
    <w:p w14:paraId="2629A220" w14:textId="77777777" w:rsidR="008F52C8" w:rsidRPr="0030358C" w:rsidRDefault="00000000" w:rsidP="000032A3">
      <w:pPr>
        <w:widowControl w:val="0"/>
        <w:suppressAutoHyphens/>
        <w:autoSpaceDE w:val="0"/>
        <w:spacing w:line="200" w:lineRule="exact"/>
        <w:jc w:val="both"/>
        <w:rPr>
          <w:rFonts w:ascii="Arial" w:hAnsi="Arial" w:cs="Arial"/>
          <w:b/>
          <w:bCs/>
          <w:sz w:val="22"/>
          <w:szCs w:val="22"/>
          <w:lang w:eastAsia="zh-CN"/>
        </w:rPr>
      </w:pPr>
      <w:r w:rsidRPr="0030358C">
        <w:rPr>
          <w:rFonts w:ascii="Arial" w:hAnsi="Arial" w:cs="Arial"/>
          <w:b/>
          <w:bCs/>
          <w:sz w:val="22"/>
          <w:szCs w:val="22"/>
          <w:lang w:eastAsia="zh-CN"/>
        </w:rPr>
        <w:t>2)</w:t>
      </w:r>
      <w:r w:rsidRPr="0030358C">
        <w:rPr>
          <w:rFonts w:ascii="Arial" w:hAnsi="Arial" w:cs="Arial"/>
          <w:b/>
          <w:bCs/>
          <w:sz w:val="22"/>
          <w:szCs w:val="22"/>
          <w:lang w:eastAsia="zh-CN"/>
        </w:rPr>
        <w:tab/>
        <w:t>Platí při výrobě mědi a zinku, včetně pecí Imperial Smelting.</w:t>
      </w:r>
    </w:p>
    <w:p w14:paraId="263D623E" w14:textId="77777777" w:rsidR="008F52C8" w:rsidRPr="0030358C" w:rsidRDefault="00000000" w:rsidP="000032A3">
      <w:pPr>
        <w:widowControl w:val="0"/>
        <w:suppressAutoHyphens/>
        <w:autoSpaceDE w:val="0"/>
        <w:spacing w:before="60" w:line="200" w:lineRule="exact"/>
        <w:jc w:val="both"/>
        <w:rPr>
          <w:rFonts w:ascii="Arial" w:hAnsi="Arial" w:cs="Arial"/>
          <w:b/>
          <w:bCs/>
          <w:sz w:val="22"/>
          <w:szCs w:val="22"/>
          <w:lang w:eastAsia="zh-CN"/>
        </w:rPr>
      </w:pPr>
      <w:r w:rsidRPr="0030358C">
        <w:rPr>
          <w:rFonts w:ascii="Arial" w:hAnsi="Arial" w:cs="Arial"/>
          <w:b/>
          <w:bCs/>
          <w:sz w:val="22"/>
          <w:szCs w:val="22"/>
          <w:lang w:eastAsia="zh-CN"/>
        </w:rPr>
        <w:t>3)</w:t>
      </w:r>
      <w:r w:rsidRPr="0030358C">
        <w:rPr>
          <w:rFonts w:ascii="Arial" w:hAnsi="Arial" w:cs="Arial"/>
          <w:b/>
          <w:bCs/>
          <w:sz w:val="22"/>
          <w:szCs w:val="22"/>
          <w:lang w:eastAsia="zh-CN"/>
        </w:rPr>
        <w:tab/>
        <w:t xml:space="preserve">Platí pro ostatní výroby. </w:t>
      </w:r>
    </w:p>
    <w:p w14:paraId="1BEEBC58" w14:textId="77777777" w:rsidR="008F52C8" w:rsidRPr="0030358C" w:rsidRDefault="008F52C8" w:rsidP="008F52C8">
      <w:pPr>
        <w:widowControl w:val="0"/>
        <w:autoSpaceDE w:val="0"/>
        <w:spacing w:before="60" w:line="200" w:lineRule="exact"/>
        <w:jc w:val="both"/>
        <w:rPr>
          <w:rFonts w:ascii="Arial" w:hAnsi="Arial" w:cs="Arial"/>
          <w:b/>
          <w:bCs/>
          <w:sz w:val="22"/>
          <w:szCs w:val="22"/>
          <w:lang w:eastAsia="zh-CN"/>
        </w:rPr>
      </w:pPr>
    </w:p>
    <w:p w14:paraId="30BC2AF3" w14:textId="77777777" w:rsidR="008F52C8" w:rsidRPr="0030358C" w:rsidRDefault="008F52C8" w:rsidP="008F52C8">
      <w:pPr>
        <w:widowControl w:val="0"/>
        <w:autoSpaceDE w:val="0"/>
        <w:spacing w:before="60" w:line="200" w:lineRule="exact"/>
        <w:jc w:val="both"/>
        <w:rPr>
          <w:rFonts w:ascii="Arial" w:hAnsi="Arial" w:cs="Arial"/>
          <w:b/>
          <w:bCs/>
          <w:sz w:val="22"/>
          <w:szCs w:val="22"/>
          <w:lang w:eastAsia="zh-CN"/>
        </w:rPr>
      </w:pPr>
    </w:p>
    <w:p w14:paraId="3DC881D9" w14:textId="77777777" w:rsidR="008F52C8" w:rsidRPr="0030358C" w:rsidRDefault="00000000" w:rsidP="008F52C8">
      <w:pPr>
        <w:rPr>
          <w:rFonts w:ascii="Arial" w:hAnsi="Arial" w:cs="Arial"/>
          <w:b/>
          <w:bCs/>
          <w:i/>
          <w:sz w:val="22"/>
          <w:szCs w:val="22"/>
          <w:lang w:eastAsia="zh-CN"/>
        </w:rPr>
      </w:pPr>
      <w:r w:rsidRPr="0030358C">
        <w:rPr>
          <w:rFonts w:ascii="Arial" w:hAnsi="Arial" w:cs="Arial"/>
          <w:b/>
          <w:bCs/>
          <w:sz w:val="22"/>
          <w:szCs w:val="22"/>
          <w:lang w:eastAsia="zh-CN"/>
        </w:rPr>
        <w:t>3.7.3. Elektrolytická výroba hliníku (kód 4.9. dle přílohy č. 2 zákona)</w:t>
      </w:r>
      <w:r w:rsidRPr="0030358C">
        <w:rPr>
          <w:rFonts w:ascii="Arial" w:hAnsi="Arial" w:cs="Arial"/>
          <w:b/>
          <w:bCs/>
          <w:i/>
          <w:sz w:val="22"/>
          <w:szCs w:val="22"/>
          <w:lang w:eastAsia="zh-CN"/>
        </w:rPr>
        <w:t xml:space="preserve"> </w:t>
      </w:r>
    </w:p>
    <w:tbl>
      <w:tblPr>
        <w:tblW w:w="938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44"/>
        <w:gridCol w:w="3442"/>
        <w:gridCol w:w="2503"/>
      </w:tblGrid>
      <w:tr w:rsidR="00E40657" w14:paraId="6A9B6EA0" w14:textId="77777777" w:rsidTr="00732453">
        <w:trPr>
          <w:cantSplit/>
          <w:trHeight w:hRule="exact" w:val="341"/>
        </w:trPr>
        <w:tc>
          <w:tcPr>
            <w:tcW w:w="6886" w:type="dxa"/>
            <w:gridSpan w:val="2"/>
            <w:shd w:val="clear" w:color="auto" w:fill="auto"/>
            <w:vAlign w:val="center"/>
          </w:tcPr>
          <w:p w14:paraId="502A25F1"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503" w:type="dxa"/>
            <w:shd w:val="clear" w:color="auto" w:fill="auto"/>
            <w:vAlign w:val="center"/>
          </w:tcPr>
          <w:p w14:paraId="7BFE6CA8"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76953F86" w14:textId="77777777" w:rsidTr="00732453">
        <w:trPr>
          <w:cantSplit/>
          <w:trHeight w:hRule="exact" w:val="747"/>
        </w:trPr>
        <w:tc>
          <w:tcPr>
            <w:tcW w:w="3444" w:type="dxa"/>
            <w:shd w:val="clear" w:color="auto" w:fill="auto"/>
            <w:vAlign w:val="center"/>
          </w:tcPr>
          <w:p w14:paraId="67EFEB3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3442" w:type="dxa"/>
            <w:shd w:val="clear" w:color="auto" w:fill="auto"/>
            <w:vAlign w:val="center"/>
          </w:tcPr>
          <w:p w14:paraId="7A2020F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HF</w:t>
            </w:r>
          </w:p>
        </w:tc>
        <w:tc>
          <w:tcPr>
            <w:tcW w:w="2503" w:type="dxa"/>
            <w:vMerge w:val="restart"/>
            <w:shd w:val="clear" w:color="auto" w:fill="auto"/>
            <w:vAlign w:val="center"/>
          </w:tcPr>
          <w:p w14:paraId="3D9E224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47A501E8" w14:textId="77777777" w:rsidTr="00732453">
        <w:trPr>
          <w:cantSplit/>
          <w:trHeight w:hRule="exact" w:val="747"/>
        </w:trPr>
        <w:tc>
          <w:tcPr>
            <w:tcW w:w="3444" w:type="dxa"/>
            <w:shd w:val="clear" w:color="auto" w:fill="auto"/>
            <w:vAlign w:val="center"/>
          </w:tcPr>
          <w:p w14:paraId="56B2FA0E" w14:textId="77777777" w:rsidR="008F52C8" w:rsidRPr="0030358C" w:rsidRDefault="008F52C8" w:rsidP="00732453">
            <w:pPr>
              <w:widowControl w:val="0"/>
              <w:autoSpaceDE w:val="0"/>
              <w:snapToGrid w:val="0"/>
              <w:jc w:val="center"/>
              <w:rPr>
                <w:rFonts w:ascii="Arial" w:hAnsi="Arial" w:cs="Arial"/>
                <w:b/>
                <w:bCs/>
                <w:sz w:val="22"/>
                <w:szCs w:val="22"/>
                <w:lang w:eastAsia="zh-CN"/>
              </w:rPr>
            </w:pPr>
          </w:p>
          <w:p w14:paraId="2B2FC706"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3442" w:type="dxa"/>
            <w:shd w:val="clear" w:color="auto" w:fill="auto"/>
            <w:vAlign w:val="center"/>
          </w:tcPr>
          <w:p w14:paraId="62F3062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2</w:t>
            </w:r>
          </w:p>
        </w:tc>
        <w:tc>
          <w:tcPr>
            <w:tcW w:w="2503" w:type="dxa"/>
            <w:vMerge/>
            <w:shd w:val="clear" w:color="auto" w:fill="auto"/>
            <w:vAlign w:val="center"/>
          </w:tcPr>
          <w:p w14:paraId="203FB8E6"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54E3D7B7" w14:textId="77777777" w:rsidTr="00732453">
        <w:trPr>
          <w:cantSplit/>
          <w:trHeight w:hRule="exact" w:val="541"/>
        </w:trPr>
        <w:tc>
          <w:tcPr>
            <w:tcW w:w="6886" w:type="dxa"/>
            <w:gridSpan w:val="2"/>
            <w:shd w:val="clear" w:color="auto" w:fill="auto"/>
            <w:vAlign w:val="center"/>
          </w:tcPr>
          <w:p w14:paraId="2046FD85"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[kg/t hliníku] zjištěné z denních průměrů</w:t>
            </w:r>
          </w:p>
        </w:tc>
        <w:tc>
          <w:tcPr>
            <w:tcW w:w="2503" w:type="dxa"/>
            <w:vMerge/>
            <w:shd w:val="clear" w:color="auto" w:fill="auto"/>
            <w:vAlign w:val="center"/>
          </w:tcPr>
          <w:p w14:paraId="5E78A1CB"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0C7DC338" w14:textId="77777777" w:rsidTr="00732453">
        <w:trPr>
          <w:cantSplit/>
          <w:trHeight w:hRule="exact" w:val="336"/>
        </w:trPr>
        <w:tc>
          <w:tcPr>
            <w:tcW w:w="3444" w:type="dxa"/>
            <w:shd w:val="clear" w:color="auto" w:fill="auto"/>
            <w:vAlign w:val="center"/>
          </w:tcPr>
          <w:p w14:paraId="43D761B2"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3442" w:type="dxa"/>
            <w:shd w:val="clear" w:color="auto" w:fill="auto"/>
            <w:vAlign w:val="center"/>
          </w:tcPr>
          <w:p w14:paraId="38CBB7D1"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HF</w:t>
            </w:r>
          </w:p>
        </w:tc>
        <w:tc>
          <w:tcPr>
            <w:tcW w:w="2503" w:type="dxa"/>
            <w:vMerge/>
            <w:shd w:val="clear" w:color="auto" w:fill="auto"/>
            <w:vAlign w:val="center"/>
          </w:tcPr>
          <w:p w14:paraId="7A5791B5"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273E27F4" w14:textId="77777777" w:rsidTr="00732453">
        <w:trPr>
          <w:cantSplit/>
          <w:trHeight w:hRule="exact" w:val="336"/>
        </w:trPr>
        <w:tc>
          <w:tcPr>
            <w:tcW w:w="3444" w:type="dxa"/>
            <w:shd w:val="clear" w:color="auto" w:fill="auto"/>
            <w:vAlign w:val="center"/>
          </w:tcPr>
          <w:p w14:paraId="4FB6F590"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w:t>
            </w:r>
          </w:p>
        </w:tc>
        <w:tc>
          <w:tcPr>
            <w:tcW w:w="3442" w:type="dxa"/>
            <w:shd w:val="clear" w:color="auto" w:fill="auto"/>
            <w:vAlign w:val="center"/>
          </w:tcPr>
          <w:p w14:paraId="38F7745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0,5</w:t>
            </w:r>
          </w:p>
        </w:tc>
        <w:tc>
          <w:tcPr>
            <w:tcW w:w="2503" w:type="dxa"/>
            <w:vMerge/>
            <w:shd w:val="clear" w:color="auto" w:fill="auto"/>
            <w:vAlign w:val="center"/>
          </w:tcPr>
          <w:p w14:paraId="083653EC"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bl>
    <w:p w14:paraId="168F7D5B" w14:textId="77777777" w:rsidR="008F52C8" w:rsidRPr="0030358C" w:rsidRDefault="008F52C8" w:rsidP="008F52C8">
      <w:pPr>
        <w:rPr>
          <w:rFonts w:ascii="Arial" w:hAnsi="Arial" w:cs="Arial"/>
          <w:b/>
          <w:bCs/>
          <w:i/>
          <w:sz w:val="22"/>
          <w:szCs w:val="22"/>
          <w:lang w:eastAsia="zh-CN"/>
        </w:rPr>
      </w:pPr>
    </w:p>
    <w:p w14:paraId="19C8CB00" w14:textId="77777777" w:rsidR="008F52C8" w:rsidRPr="0030358C" w:rsidRDefault="008F52C8" w:rsidP="008F52C8">
      <w:pPr>
        <w:rPr>
          <w:rFonts w:ascii="Arial" w:hAnsi="Arial" w:cs="Arial"/>
          <w:b/>
          <w:bCs/>
          <w:sz w:val="22"/>
          <w:szCs w:val="22"/>
          <w:lang w:eastAsia="zh-CN"/>
        </w:rPr>
      </w:pPr>
    </w:p>
    <w:p w14:paraId="472088A8"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xml:space="preserve">3.7.4. Tavení a odlévání neželezných kovů a jejich slitin o celkové projektované kapacitě 50 kg za den a </w:t>
      </w:r>
      <w:r w:rsidR="0052793F" w:rsidRPr="0030358C">
        <w:rPr>
          <w:rFonts w:ascii="Arial" w:hAnsi="Arial" w:cs="Arial"/>
          <w:b/>
          <w:bCs/>
          <w:sz w:val="22"/>
          <w:szCs w:val="22"/>
          <w:lang w:eastAsia="zh-CN"/>
        </w:rPr>
        <w:t>více (</w:t>
      </w:r>
      <w:r w:rsidRPr="0030358C">
        <w:rPr>
          <w:rFonts w:ascii="Arial" w:hAnsi="Arial" w:cs="Arial"/>
          <w:b/>
          <w:bCs/>
          <w:sz w:val="22"/>
          <w:szCs w:val="22"/>
          <w:lang w:eastAsia="zh-CN"/>
        </w:rPr>
        <w:t>kód 4.10. dle přílohy č. 2 zákona)</w:t>
      </w:r>
    </w:p>
    <w:p w14:paraId="46275DB6" w14:textId="77777777" w:rsidR="008F52C8" w:rsidRPr="0030358C" w:rsidRDefault="008F52C8" w:rsidP="008F52C8">
      <w:pPr>
        <w:rPr>
          <w:rFonts w:ascii="Arial" w:hAnsi="Arial" w:cs="Arial"/>
          <w:b/>
          <w:bCs/>
          <w:sz w:val="22"/>
          <w:szCs w:val="22"/>
          <w:lang w:eastAsia="zh-CN"/>
        </w:rPr>
      </w:pPr>
    </w:p>
    <w:p w14:paraId="6F42F04C"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76098400"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Při roztavování hliníku se nesmí používat organické sloučeniny obsahující chlor.</w:t>
      </w:r>
    </w:p>
    <w:p w14:paraId="6619DF85" w14:textId="77777777" w:rsidR="008F52C8" w:rsidRPr="0030358C" w:rsidRDefault="008F52C8" w:rsidP="008F52C8">
      <w:pPr>
        <w:rPr>
          <w:rFonts w:ascii="Arial" w:hAnsi="Arial" w:cs="Arial"/>
          <w:b/>
          <w:bCs/>
          <w:sz w:val="22"/>
          <w:szCs w:val="22"/>
          <w:lang w:eastAsia="zh-CN"/>
        </w:rPr>
      </w:pPr>
    </w:p>
    <w:tbl>
      <w:tblPr>
        <w:tblW w:w="0" w:type="auto"/>
        <w:tblInd w:w="-6" w:type="dxa"/>
        <w:tblLayout w:type="fixed"/>
        <w:tblCellMar>
          <w:left w:w="10" w:type="dxa"/>
          <w:right w:w="10" w:type="dxa"/>
        </w:tblCellMar>
        <w:tblLook w:val="0000" w:firstRow="0" w:lastRow="0" w:firstColumn="0" w:lastColumn="0" w:noHBand="0" w:noVBand="0"/>
      </w:tblPr>
      <w:tblGrid>
        <w:gridCol w:w="2280"/>
        <w:gridCol w:w="2268"/>
        <w:gridCol w:w="2268"/>
        <w:gridCol w:w="2573"/>
      </w:tblGrid>
      <w:tr w:rsidR="00E40657" w14:paraId="3253928B" w14:textId="77777777" w:rsidTr="00732453">
        <w:trPr>
          <w:cantSplit/>
          <w:trHeight w:hRule="exact" w:val="341"/>
        </w:trPr>
        <w:tc>
          <w:tcPr>
            <w:tcW w:w="6816" w:type="dxa"/>
            <w:gridSpan w:val="3"/>
            <w:tcBorders>
              <w:top w:val="single" w:sz="2" w:space="0" w:color="000000"/>
              <w:left w:val="single" w:sz="2" w:space="0" w:color="000000"/>
              <w:bottom w:val="single" w:sz="2" w:space="0" w:color="000000"/>
            </w:tcBorders>
            <w:shd w:val="clear" w:color="auto" w:fill="auto"/>
            <w:vAlign w:val="center"/>
          </w:tcPr>
          <w:p w14:paraId="09A0E45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w:t>
            </w:r>
            <w:r w:rsidRPr="0030358C">
              <w:rPr>
                <w:rFonts w:ascii="Arial" w:hAnsi="Arial" w:cs="Arial"/>
                <w:b/>
                <w:bCs/>
                <w:sz w:val="22"/>
                <w:szCs w:val="22"/>
                <w:vertAlign w:val="superscript"/>
                <w:lang w:eastAsia="zh-CN"/>
              </w:rPr>
              <w:t xml:space="preserve">1) </w:t>
            </w:r>
            <w:r w:rsidRPr="0030358C">
              <w:rPr>
                <w:rFonts w:ascii="Arial" w:hAnsi="Arial" w:cs="Arial"/>
                <w:b/>
                <w:bCs/>
                <w:sz w:val="22"/>
                <w:szCs w:val="22"/>
                <w:lang w:eastAsia="zh-CN"/>
              </w:rPr>
              <w:t>[mg/m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57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C6463B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A05FD38" w14:textId="77777777" w:rsidTr="00732453">
        <w:trPr>
          <w:cantSplit/>
          <w:trHeight w:hRule="exact" w:val="543"/>
        </w:trPr>
        <w:tc>
          <w:tcPr>
            <w:tcW w:w="2280" w:type="dxa"/>
            <w:tcBorders>
              <w:top w:val="single" w:sz="2" w:space="0" w:color="000000"/>
              <w:left w:val="single" w:sz="2" w:space="0" w:color="000000"/>
              <w:bottom w:val="single" w:sz="2" w:space="0" w:color="000000"/>
            </w:tcBorders>
            <w:shd w:val="clear" w:color="auto" w:fill="auto"/>
            <w:vAlign w:val="center"/>
          </w:tcPr>
          <w:p w14:paraId="4B29B79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268" w:type="dxa"/>
            <w:tcBorders>
              <w:top w:val="single" w:sz="2" w:space="0" w:color="000000"/>
              <w:left w:val="single" w:sz="2" w:space="0" w:color="000000"/>
              <w:bottom w:val="single" w:sz="2" w:space="0" w:color="000000"/>
            </w:tcBorders>
            <w:shd w:val="clear" w:color="auto" w:fill="auto"/>
            <w:vAlign w:val="center"/>
          </w:tcPr>
          <w:p w14:paraId="1A74CE36"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268" w:type="dxa"/>
            <w:tcBorders>
              <w:top w:val="single" w:sz="2" w:space="0" w:color="000000"/>
              <w:left w:val="single" w:sz="2" w:space="0" w:color="000000"/>
              <w:bottom w:val="single" w:sz="2" w:space="0" w:color="000000"/>
            </w:tcBorders>
            <w:shd w:val="clear" w:color="auto" w:fill="auto"/>
            <w:vAlign w:val="center"/>
          </w:tcPr>
          <w:p w14:paraId="0E17A37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Zn</w:t>
            </w:r>
          </w:p>
        </w:tc>
        <w:tc>
          <w:tcPr>
            <w:tcW w:w="2573" w:type="dxa"/>
            <w:vMerge/>
            <w:tcBorders>
              <w:top w:val="single" w:sz="2" w:space="0" w:color="000000"/>
              <w:left w:val="single" w:sz="2" w:space="0" w:color="000000"/>
              <w:bottom w:val="single" w:sz="2" w:space="0" w:color="000000"/>
              <w:right w:val="single" w:sz="2" w:space="0" w:color="000000"/>
            </w:tcBorders>
            <w:shd w:val="clear" w:color="auto" w:fill="auto"/>
          </w:tcPr>
          <w:p w14:paraId="3BE7E341" w14:textId="77777777" w:rsidR="008F52C8" w:rsidRPr="0030358C" w:rsidRDefault="008F52C8" w:rsidP="00732453">
            <w:pPr>
              <w:widowControl w:val="0"/>
              <w:autoSpaceDE w:val="0"/>
              <w:snapToGrid w:val="0"/>
              <w:jc w:val="both"/>
              <w:rPr>
                <w:rFonts w:ascii="Arial" w:hAnsi="Arial" w:cs="Arial"/>
                <w:b/>
                <w:bCs/>
                <w:sz w:val="22"/>
                <w:szCs w:val="22"/>
                <w:lang w:eastAsia="zh-CN"/>
              </w:rPr>
            </w:pPr>
          </w:p>
        </w:tc>
      </w:tr>
      <w:tr w:rsidR="00E40657" w14:paraId="128C69EB" w14:textId="77777777" w:rsidTr="00732453">
        <w:trPr>
          <w:cantSplit/>
          <w:trHeight w:hRule="exact" w:val="630"/>
        </w:trPr>
        <w:tc>
          <w:tcPr>
            <w:tcW w:w="2280" w:type="dxa"/>
            <w:tcBorders>
              <w:top w:val="single" w:sz="2" w:space="0" w:color="000000"/>
              <w:left w:val="single" w:sz="2" w:space="0" w:color="000000"/>
              <w:bottom w:val="single" w:sz="2" w:space="0" w:color="000000"/>
            </w:tcBorders>
            <w:shd w:val="clear" w:color="auto" w:fill="auto"/>
            <w:vAlign w:val="center"/>
          </w:tcPr>
          <w:p w14:paraId="62D0278E"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2268" w:type="dxa"/>
            <w:tcBorders>
              <w:top w:val="single" w:sz="2" w:space="0" w:color="000000"/>
              <w:left w:val="single" w:sz="2" w:space="0" w:color="000000"/>
              <w:bottom w:val="single" w:sz="2" w:space="0" w:color="000000"/>
            </w:tcBorders>
            <w:shd w:val="clear" w:color="auto" w:fill="auto"/>
            <w:vAlign w:val="center"/>
          </w:tcPr>
          <w:p w14:paraId="668A6719"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r w:rsidRPr="0030358C">
              <w:rPr>
                <w:rFonts w:ascii="Arial" w:hAnsi="Arial" w:cs="Arial"/>
                <w:b/>
                <w:bCs/>
                <w:sz w:val="22"/>
                <w:szCs w:val="22"/>
                <w:vertAlign w:val="superscript"/>
                <w:lang w:eastAsia="zh-CN"/>
              </w:rPr>
              <w:t>2)</w:t>
            </w:r>
          </w:p>
        </w:tc>
        <w:tc>
          <w:tcPr>
            <w:tcW w:w="2268" w:type="dxa"/>
            <w:tcBorders>
              <w:top w:val="single" w:sz="2" w:space="0" w:color="000000"/>
              <w:left w:val="single" w:sz="2" w:space="0" w:color="000000"/>
              <w:bottom w:val="single" w:sz="2" w:space="0" w:color="000000"/>
            </w:tcBorders>
            <w:shd w:val="clear" w:color="auto" w:fill="auto"/>
            <w:vAlign w:val="center"/>
          </w:tcPr>
          <w:p w14:paraId="66A2153A"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3)</w:t>
            </w:r>
          </w:p>
        </w:tc>
        <w:tc>
          <w:tcPr>
            <w:tcW w:w="2573" w:type="dxa"/>
            <w:tcBorders>
              <w:top w:val="single" w:sz="2" w:space="0" w:color="000000"/>
              <w:left w:val="single" w:sz="2" w:space="0" w:color="000000"/>
              <w:bottom w:val="single" w:sz="4" w:space="0" w:color="000000"/>
              <w:right w:val="single" w:sz="2" w:space="0" w:color="000000"/>
            </w:tcBorders>
            <w:shd w:val="clear" w:color="auto" w:fill="auto"/>
            <w:vAlign w:val="center"/>
          </w:tcPr>
          <w:p w14:paraId="73154887"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2FC80E0D"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sz w:val="22"/>
          <w:szCs w:val="22"/>
          <w:lang w:eastAsia="zh-CN"/>
        </w:rPr>
        <w:lastRenderedPageBreak/>
        <w:t>Vysvětlivky</w:t>
      </w:r>
      <w:r w:rsidRPr="0030358C">
        <w:rPr>
          <w:rFonts w:ascii="Arial" w:hAnsi="Arial" w:cs="Arial"/>
          <w:b/>
          <w:bCs/>
          <w:iCs/>
          <w:sz w:val="22"/>
          <w:szCs w:val="22"/>
          <w:lang w:eastAsia="zh-CN"/>
        </w:rPr>
        <w:t>:</w:t>
      </w:r>
    </w:p>
    <w:p w14:paraId="28CFCC9C"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iCs/>
          <w:sz w:val="22"/>
          <w:szCs w:val="22"/>
          <w:lang w:eastAsia="zh-CN"/>
        </w:rPr>
        <w:t>1) Emisní limity platí pouze pro tavení a odlévání o celkové projektované kapacitě 200 kg slitiny/den a vyšší.</w:t>
      </w:r>
    </w:p>
    <w:p w14:paraId="46E945E0"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iCs/>
          <w:sz w:val="22"/>
          <w:szCs w:val="22"/>
          <w:lang w:eastAsia="zh-CN"/>
        </w:rPr>
        <w:t>2) Neplatí pro tavení a odlévání s elektrickým otopem.</w:t>
      </w:r>
    </w:p>
    <w:p w14:paraId="7E2A8DF8"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iCs/>
          <w:sz w:val="22"/>
          <w:szCs w:val="22"/>
          <w:lang w:eastAsia="zh-CN"/>
        </w:rPr>
        <w:t>3) Platí pro tavení a odlévání zinku a jeho slitin.</w:t>
      </w:r>
    </w:p>
    <w:p w14:paraId="41955D01" w14:textId="77777777" w:rsidR="008F52C8" w:rsidRPr="0030358C" w:rsidRDefault="008F52C8" w:rsidP="008F52C8">
      <w:pPr>
        <w:rPr>
          <w:rFonts w:ascii="Arial" w:hAnsi="Arial" w:cs="Arial"/>
          <w:b/>
          <w:bCs/>
          <w:sz w:val="22"/>
          <w:szCs w:val="22"/>
          <w:lang w:eastAsia="zh-CN"/>
        </w:rPr>
      </w:pPr>
    </w:p>
    <w:p w14:paraId="1A1DB739" w14:textId="77777777" w:rsidR="008F52C8" w:rsidRPr="0030358C" w:rsidRDefault="00000000" w:rsidP="008F52C8">
      <w:pPr>
        <w:widowControl w:val="0"/>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3.8. Povrchová úprava kovů a plastů a jiných nekovových předmětů</w:t>
      </w:r>
    </w:p>
    <w:p w14:paraId="010AC09B" w14:textId="77777777" w:rsidR="008F52C8" w:rsidRPr="0030358C" w:rsidRDefault="008F52C8" w:rsidP="008F52C8">
      <w:pPr>
        <w:widowControl w:val="0"/>
        <w:autoSpaceDE w:val="0"/>
        <w:spacing w:before="60" w:line="300" w:lineRule="exact"/>
        <w:jc w:val="both"/>
        <w:rPr>
          <w:rFonts w:ascii="Arial" w:hAnsi="Arial" w:cs="Arial"/>
          <w:b/>
          <w:bCs/>
          <w:sz w:val="22"/>
          <w:szCs w:val="22"/>
          <w:lang w:eastAsia="zh-CN"/>
        </w:rPr>
      </w:pPr>
    </w:p>
    <w:p w14:paraId="148BA4F2"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3.8.1. Povrchová úpravu kovů nebo plastů a jiných nekovových předmětů s celkovou projektovanou kapacitou objemu lázně od 1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do 30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včetně (vyjma oplachu), procesy bez použití lázní (kód 4.12. dle přílohy č. 2 zákona)</w:t>
      </w:r>
    </w:p>
    <w:p w14:paraId="4C4398F4" w14:textId="77777777" w:rsidR="008F52C8" w:rsidRPr="0030358C" w:rsidRDefault="00000000" w:rsidP="008F52C8">
      <w:pPr>
        <w:widowControl w:val="0"/>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Platí pro pokovování i nekovových předmětů, ale nevztahuje se na nanášení nátěrových hmot. Platí pro procesy moření, galvanické pokovování, fosfatizace, fosfátování a leštění s použitím elektrolytických nebo chemických postupů a dále smaltování, tryskání, metalizaci a související operace.</w:t>
      </w:r>
    </w:p>
    <w:tbl>
      <w:tblPr>
        <w:tblW w:w="0" w:type="auto"/>
        <w:tblInd w:w="-6" w:type="dxa"/>
        <w:tblLayout w:type="fixed"/>
        <w:tblCellMar>
          <w:left w:w="10" w:type="dxa"/>
          <w:right w:w="10" w:type="dxa"/>
        </w:tblCellMar>
        <w:tblLook w:val="0000" w:firstRow="0" w:lastRow="0" w:firstColumn="0" w:lastColumn="0" w:noHBand="0" w:noVBand="0"/>
      </w:tblPr>
      <w:tblGrid>
        <w:gridCol w:w="2296"/>
        <w:gridCol w:w="2105"/>
        <w:gridCol w:w="2105"/>
        <w:gridCol w:w="2883"/>
      </w:tblGrid>
      <w:tr w:rsidR="00E40657" w14:paraId="1FFFB769" w14:textId="77777777" w:rsidTr="00732453">
        <w:trPr>
          <w:cantSplit/>
          <w:trHeight w:hRule="exact" w:val="479"/>
        </w:trPr>
        <w:tc>
          <w:tcPr>
            <w:tcW w:w="6506" w:type="dxa"/>
            <w:gridSpan w:val="3"/>
            <w:tcBorders>
              <w:top w:val="single" w:sz="2" w:space="0" w:color="000000"/>
              <w:left w:val="single" w:sz="2" w:space="0" w:color="000000"/>
              <w:bottom w:val="single" w:sz="2" w:space="0" w:color="000000"/>
            </w:tcBorders>
            <w:shd w:val="clear" w:color="auto" w:fill="auto"/>
            <w:vAlign w:val="center"/>
          </w:tcPr>
          <w:p w14:paraId="584FA118"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883" w:type="dxa"/>
            <w:vMerge w:val="restart"/>
            <w:tcBorders>
              <w:top w:val="single" w:sz="2" w:space="0" w:color="000000"/>
              <w:left w:val="single" w:sz="2" w:space="0" w:color="000000"/>
              <w:right w:val="single" w:sz="2" w:space="0" w:color="000000"/>
            </w:tcBorders>
            <w:shd w:val="clear" w:color="auto" w:fill="auto"/>
            <w:vAlign w:val="center"/>
          </w:tcPr>
          <w:p w14:paraId="01E3ECC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18905BF" w14:textId="77777777" w:rsidTr="00732453">
        <w:trPr>
          <w:cantSplit/>
          <w:trHeight w:hRule="exact" w:val="331"/>
        </w:trPr>
        <w:tc>
          <w:tcPr>
            <w:tcW w:w="2296" w:type="dxa"/>
            <w:tcBorders>
              <w:top w:val="single" w:sz="2" w:space="0" w:color="000000"/>
              <w:left w:val="single" w:sz="2" w:space="0" w:color="000000"/>
              <w:bottom w:val="single" w:sz="2" w:space="0" w:color="000000"/>
            </w:tcBorders>
            <w:shd w:val="clear" w:color="auto" w:fill="auto"/>
            <w:vAlign w:val="center"/>
          </w:tcPr>
          <w:p w14:paraId="302BE93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105" w:type="dxa"/>
            <w:tcBorders>
              <w:top w:val="single" w:sz="2" w:space="0" w:color="000000"/>
              <w:left w:val="single" w:sz="2" w:space="0" w:color="000000"/>
              <w:bottom w:val="single" w:sz="2" w:space="0" w:color="000000"/>
            </w:tcBorders>
            <w:shd w:val="clear" w:color="auto" w:fill="auto"/>
            <w:vAlign w:val="center"/>
          </w:tcPr>
          <w:p w14:paraId="1F9E20E5"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105" w:type="dxa"/>
            <w:tcBorders>
              <w:top w:val="single" w:sz="2" w:space="0" w:color="000000"/>
              <w:left w:val="single" w:sz="2" w:space="0" w:color="000000"/>
              <w:bottom w:val="single" w:sz="2" w:space="0" w:color="000000"/>
            </w:tcBorders>
            <w:shd w:val="clear" w:color="auto" w:fill="auto"/>
            <w:vAlign w:val="center"/>
          </w:tcPr>
          <w:p w14:paraId="1060C317"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HCl</w:t>
            </w:r>
          </w:p>
        </w:tc>
        <w:tc>
          <w:tcPr>
            <w:tcW w:w="2883" w:type="dxa"/>
            <w:vMerge/>
            <w:tcBorders>
              <w:left w:val="single" w:sz="2" w:space="0" w:color="000000"/>
              <w:bottom w:val="single" w:sz="2" w:space="0" w:color="000000"/>
              <w:right w:val="single" w:sz="2" w:space="0" w:color="000000"/>
            </w:tcBorders>
            <w:shd w:val="clear" w:color="auto" w:fill="auto"/>
          </w:tcPr>
          <w:p w14:paraId="6B291149" w14:textId="77777777" w:rsidR="008F52C8" w:rsidRPr="0030358C" w:rsidRDefault="008F52C8" w:rsidP="00732453">
            <w:pPr>
              <w:widowControl w:val="0"/>
              <w:autoSpaceDE w:val="0"/>
              <w:snapToGrid w:val="0"/>
              <w:jc w:val="both"/>
              <w:rPr>
                <w:rFonts w:ascii="Arial" w:hAnsi="Arial" w:cs="Arial"/>
                <w:b/>
                <w:bCs/>
                <w:sz w:val="22"/>
                <w:szCs w:val="22"/>
                <w:lang w:eastAsia="zh-CN"/>
              </w:rPr>
            </w:pPr>
          </w:p>
        </w:tc>
      </w:tr>
      <w:tr w:rsidR="00E40657" w14:paraId="4EAB8A95" w14:textId="77777777" w:rsidTr="00732453">
        <w:trPr>
          <w:cantSplit/>
          <w:trHeight w:hRule="exact" w:val="377"/>
        </w:trPr>
        <w:tc>
          <w:tcPr>
            <w:tcW w:w="2296" w:type="dxa"/>
            <w:tcBorders>
              <w:top w:val="single" w:sz="2" w:space="0" w:color="000000"/>
              <w:left w:val="single" w:sz="2" w:space="0" w:color="000000"/>
              <w:bottom w:val="single" w:sz="4" w:space="0" w:color="000000"/>
            </w:tcBorders>
            <w:shd w:val="clear" w:color="auto" w:fill="auto"/>
            <w:vAlign w:val="center"/>
          </w:tcPr>
          <w:p w14:paraId="20AE3D57"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2)</w:t>
            </w:r>
          </w:p>
        </w:tc>
        <w:tc>
          <w:tcPr>
            <w:tcW w:w="2105" w:type="dxa"/>
            <w:tcBorders>
              <w:top w:val="single" w:sz="2" w:space="0" w:color="000000"/>
              <w:left w:val="single" w:sz="2" w:space="0" w:color="000000"/>
              <w:bottom w:val="single" w:sz="4" w:space="0" w:color="000000"/>
            </w:tcBorders>
            <w:shd w:val="clear" w:color="auto" w:fill="auto"/>
            <w:vAlign w:val="center"/>
          </w:tcPr>
          <w:p w14:paraId="5773FAFC"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1500</w:t>
            </w:r>
            <w:r w:rsidRPr="0030358C">
              <w:rPr>
                <w:rFonts w:ascii="Arial" w:hAnsi="Arial" w:cs="Arial"/>
                <w:b/>
                <w:bCs/>
                <w:sz w:val="22"/>
                <w:szCs w:val="22"/>
                <w:vertAlign w:val="superscript"/>
                <w:lang w:eastAsia="zh-CN"/>
              </w:rPr>
              <w:t>1,3)</w:t>
            </w:r>
          </w:p>
        </w:tc>
        <w:tc>
          <w:tcPr>
            <w:tcW w:w="2105" w:type="dxa"/>
            <w:tcBorders>
              <w:top w:val="single" w:sz="2" w:space="0" w:color="000000"/>
              <w:left w:val="single" w:sz="2" w:space="0" w:color="000000"/>
              <w:bottom w:val="single" w:sz="4" w:space="0" w:color="000000"/>
            </w:tcBorders>
            <w:shd w:val="clear" w:color="auto" w:fill="auto"/>
            <w:vAlign w:val="center"/>
          </w:tcPr>
          <w:p w14:paraId="17708139"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1,4)</w:t>
            </w:r>
          </w:p>
        </w:tc>
        <w:tc>
          <w:tcPr>
            <w:tcW w:w="2883" w:type="dxa"/>
            <w:tcBorders>
              <w:top w:val="single" w:sz="2" w:space="0" w:color="000000"/>
              <w:left w:val="single" w:sz="2" w:space="0" w:color="000000"/>
              <w:bottom w:val="single" w:sz="4" w:space="0" w:color="000000"/>
              <w:right w:val="single" w:sz="2" w:space="0" w:color="000000"/>
            </w:tcBorders>
            <w:shd w:val="clear" w:color="auto" w:fill="auto"/>
            <w:vAlign w:val="center"/>
          </w:tcPr>
          <w:p w14:paraId="521A1BD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25F050CB" w14:textId="77777777" w:rsidR="008F52C8" w:rsidRPr="0030358C" w:rsidRDefault="00000000" w:rsidP="008F52C8">
      <w:pPr>
        <w:widowControl w:val="0"/>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Vysvětlivky:</w:t>
      </w:r>
    </w:p>
    <w:p w14:paraId="0F584D59" w14:textId="77777777" w:rsidR="008F52C8" w:rsidRPr="0030358C" w:rsidRDefault="00000000" w:rsidP="000032A3">
      <w:pPr>
        <w:widowControl w:val="0"/>
        <w:tabs>
          <w:tab w:val="left" w:pos="284"/>
        </w:tabs>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1)</w:t>
      </w:r>
      <w:r w:rsidRPr="0030358C">
        <w:rPr>
          <w:rFonts w:ascii="Arial" w:hAnsi="Arial" w:cs="Arial"/>
          <w:b/>
          <w:bCs/>
          <w:sz w:val="22"/>
          <w:szCs w:val="22"/>
          <w:lang w:eastAsia="zh-CN"/>
        </w:rPr>
        <w:tab/>
        <w:t>Emisní limity platné pro lázně s celkovou projektovanou kapacitou objemu lázně od 3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do 30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včetně, vyjma oplachu.</w:t>
      </w:r>
    </w:p>
    <w:p w14:paraId="499BFB64" w14:textId="77777777" w:rsidR="008F52C8" w:rsidRPr="0030358C" w:rsidRDefault="00000000" w:rsidP="000032A3">
      <w:pPr>
        <w:widowControl w:val="0"/>
        <w:tabs>
          <w:tab w:val="left" w:pos="284"/>
        </w:tabs>
        <w:suppressAutoHyphens/>
        <w:autoSpaceDE w:val="0"/>
        <w:jc w:val="both"/>
        <w:rPr>
          <w:rFonts w:ascii="Arial" w:hAnsi="Arial" w:cs="Arial"/>
          <w:b/>
          <w:bCs/>
          <w:iCs/>
          <w:sz w:val="22"/>
          <w:szCs w:val="22"/>
          <w:lang w:eastAsia="zh-CN"/>
        </w:rPr>
      </w:pPr>
      <w:r w:rsidRPr="0030358C">
        <w:rPr>
          <w:rFonts w:ascii="Arial" w:hAnsi="Arial" w:cs="Arial"/>
          <w:b/>
          <w:bCs/>
          <w:sz w:val="22"/>
          <w:szCs w:val="22"/>
          <w:lang w:eastAsia="zh-CN"/>
        </w:rPr>
        <w:t>2)</w:t>
      </w:r>
      <w:r w:rsidRPr="0030358C">
        <w:rPr>
          <w:rFonts w:ascii="Arial" w:hAnsi="Arial" w:cs="Arial"/>
          <w:b/>
          <w:bCs/>
          <w:sz w:val="22"/>
          <w:szCs w:val="22"/>
          <w:lang w:eastAsia="zh-CN"/>
        </w:rPr>
        <w:tab/>
        <w:t xml:space="preserve">Neplatí pro </w:t>
      </w:r>
      <w:r w:rsidRPr="0030358C">
        <w:rPr>
          <w:rFonts w:ascii="Arial" w:hAnsi="Arial" w:cs="Arial"/>
          <w:b/>
          <w:bCs/>
          <w:iCs/>
          <w:sz w:val="22"/>
          <w:szCs w:val="22"/>
          <w:lang w:eastAsia="zh-CN"/>
        </w:rPr>
        <w:t xml:space="preserve">procesy s použitím lázní a ve vodném prostředí. </w:t>
      </w:r>
    </w:p>
    <w:p w14:paraId="0007FDAE" w14:textId="77777777" w:rsidR="008F52C8" w:rsidRPr="0030358C" w:rsidRDefault="00000000" w:rsidP="000032A3">
      <w:pPr>
        <w:widowControl w:val="0"/>
        <w:tabs>
          <w:tab w:val="left" w:pos="284"/>
        </w:tabs>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3)</w:t>
      </w:r>
      <w:r w:rsidRPr="0030358C">
        <w:rPr>
          <w:rFonts w:ascii="Arial" w:hAnsi="Arial" w:cs="Arial"/>
          <w:b/>
          <w:bCs/>
          <w:sz w:val="22"/>
          <w:szCs w:val="22"/>
          <w:lang w:eastAsia="zh-CN"/>
        </w:rPr>
        <w:tab/>
        <w:t>Platí při</w:t>
      </w:r>
      <w:r w:rsidRPr="0030358C">
        <w:rPr>
          <w:rFonts w:ascii="Arial" w:hAnsi="Arial" w:cs="Arial"/>
          <w:b/>
          <w:bCs/>
          <w:iCs/>
          <w:sz w:val="22"/>
          <w:szCs w:val="22"/>
          <w:lang w:eastAsia="zh-CN"/>
        </w:rPr>
        <w:t xml:space="preserve"> použití kyseliny dusičné při kontinuálně pracují</w:t>
      </w:r>
      <w:r w:rsidRPr="0030358C">
        <w:rPr>
          <w:rFonts w:ascii="Arial" w:hAnsi="Arial" w:cs="Arial"/>
          <w:b/>
          <w:bCs/>
          <w:sz w:val="22"/>
          <w:szCs w:val="22"/>
          <w:lang w:eastAsia="zh-CN"/>
        </w:rPr>
        <w:t>cím zařízení.</w:t>
      </w:r>
    </w:p>
    <w:p w14:paraId="4D9BA13A" w14:textId="77777777" w:rsidR="008F52C8" w:rsidRPr="0030358C" w:rsidRDefault="00000000" w:rsidP="008F52C8">
      <w:pPr>
        <w:widowControl w:val="0"/>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4)</w:t>
      </w:r>
      <w:r w:rsidRPr="0030358C">
        <w:rPr>
          <w:rFonts w:ascii="Arial" w:hAnsi="Arial" w:cs="Arial"/>
          <w:b/>
          <w:bCs/>
          <w:sz w:val="22"/>
          <w:szCs w:val="22"/>
          <w:lang w:eastAsia="zh-CN"/>
        </w:rPr>
        <w:tab/>
        <w:t>Platí při použití HCl u povrchových úprav.</w:t>
      </w:r>
    </w:p>
    <w:p w14:paraId="6684FD92" w14:textId="77777777" w:rsidR="008F52C8" w:rsidRPr="0030358C" w:rsidRDefault="008F52C8" w:rsidP="008F52C8">
      <w:pPr>
        <w:widowControl w:val="0"/>
        <w:tabs>
          <w:tab w:val="left" w:pos="284"/>
        </w:tabs>
        <w:autoSpaceDE w:val="0"/>
        <w:spacing w:before="60" w:line="300" w:lineRule="exact"/>
        <w:jc w:val="both"/>
        <w:rPr>
          <w:rFonts w:ascii="Arial" w:hAnsi="Arial" w:cs="Arial"/>
          <w:b/>
          <w:bCs/>
          <w:i/>
          <w:sz w:val="22"/>
          <w:szCs w:val="22"/>
          <w:lang w:eastAsia="zh-CN"/>
        </w:rPr>
      </w:pPr>
    </w:p>
    <w:p w14:paraId="1700A6CE" w14:textId="77777777" w:rsidR="008F52C8" w:rsidRPr="0030358C" w:rsidRDefault="00000000" w:rsidP="008F52C8">
      <w:pPr>
        <w:widowControl w:val="0"/>
        <w:tabs>
          <w:tab w:val="left" w:pos="284"/>
        </w:tabs>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Technická podmínka provozu platná pro povrchovou úpravu tryskáním:</w:t>
      </w:r>
    </w:p>
    <w:p w14:paraId="0F0BDB5F" w14:textId="77777777" w:rsidR="008F52C8" w:rsidRPr="0030358C" w:rsidRDefault="00000000" w:rsidP="008F52C8">
      <w:pPr>
        <w:widowControl w:val="0"/>
        <w:tabs>
          <w:tab w:val="left" w:pos="284"/>
        </w:tabs>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Prostor tryskání je zajištěn proti emisím tuhých znečišťujících látek, např. těsněním nebo podtlakem.</w:t>
      </w:r>
    </w:p>
    <w:p w14:paraId="54EB7745" w14:textId="77777777" w:rsidR="008F52C8" w:rsidRPr="0030358C" w:rsidRDefault="008F52C8" w:rsidP="008F52C8">
      <w:pPr>
        <w:rPr>
          <w:rFonts w:ascii="Arial" w:hAnsi="Arial" w:cs="Arial"/>
          <w:b/>
          <w:bCs/>
          <w:sz w:val="22"/>
          <w:szCs w:val="22"/>
          <w:lang w:eastAsia="zh-CN"/>
        </w:rPr>
      </w:pPr>
    </w:p>
    <w:p w14:paraId="684B6EE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3.8.2. Povrchová úpravu kovů a plastů a jiných nekovových předmětů s celkovou projektovanou kapacitou objemu lázně větším než 30 m</w:t>
      </w:r>
      <w:r w:rsidRPr="0030358C">
        <w:rPr>
          <w:rFonts w:ascii="Arial" w:hAnsi="Arial" w:cs="Arial"/>
          <w:b/>
          <w:bCs/>
          <w:sz w:val="22"/>
          <w:szCs w:val="22"/>
          <w:vertAlign w:val="superscript"/>
          <w:lang w:eastAsia="zh-CN"/>
        </w:rPr>
        <w:t xml:space="preserve">3 </w:t>
      </w:r>
      <w:r w:rsidRPr="0030358C">
        <w:rPr>
          <w:rFonts w:ascii="Arial" w:hAnsi="Arial" w:cs="Arial"/>
          <w:b/>
          <w:bCs/>
          <w:sz w:val="22"/>
          <w:szCs w:val="22"/>
          <w:lang w:eastAsia="zh-CN"/>
        </w:rPr>
        <w:t>(vyjma oplachu) (kód 4.12. dle přílohy č. 2 zákona)</w:t>
      </w:r>
    </w:p>
    <w:tbl>
      <w:tblPr>
        <w:tblW w:w="9389" w:type="dxa"/>
        <w:tblInd w:w="-6" w:type="dxa"/>
        <w:tblLayout w:type="fixed"/>
        <w:tblCellMar>
          <w:left w:w="10" w:type="dxa"/>
          <w:right w:w="10" w:type="dxa"/>
        </w:tblCellMar>
        <w:tblLook w:val="0000" w:firstRow="0" w:lastRow="0" w:firstColumn="0" w:lastColumn="0" w:noHBand="0" w:noVBand="0"/>
      </w:tblPr>
      <w:tblGrid>
        <w:gridCol w:w="1292"/>
        <w:gridCol w:w="1276"/>
        <w:gridCol w:w="1134"/>
        <w:gridCol w:w="1276"/>
        <w:gridCol w:w="1546"/>
        <w:gridCol w:w="2865"/>
      </w:tblGrid>
      <w:tr w:rsidR="00E40657" w14:paraId="20181F3F" w14:textId="77777777" w:rsidTr="00732453">
        <w:trPr>
          <w:cantSplit/>
          <w:trHeight w:hRule="exact" w:val="341"/>
        </w:trPr>
        <w:tc>
          <w:tcPr>
            <w:tcW w:w="6524" w:type="dxa"/>
            <w:gridSpan w:val="5"/>
            <w:tcBorders>
              <w:top w:val="single" w:sz="2" w:space="0" w:color="000000"/>
              <w:left w:val="single" w:sz="2" w:space="0" w:color="000000"/>
              <w:bottom w:val="single" w:sz="2" w:space="0" w:color="000000"/>
            </w:tcBorders>
            <w:shd w:val="clear" w:color="auto" w:fill="auto"/>
            <w:vAlign w:val="center"/>
          </w:tcPr>
          <w:p w14:paraId="30EA6FC8"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86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CF19A8"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4C5AD3D" w14:textId="77777777" w:rsidTr="00732453">
        <w:trPr>
          <w:cantSplit/>
          <w:trHeight w:hRule="exact" w:val="336"/>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7365DD"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17AF0B"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A31814"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H</w:t>
            </w:r>
            <w:r w:rsidRPr="0030358C">
              <w:rPr>
                <w:rFonts w:ascii="Arial" w:hAnsi="Arial" w:cs="Arial"/>
                <w:b/>
                <w:bCs/>
                <w:sz w:val="22"/>
                <w:szCs w:val="22"/>
                <w:vertAlign w:val="subscript"/>
                <w:lang w:eastAsia="zh-CN"/>
              </w:rPr>
              <w:t>2</w:t>
            </w: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4</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DFA45D"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HCl</w:t>
            </w:r>
          </w:p>
        </w:tc>
        <w:tc>
          <w:tcPr>
            <w:tcW w:w="154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B1493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HF</w:t>
            </w:r>
          </w:p>
        </w:tc>
        <w:tc>
          <w:tcPr>
            <w:tcW w:w="2865" w:type="dxa"/>
            <w:vMerge w:val="restart"/>
            <w:tcBorders>
              <w:top w:val="single" w:sz="2" w:space="0" w:color="000000"/>
              <w:left w:val="single" w:sz="2" w:space="0" w:color="000000"/>
              <w:right w:val="single" w:sz="2" w:space="0" w:color="000000"/>
            </w:tcBorders>
            <w:shd w:val="clear" w:color="auto" w:fill="auto"/>
            <w:vAlign w:val="center"/>
          </w:tcPr>
          <w:p w14:paraId="3653B7F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B</w:t>
            </w:r>
          </w:p>
        </w:tc>
      </w:tr>
      <w:tr w:rsidR="00E40657" w14:paraId="694A81BA" w14:textId="77777777" w:rsidTr="00732453">
        <w:trPr>
          <w:cantSplit/>
          <w:trHeight w:hRule="exact" w:val="336"/>
        </w:trPr>
        <w:tc>
          <w:tcPr>
            <w:tcW w:w="1292" w:type="dxa"/>
            <w:tcBorders>
              <w:top w:val="single" w:sz="2" w:space="0" w:color="000000"/>
              <w:left w:val="single" w:sz="2" w:space="0" w:color="000000"/>
              <w:bottom w:val="single" w:sz="4" w:space="0" w:color="000000"/>
              <w:right w:val="single" w:sz="2" w:space="0" w:color="000000"/>
            </w:tcBorders>
            <w:shd w:val="clear" w:color="auto" w:fill="auto"/>
            <w:vAlign w:val="center"/>
          </w:tcPr>
          <w:p w14:paraId="6E93D89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1)</w:t>
            </w:r>
          </w:p>
        </w:tc>
        <w:tc>
          <w:tcPr>
            <w:tcW w:w="1276" w:type="dxa"/>
            <w:tcBorders>
              <w:top w:val="single" w:sz="2" w:space="0" w:color="000000"/>
              <w:left w:val="single" w:sz="2" w:space="0" w:color="000000"/>
              <w:bottom w:val="single" w:sz="4" w:space="0" w:color="000000"/>
              <w:right w:val="single" w:sz="2" w:space="0" w:color="000000"/>
            </w:tcBorders>
            <w:shd w:val="clear" w:color="auto" w:fill="auto"/>
            <w:vAlign w:val="center"/>
          </w:tcPr>
          <w:p w14:paraId="38E849F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650</w:t>
            </w:r>
            <w:r w:rsidRPr="0030358C">
              <w:rPr>
                <w:rFonts w:ascii="Arial" w:hAnsi="Arial" w:cs="Arial"/>
                <w:b/>
                <w:bCs/>
                <w:sz w:val="22"/>
                <w:szCs w:val="22"/>
                <w:vertAlign w:val="superscript"/>
                <w:lang w:eastAsia="zh-CN"/>
              </w:rPr>
              <w:t>2)</w:t>
            </w:r>
          </w:p>
        </w:tc>
        <w:tc>
          <w:tcPr>
            <w:tcW w:w="1134" w:type="dxa"/>
            <w:tcBorders>
              <w:top w:val="single" w:sz="2" w:space="0" w:color="000000"/>
              <w:left w:val="single" w:sz="2" w:space="0" w:color="000000"/>
              <w:bottom w:val="single" w:sz="4" w:space="0" w:color="000000"/>
              <w:right w:val="single" w:sz="2" w:space="0" w:color="000000"/>
            </w:tcBorders>
            <w:shd w:val="clear" w:color="auto" w:fill="auto"/>
            <w:vAlign w:val="center"/>
          </w:tcPr>
          <w:p w14:paraId="426A0BA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w:t>
            </w:r>
            <w:r w:rsidRPr="0030358C">
              <w:rPr>
                <w:rFonts w:ascii="Arial" w:hAnsi="Arial" w:cs="Arial"/>
                <w:b/>
                <w:bCs/>
                <w:sz w:val="22"/>
                <w:szCs w:val="22"/>
                <w:vertAlign w:val="superscript"/>
                <w:lang w:eastAsia="zh-CN"/>
              </w:rPr>
              <w:t>1)</w:t>
            </w:r>
          </w:p>
        </w:tc>
        <w:tc>
          <w:tcPr>
            <w:tcW w:w="1276" w:type="dxa"/>
            <w:tcBorders>
              <w:top w:val="single" w:sz="2" w:space="0" w:color="000000"/>
              <w:left w:val="single" w:sz="2" w:space="0" w:color="000000"/>
              <w:bottom w:val="single" w:sz="4" w:space="0" w:color="000000"/>
              <w:right w:val="single" w:sz="2" w:space="0" w:color="000000"/>
            </w:tcBorders>
            <w:shd w:val="clear" w:color="auto" w:fill="auto"/>
            <w:vAlign w:val="center"/>
          </w:tcPr>
          <w:p w14:paraId="794DE2B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3)</w:t>
            </w:r>
          </w:p>
        </w:tc>
        <w:tc>
          <w:tcPr>
            <w:tcW w:w="1546" w:type="dxa"/>
            <w:tcBorders>
              <w:top w:val="single" w:sz="2" w:space="0" w:color="000000"/>
              <w:left w:val="single" w:sz="2" w:space="0" w:color="000000"/>
              <w:bottom w:val="single" w:sz="4" w:space="0" w:color="000000"/>
              <w:right w:val="single" w:sz="2" w:space="0" w:color="000000"/>
            </w:tcBorders>
            <w:shd w:val="clear" w:color="auto" w:fill="auto"/>
            <w:vAlign w:val="center"/>
          </w:tcPr>
          <w:p w14:paraId="3BFFEA5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w:t>
            </w:r>
            <w:r w:rsidRPr="0030358C">
              <w:rPr>
                <w:rFonts w:ascii="Arial" w:hAnsi="Arial" w:cs="Arial"/>
                <w:b/>
                <w:bCs/>
                <w:sz w:val="22"/>
                <w:szCs w:val="22"/>
                <w:vertAlign w:val="superscript"/>
                <w:lang w:eastAsia="zh-CN"/>
              </w:rPr>
              <w:t>4)</w:t>
            </w:r>
          </w:p>
        </w:tc>
        <w:tc>
          <w:tcPr>
            <w:tcW w:w="2865" w:type="dxa"/>
            <w:vMerge/>
            <w:tcBorders>
              <w:left w:val="single" w:sz="2" w:space="0" w:color="000000"/>
              <w:bottom w:val="single" w:sz="4" w:space="0" w:color="000000"/>
              <w:right w:val="single" w:sz="2" w:space="0" w:color="000000"/>
            </w:tcBorders>
            <w:shd w:val="clear" w:color="auto" w:fill="auto"/>
            <w:vAlign w:val="center"/>
          </w:tcPr>
          <w:p w14:paraId="63CDCD51" w14:textId="77777777" w:rsidR="008F52C8" w:rsidRPr="0030358C" w:rsidRDefault="008F52C8" w:rsidP="00732453">
            <w:pPr>
              <w:snapToGrid w:val="0"/>
              <w:rPr>
                <w:rFonts w:ascii="Arial" w:hAnsi="Arial" w:cs="Arial"/>
                <w:b/>
                <w:bCs/>
                <w:sz w:val="22"/>
                <w:szCs w:val="22"/>
                <w:lang w:eastAsia="zh-CN"/>
              </w:rPr>
            </w:pPr>
          </w:p>
        </w:tc>
      </w:tr>
    </w:tbl>
    <w:p w14:paraId="6A5FAC96" w14:textId="77777777" w:rsidR="008F52C8" w:rsidRPr="0030358C" w:rsidRDefault="00000000" w:rsidP="008F52C8">
      <w:pPr>
        <w:widowControl w:val="0"/>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 xml:space="preserve"> Vysvětlivky:</w:t>
      </w:r>
    </w:p>
    <w:p w14:paraId="736CE588" w14:textId="77777777" w:rsidR="008F52C8" w:rsidRPr="0030358C" w:rsidRDefault="00000000" w:rsidP="000032A3">
      <w:pPr>
        <w:widowControl w:val="0"/>
        <w:tabs>
          <w:tab w:val="left" w:pos="284"/>
        </w:tabs>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1)</w:t>
      </w:r>
      <w:r w:rsidRPr="0030358C">
        <w:rPr>
          <w:rFonts w:ascii="Arial" w:hAnsi="Arial" w:cs="Arial"/>
          <w:b/>
          <w:bCs/>
          <w:sz w:val="22"/>
          <w:szCs w:val="22"/>
          <w:lang w:eastAsia="zh-CN"/>
        </w:rPr>
        <w:tab/>
        <w:t>Platí při</w:t>
      </w:r>
      <w:r w:rsidRPr="0030358C">
        <w:rPr>
          <w:rFonts w:ascii="Arial" w:hAnsi="Arial" w:cs="Arial"/>
          <w:b/>
          <w:bCs/>
          <w:iCs/>
          <w:sz w:val="22"/>
          <w:szCs w:val="22"/>
          <w:lang w:eastAsia="zh-CN"/>
        </w:rPr>
        <w:t xml:space="preserve"> použití kyseliny sírové.</w:t>
      </w:r>
    </w:p>
    <w:p w14:paraId="33AE99F4" w14:textId="77777777" w:rsidR="008F52C8" w:rsidRPr="0030358C" w:rsidRDefault="00000000" w:rsidP="000032A3">
      <w:pPr>
        <w:widowControl w:val="0"/>
        <w:tabs>
          <w:tab w:val="left" w:pos="284"/>
        </w:tabs>
        <w:suppressAutoHyphens/>
        <w:autoSpaceDE w:val="0"/>
        <w:jc w:val="both"/>
        <w:rPr>
          <w:rFonts w:ascii="Arial" w:hAnsi="Arial" w:cs="Arial"/>
          <w:b/>
          <w:bCs/>
          <w:iCs/>
          <w:sz w:val="22"/>
          <w:szCs w:val="22"/>
          <w:lang w:eastAsia="zh-CN"/>
        </w:rPr>
      </w:pPr>
      <w:r w:rsidRPr="0030358C">
        <w:rPr>
          <w:rFonts w:ascii="Arial" w:hAnsi="Arial" w:cs="Arial"/>
          <w:b/>
          <w:bCs/>
          <w:sz w:val="22"/>
          <w:szCs w:val="22"/>
          <w:lang w:eastAsia="zh-CN"/>
        </w:rPr>
        <w:t>2)</w:t>
      </w:r>
      <w:r w:rsidRPr="0030358C">
        <w:rPr>
          <w:rFonts w:ascii="Arial" w:hAnsi="Arial" w:cs="Arial"/>
          <w:b/>
          <w:bCs/>
          <w:sz w:val="22"/>
          <w:szCs w:val="22"/>
          <w:lang w:eastAsia="zh-CN"/>
        </w:rPr>
        <w:tab/>
        <w:t>Platí při</w:t>
      </w:r>
      <w:r w:rsidRPr="0030358C">
        <w:rPr>
          <w:rFonts w:ascii="Arial" w:hAnsi="Arial" w:cs="Arial"/>
          <w:b/>
          <w:bCs/>
          <w:iCs/>
          <w:sz w:val="22"/>
          <w:szCs w:val="22"/>
          <w:lang w:eastAsia="zh-CN"/>
        </w:rPr>
        <w:t xml:space="preserve"> použití kyseliny dusičné. </w:t>
      </w:r>
    </w:p>
    <w:p w14:paraId="4C54EFBF" w14:textId="77777777" w:rsidR="008F52C8" w:rsidRPr="0030358C" w:rsidRDefault="00000000" w:rsidP="000032A3">
      <w:pPr>
        <w:widowControl w:val="0"/>
        <w:tabs>
          <w:tab w:val="left" w:pos="284"/>
        </w:tabs>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3)</w:t>
      </w:r>
      <w:r w:rsidRPr="0030358C">
        <w:rPr>
          <w:rFonts w:ascii="Arial" w:hAnsi="Arial" w:cs="Arial"/>
          <w:b/>
          <w:bCs/>
          <w:sz w:val="22"/>
          <w:szCs w:val="22"/>
          <w:lang w:eastAsia="zh-CN"/>
        </w:rPr>
        <w:tab/>
        <w:t>Platí při</w:t>
      </w:r>
      <w:r w:rsidRPr="0030358C">
        <w:rPr>
          <w:rFonts w:ascii="Arial" w:hAnsi="Arial" w:cs="Arial"/>
          <w:b/>
          <w:bCs/>
          <w:iCs/>
          <w:sz w:val="22"/>
          <w:szCs w:val="22"/>
          <w:lang w:eastAsia="zh-CN"/>
        </w:rPr>
        <w:t xml:space="preserve"> použití HCl</w:t>
      </w:r>
      <w:r w:rsidRPr="0030358C">
        <w:rPr>
          <w:rFonts w:ascii="Arial" w:hAnsi="Arial" w:cs="Arial"/>
          <w:b/>
          <w:bCs/>
          <w:sz w:val="22"/>
          <w:szCs w:val="22"/>
          <w:lang w:eastAsia="zh-CN"/>
        </w:rPr>
        <w:t>.</w:t>
      </w:r>
    </w:p>
    <w:p w14:paraId="717E3E83" w14:textId="77777777" w:rsidR="008F52C8" w:rsidRPr="0030358C" w:rsidRDefault="00000000" w:rsidP="000032A3">
      <w:pPr>
        <w:widowControl w:val="0"/>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4)</w:t>
      </w:r>
      <w:r w:rsidRPr="0030358C">
        <w:rPr>
          <w:rFonts w:ascii="Arial" w:hAnsi="Arial" w:cs="Arial"/>
          <w:b/>
          <w:bCs/>
          <w:sz w:val="22"/>
          <w:szCs w:val="22"/>
          <w:lang w:eastAsia="zh-CN"/>
        </w:rPr>
        <w:tab/>
        <w:t>Platí při použití HF.</w:t>
      </w:r>
    </w:p>
    <w:p w14:paraId="13311669" w14:textId="77777777" w:rsidR="008F52C8" w:rsidRPr="0030358C" w:rsidRDefault="008F52C8" w:rsidP="008F52C8">
      <w:pPr>
        <w:rPr>
          <w:rFonts w:ascii="Arial" w:hAnsi="Arial" w:cs="Arial"/>
          <w:b/>
          <w:bCs/>
          <w:sz w:val="22"/>
          <w:szCs w:val="22"/>
          <w:lang w:eastAsia="zh-CN"/>
        </w:rPr>
      </w:pPr>
    </w:p>
    <w:p w14:paraId="5D35867F" w14:textId="77777777" w:rsidR="001A3D09" w:rsidRPr="0030358C" w:rsidRDefault="001A3D09" w:rsidP="008F52C8">
      <w:pPr>
        <w:rPr>
          <w:rFonts w:ascii="Arial" w:hAnsi="Arial" w:cs="Arial"/>
          <w:b/>
          <w:bCs/>
          <w:sz w:val="22"/>
          <w:szCs w:val="22"/>
          <w:lang w:eastAsia="zh-CN"/>
        </w:rPr>
      </w:pPr>
    </w:p>
    <w:p w14:paraId="6975937F" w14:textId="77777777" w:rsidR="001A3D09" w:rsidRPr="0030358C" w:rsidRDefault="001A3D09" w:rsidP="008F52C8">
      <w:pPr>
        <w:rPr>
          <w:rFonts w:ascii="Arial" w:hAnsi="Arial" w:cs="Arial"/>
          <w:b/>
          <w:bCs/>
          <w:sz w:val="22"/>
          <w:szCs w:val="22"/>
          <w:lang w:eastAsia="zh-CN"/>
        </w:rPr>
      </w:pPr>
    </w:p>
    <w:p w14:paraId="5EA8556A" w14:textId="77777777" w:rsidR="001A3D09" w:rsidRPr="0030358C" w:rsidRDefault="001A3D09" w:rsidP="008F52C8">
      <w:pPr>
        <w:rPr>
          <w:rFonts w:ascii="Arial" w:hAnsi="Arial" w:cs="Arial"/>
          <w:b/>
          <w:bCs/>
          <w:sz w:val="22"/>
          <w:szCs w:val="22"/>
          <w:lang w:eastAsia="zh-CN"/>
        </w:rPr>
      </w:pPr>
    </w:p>
    <w:p w14:paraId="7AE19B05" w14:textId="77777777" w:rsidR="001A3D09" w:rsidRPr="0030358C" w:rsidRDefault="001A3D09" w:rsidP="008F52C8">
      <w:pPr>
        <w:rPr>
          <w:rFonts w:ascii="Arial" w:hAnsi="Arial" w:cs="Arial"/>
          <w:b/>
          <w:bCs/>
          <w:sz w:val="22"/>
          <w:szCs w:val="22"/>
          <w:lang w:eastAsia="zh-CN"/>
        </w:rPr>
      </w:pPr>
    </w:p>
    <w:p w14:paraId="3C051503" w14:textId="77777777" w:rsidR="001A3D09" w:rsidRPr="0030358C" w:rsidRDefault="001A3D09" w:rsidP="008F52C8">
      <w:pPr>
        <w:rPr>
          <w:rFonts w:ascii="Arial" w:hAnsi="Arial" w:cs="Arial"/>
          <w:b/>
          <w:bCs/>
          <w:sz w:val="22"/>
          <w:szCs w:val="22"/>
          <w:lang w:eastAsia="zh-CN"/>
        </w:rPr>
      </w:pPr>
    </w:p>
    <w:p w14:paraId="2A03FA38" w14:textId="77777777" w:rsidR="001A3D09" w:rsidRPr="0030358C" w:rsidRDefault="001A3D09" w:rsidP="008F52C8">
      <w:pPr>
        <w:rPr>
          <w:rFonts w:ascii="Arial" w:hAnsi="Arial" w:cs="Arial"/>
          <w:b/>
          <w:bCs/>
          <w:sz w:val="22"/>
          <w:szCs w:val="22"/>
          <w:lang w:eastAsia="zh-CN"/>
        </w:rPr>
      </w:pPr>
    </w:p>
    <w:p w14:paraId="75A2FFEC" w14:textId="77777777" w:rsidR="001A3D09" w:rsidRPr="0030358C" w:rsidRDefault="001A3D09" w:rsidP="008F52C8">
      <w:pPr>
        <w:rPr>
          <w:rFonts w:ascii="Arial" w:hAnsi="Arial" w:cs="Arial"/>
          <w:b/>
          <w:bCs/>
          <w:sz w:val="22"/>
          <w:szCs w:val="22"/>
          <w:lang w:eastAsia="zh-CN"/>
        </w:rPr>
      </w:pPr>
    </w:p>
    <w:p w14:paraId="0940E8D0" w14:textId="77777777" w:rsidR="001A3D09" w:rsidRPr="0030358C" w:rsidRDefault="001A3D09" w:rsidP="008F52C8">
      <w:pPr>
        <w:rPr>
          <w:rFonts w:ascii="Arial" w:hAnsi="Arial" w:cs="Arial"/>
          <w:b/>
          <w:bCs/>
          <w:sz w:val="22"/>
          <w:szCs w:val="22"/>
          <w:lang w:eastAsia="zh-CN"/>
        </w:rPr>
      </w:pPr>
    </w:p>
    <w:p w14:paraId="1A303294"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lastRenderedPageBreak/>
        <w:t>3.8.3. Broušení kovů nebo plastů s celkovým elektrickým příkonem 100 kW a více (kód 4.13. dle přílohy č. 2 zákona)</w:t>
      </w:r>
    </w:p>
    <w:tbl>
      <w:tblPr>
        <w:tblW w:w="9600" w:type="dxa"/>
        <w:tblInd w:w="-15" w:type="dxa"/>
        <w:tblLayout w:type="fixed"/>
        <w:tblLook w:val="0000" w:firstRow="0" w:lastRow="0" w:firstColumn="0" w:lastColumn="0" w:noHBand="0" w:noVBand="0"/>
      </w:tblPr>
      <w:tblGrid>
        <w:gridCol w:w="5179"/>
        <w:gridCol w:w="4421"/>
      </w:tblGrid>
      <w:tr w:rsidR="00E40657" w14:paraId="18C40E06" w14:textId="77777777" w:rsidTr="00732453">
        <w:trPr>
          <w:cantSplit/>
          <w:trHeight w:val="378"/>
        </w:trPr>
        <w:tc>
          <w:tcPr>
            <w:tcW w:w="5179" w:type="dxa"/>
            <w:tcBorders>
              <w:top w:val="single" w:sz="4" w:space="0" w:color="000000"/>
              <w:left w:val="single" w:sz="4" w:space="0" w:color="000000"/>
              <w:bottom w:val="single" w:sz="4" w:space="0" w:color="000000"/>
            </w:tcBorders>
            <w:shd w:val="clear" w:color="auto" w:fill="auto"/>
            <w:vAlign w:val="center"/>
          </w:tcPr>
          <w:p w14:paraId="4611286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421" w:type="dxa"/>
            <w:vMerge w:val="restart"/>
            <w:tcBorders>
              <w:top w:val="single" w:sz="4" w:space="0" w:color="000000"/>
              <w:left w:val="single" w:sz="4" w:space="0" w:color="000000"/>
              <w:right w:val="single" w:sz="4" w:space="0" w:color="000000"/>
            </w:tcBorders>
            <w:shd w:val="clear" w:color="auto" w:fill="auto"/>
            <w:vAlign w:val="center"/>
          </w:tcPr>
          <w:p w14:paraId="1B4748E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4EC9003" w14:textId="77777777" w:rsidTr="00732453">
        <w:trPr>
          <w:cantSplit/>
          <w:trHeight w:hRule="exact" w:val="432"/>
        </w:trPr>
        <w:tc>
          <w:tcPr>
            <w:tcW w:w="5179" w:type="dxa"/>
            <w:tcBorders>
              <w:top w:val="single" w:sz="4" w:space="0" w:color="000000"/>
              <w:left w:val="single" w:sz="4" w:space="0" w:color="000000"/>
              <w:bottom w:val="single" w:sz="4" w:space="0" w:color="000000"/>
            </w:tcBorders>
            <w:shd w:val="clear" w:color="auto" w:fill="auto"/>
            <w:vAlign w:val="center"/>
          </w:tcPr>
          <w:p w14:paraId="345AC2B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421" w:type="dxa"/>
            <w:vMerge/>
            <w:tcBorders>
              <w:left w:val="single" w:sz="4" w:space="0" w:color="000000"/>
              <w:bottom w:val="single" w:sz="4" w:space="0" w:color="000000"/>
              <w:right w:val="single" w:sz="4" w:space="0" w:color="000000"/>
            </w:tcBorders>
            <w:shd w:val="clear" w:color="auto" w:fill="auto"/>
            <w:vAlign w:val="center"/>
          </w:tcPr>
          <w:p w14:paraId="18EBB0DB" w14:textId="77777777" w:rsidR="008F52C8" w:rsidRPr="0030358C" w:rsidRDefault="008F52C8" w:rsidP="00732453">
            <w:pPr>
              <w:snapToGrid w:val="0"/>
              <w:jc w:val="center"/>
              <w:rPr>
                <w:rFonts w:ascii="Arial" w:hAnsi="Arial" w:cs="Arial"/>
                <w:b/>
                <w:bCs/>
                <w:sz w:val="22"/>
                <w:szCs w:val="22"/>
                <w:lang w:eastAsia="zh-CN"/>
              </w:rPr>
            </w:pPr>
          </w:p>
        </w:tc>
      </w:tr>
      <w:tr w:rsidR="00E40657" w14:paraId="384556E2" w14:textId="77777777" w:rsidTr="001A3D09">
        <w:trPr>
          <w:trHeight w:hRule="exact" w:val="944"/>
        </w:trPr>
        <w:tc>
          <w:tcPr>
            <w:tcW w:w="5179" w:type="dxa"/>
            <w:tcBorders>
              <w:left w:val="single" w:sz="4" w:space="0" w:color="000000"/>
              <w:bottom w:val="single" w:sz="4" w:space="0" w:color="000000"/>
            </w:tcBorders>
            <w:shd w:val="clear" w:color="auto" w:fill="auto"/>
            <w:vAlign w:val="center"/>
          </w:tcPr>
          <w:p w14:paraId="225D7D63"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1)</w:t>
            </w:r>
            <w:r w:rsidR="001A3D09" w:rsidRPr="0030358C">
              <w:rPr>
                <w:rFonts w:ascii="Arial" w:hAnsi="Arial" w:cs="Arial"/>
                <w:b/>
                <w:bCs/>
                <w:sz w:val="22"/>
                <w:szCs w:val="22"/>
                <w:vertAlign w:val="superscript"/>
                <w:lang w:eastAsia="zh-CN"/>
              </w:rPr>
              <w:t>, 2)</w:t>
            </w:r>
          </w:p>
          <w:p w14:paraId="779FFE93" w14:textId="77777777" w:rsidR="001A3D09"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1), 3)</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655C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572300A7" w14:textId="77777777" w:rsidR="001A3D09" w:rsidRPr="0030358C" w:rsidRDefault="001A3D09" w:rsidP="008F52C8">
      <w:pPr>
        <w:rPr>
          <w:rFonts w:ascii="Arial" w:hAnsi="Arial" w:cs="Arial"/>
          <w:b/>
          <w:bCs/>
          <w:sz w:val="22"/>
          <w:szCs w:val="22"/>
          <w:lang w:eastAsia="zh-CN"/>
        </w:rPr>
      </w:pPr>
    </w:p>
    <w:p w14:paraId="74DCFDBA" w14:textId="77777777" w:rsidR="001A3D09" w:rsidRPr="0030358C" w:rsidRDefault="00000000" w:rsidP="008F52C8">
      <w:pPr>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 xml:space="preserve">: </w:t>
      </w:r>
    </w:p>
    <w:p w14:paraId="5CFEBA76"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1) Platí pouze pro broušení za sucha.</w:t>
      </w:r>
    </w:p>
    <w:p w14:paraId="33441E4E" w14:textId="77777777" w:rsidR="001A3D09" w:rsidRPr="0030358C" w:rsidRDefault="00000000" w:rsidP="001A3D09">
      <w:pPr>
        <w:rPr>
          <w:rFonts w:ascii="Arial" w:hAnsi="Arial" w:cs="Arial"/>
          <w:b/>
          <w:bCs/>
          <w:sz w:val="22"/>
          <w:szCs w:val="22"/>
          <w:lang w:eastAsia="zh-CN"/>
        </w:rPr>
      </w:pPr>
      <w:r w:rsidRPr="0030358C">
        <w:rPr>
          <w:rFonts w:ascii="Arial" w:hAnsi="Arial" w:cs="Arial"/>
          <w:b/>
          <w:bCs/>
          <w:sz w:val="22"/>
          <w:szCs w:val="22"/>
          <w:lang w:eastAsia="zh-CN"/>
        </w:rPr>
        <w:t>2) Platí do 31. 12. 2026.</w:t>
      </w:r>
    </w:p>
    <w:p w14:paraId="574B5D38" w14:textId="77777777" w:rsidR="001A3D09" w:rsidRPr="0030358C" w:rsidRDefault="00000000" w:rsidP="001A3D09">
      <w:pPr>
        <w:rPr>
          <w:rFonts w:ascii="Arial" w:hAnsi="Arial" w:cs="Arial"/>
          <w:b/>
          <w:bCs/>
          <w:sz w:val="22"/>
          <w:szCs w:val="22"/>
          <w:lang w:eastAsia="zh-CN"/>
        </w:rPr>
      </w:pPr>
      <w:r w:rsidRPr="0030358C">
        <w:rPr>
          <w:rFonts w:ascii="Arial" w:hAnsi="Arial" w:cs="Arial"/>
          <w:b/>
          <w:bCs/>
          <w:sz w:val="22"/>
          <w:szCs w:val="22"/>
          <w:lang w:eastAsia="zh-CN"/>
        </w:rPr>
        <w:t>3) Platí od 1. 1. 2027.</w:t>
      </w:r>
    </w:p>
    <w:p w14:paraId="014400BE" w14:textId="77777777" w:rsidR="008F52C8" w:rsidRPr="0030358C" w:rsidRDefault="008F52C8" w:rsidP="008F52C8">
      <w:pPr>
        <w:ind w:left="1077" w:hanging="1077"/>
        <w:rPr>
          <w:rFonts w:ascii="Arial" w:hAnsi="Arial" w:cs="Arial"/>
          <w:b/>
          <w:bCs/>
          <w:sz w:val="22"/>
          <w:szCs w:val="22"/>
          <w:lang w:eastAsia="zh-CN"/>
        </w:rPr>
      </w:pPr>
    </w:p>
    <w:p w14:paraId="28DD32DF" w14:textId="77777777" w:rsidR="008F52C8" w:rsidRPr="0030358C" w:rsidRDefault="00000000" w:rsidP="008F52C8">
      <w:pPr>
        <w:rPr>
          <w:rFonts w:ascii="Arial" w:hAnsi="Arial" w:cs="Arial"/>
          <w:b/>
          <w:bCs/>
          <w:i/>
          <w:sz w:val="22"/>
          <w:szCs w:val="22"/>
          <w:lang w:eastAsia="zh-CN"/>
        </w:rPr>
      </w:pPr>
      <w:r w:rsidRPr="0030358C">
        <w:rPr>
          <w:rFonts w:ascii="Arial" w:hAnsi="Arial" w:cs="Arial"/>
          <w:b/>
          <w:bCs/>
          <w:sz w:val="22"/>
          <w:szCs w:val="22"/>
          <w:lang w:eastAsia="zh-CN"/>
        </w:rPr>
        <w:t>3.8.4. Svařování kovových materiálů s celkovým elektrickým příkonem 1000 kW a více (kód 4.14. dle přílohy č. 2 zákona)</w:t>
      </w:r>
      <w:r w:rsidRPr="0030358C">
        <w:rPr>
          <w:rFonts w:ascii="Arial" w:hAnsi="Arial" w:cs="Arial"/>
          <w:b/>
          <w:bCs/>
          <w:i/>
          <w:sz w:val="22"/>
          <w:szCs w:val="22"/>
          <w:lang w:eastAsia="zh-C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9"/>
        <w:gridCol w:w="4421"/>
      </w:tblGrid>
      <w:tr w:rsidR="00E40657" w14:paraId="34D2F773" w14:textId="77777777" w:rsidTr="00732453">
        <w:trPr>
          <w:cantSplit/>
          <w:trHeight w:val="414"/>
        </w:trPr>
        <w:tc>
          <w:tcPr>
            <w:tcW w:w="5179" w:type="dxa"/>
            <w:shd w:val="clear" w:color="auto" w:fill="auto"/>
            <w:vAlign w:val="center"/>
          </w:tcPr>
          <w:p w14:paraId="48F5512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421" w:type="dxa"/>
            <w:vMerge w:val="restart"/>
            <w:shd w:val="clear" w:color="auto" w:fill="auto"/>
            <w:vAlign w:val="center"/>
          </w:tcPr>
          <w:p w14:paraId="0638319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11C328EB" w14:textId="77777777" w:rsidTr="00732453">
        <w:trPr>
          <w:cantSplit/>
          <w:trHeight w:hRule="exact" w:val="440"/>
        </w:trPr>
        <w:tc>
          <w:tcPr>
            <w:tcW w:w="5179" w:type="dxa"/>
            <w:shd w:val="clear" w:color="auto" w:fill="auto"/>
            <w:vAlign w:val="center"/>
          </w:tcPr>
          <w:p w14:paraId="1C6BB3D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421" w:type="dxa"/>
            <w:vMerge/>
            <w:shd w:val="clear" w:color="auto" w:fill="auto"/>
            <w:vAlign w:val="center"/>
          </w:tcPr>
          <w:p w14:paraId="6ADF40BB" w14:textId="77777777" w:rsidR="008F52C8" w:rsidRPr="0030358C" w:rsidRDefault="008F52C8" w:rsidP="00732453">
            <w:pPr>
              <w:snapToGrid w:val="0"/>
              <w:jc w:val="center"/>
              <w:rPr>
                <w:rFonts w:ascii="Arial" w:hAnsi="Arial" w:cs="Arial"/>
                <w:b/>
                <w:bCs/>
                <w:sz w:val="22"/>
                <w:szCs w:val="22"/>
                <w:lang w:eastAsia="zh-CN"/>
              </w:rPr>
            </w:pPr>
          </w:p>
        </w:tc>
      </w:tr>
      <w:tr w:rsidR="00E40657" w14:paraId="18A62D19" w14:textId="77777777" w:rsidTr="00732453">
        <w:trPr>
          <w:trHeight w:hRule="exact" w:val="340"/>
        </w:trPr>
        <w:tc>
          <w:tcPr>
            <w:tcW w:w="5179" w:type="dxa"/>
            <w:shd w:val="clear" w:color="auto" w:fill="auto"/>
            <w:vAlign w:val="center"/>
          </w:tcPr>
          <w:p w14:paraId="070570E7"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1)</w:t>
            </w:r>
          </w:p>
        </w:tc>
        <w:tc>
          <w:tcPr>
            <w:tcW w:w="4421" w:type="dxa"/>
            <w:shd w:val="clear" w:color="auto" w:fill="auto"/>
            <w:vAlign w:val="center"/>
          </w:tcPr>
          <w:p w14:paraId="76C903D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3A1CDCA4" w14:textId="77777777" w:rsidR="0058795B" w:rsidRPr="0030358C" w:rsidRDefault="00000000" w:rsidP="008F52C8">
      <w:pPr>
        <w:widowControl w:val="0"/>
        <w:autoSpaceDE w:val="0"/>
        <w:jc w:val="both"/>
        <w:rPr>
          <w:rFonts w:ascii="Arial" w:hAnsi="Arial" w:cs="Arial"/>
          <w:b/>
          <w:bCs/>
          <w:iCs/>
          <w:sz w:val="22"/>
          <w:szCs w:val="22"/>
          <w:lang w:eastAsia="zh-CN"/>
        </w:rPr>
      </w:pPr>
      <w:r w:rsidRPr="0030358C">
        <w:rPr>
          <w:rFonts w:ascii="Arial" w:hAnsi="Arial" w:cs="Arial"/>
          <w:b/>
          <w:bCs/>
          <w:sz w:val="22"/>
          <w:szCs w:val="22"/>
          <w:lang w:eastAsia="zh-CN"/>
        </w:rPr>
        <w:t>Vysvětlivka</w:t>
      </w:r>
      <w:r w:rsidRPr="0030358C">
        <w:rPr>
          <w:rFonts w:ascii="Arial" w:hAnsi="Arial" w:cs="Arial"/>
          <w:b/>
          <w:bCs/>
          <w:iCs/>
          <w:sz w:val="22"/>
          <w:szCs w:val="22"/>
          <w:lang w:eastAsia="zh-CN"/>
        </w:rPr>
        <w:t xml:space="preserve">: </w:t>
      </w:r>
    </w:p>
    <w:p w14:paraId="00496124"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1) Neplatí pro odporové sváření.</w:t>
      </w:r>
    </w:p>
    <w:p w14:paraId="1A20423A" w14:textId="77777777" w:rsidR="008F52C8" w:rsidRPr="0030358C" w:rsidRDefault="008F52C8" w:rsidP="008F52C8">
      <w:pPr>
        <w:rPr>
          <w:rFonts w:ascii="Arial" w:hAnsi="Arial" w:cs="Arial"/>
          <w:b/>
          <w:bCs/>
          <w:sz w:val="22"/>
          <w:szCs w:val="22"/>
          <w:lang w:eastAsia="zh-CN"/>
        </w:rPr>
      </w:pPr>
    </w:p>
    <w:p w14:paraId="62995BA0" w14:textId="77777777" w:rsidR="008F52C8" w:rsidRPr="0030358C" w:rsidRDefault="008F52C8" w:rsidP="008F52C8">
      <w:pPr>
        <w:widowControl w:val="0"/>
        <w:autoSpaceDE w:val="0"/>
        <w:jc w:val="both"/>
        <w:rPr>
          <w:rFonts w:ascii="Arial" w:hAnsi="Arial" w:cs="Arial"/>
          <w:b/>
          <w:bCs/>
          <w:sz w:val="22"/>
          <w:szCs w:val="22"/>
          <w:lang w:eastAsia="zh-CN"/>
        </w:rPr>
      </w:pPr>
    </w:p>
    <w:p w14:paraId="305CE5F2"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3.8.5. Nanášení ochranných povlaků z roztavených kovů s celkovou projektovanou kapacitou do 1 t pokovené oceli za hodinu včetně (kód 4.15. dle přílohy č. 2 zákona)</w:t>
      </w:r>
    </w:p>
    <w:p w14:paraId="76EE3247" w14:textId="77777777" w:rsidR="008F52C8" w:rsidRPr="0030358C" w:rsidRDefault="008F52C8" w:rsidP="008F52C8">
      <w:pPr>
        <w:keepNext/>
        <w:keepLines/>
        <w:rPr>
          <w:rFonts w:ascii="Arial" w:hAnsi="Arial" w:cs="Arial"/>
          <w:b/>
          <w:bCs/>
          <w:sz w:val="22"/>
          <w:szCs w:val="22"/>
          <w:lang w:eastAsia="zh-CN"/>
        </w:rPr>
      </w:pPr>
    </w:p>
    <w:p w14:paraId="2B0BC4EE"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 xml:space="preserve">Uvedené emisní limity platí pro pece s přímým procesním ohřevem nebo při použití speciální ochranné atmosféry. </w:t>
      </w:r>
    </w:p>
    <w:p w14:paraId="7D8EB11A" w14:textId="77777777" w:rsidR="008F52C8" w:rsidRPr="0030358C" w:rsidRDefault="008F52C8" w:rsidP="008F52C8">
      <w:pPr>
        <w:widowControl w:val="0"/>
        <w:autoSpaceDE w:val="0"/>
        <w:jc w:val="both"/>
        <w:rPr>
          <w:rFonts w:ascii="Arial" w:hAnsi="Arial" w:cs="Arial"/>
          <w:b/>
          <w:bCs/>
          <w:sz w:val="22"/>
          <w:szCs w:val="22"/>
          <w:lang w:eastAsia="zh-CN"/>
        </w:rPr>
      </w:pPr>
    </w:p>
    <w:p w14:paraId="662D400F"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Technologický ohřev procesních van</w:t>
      </w:r>
    </w:p>
    <w:tbl>
      <w:tblPr>
        <w:tblW w:w="0" w:type="auto"/>
        <w:tblInd w:w="-6" w:type="dxa"/>
        <w:tblLayout w:type="fixed"/>
        <w:tblCellMar>
          <w:left w:w="10" w:type="dxa"/>
          <w:right w:w="10" w:type="dxa"/>
        </w:tblCellMar>
        <w:tblLook w:val="0000" w:firstRow="0" w:lastRow="0" w:firstColumn="0" w:lastColumn="0" w:noHBand="0" w:noVBand="0"/>
      </w:tblPr>
      <w:tblGrid>
        <w:gridCol w:w="2754"/>
        <w:gridCol w:w="2754"/>
        <w:gridCol w:w="3896"/>
      </w:tblGrid>
      <w:tr w:rsidR="00E40657" w14:paraId="565BD111" w14:textId="77777777" w:rsidTr="00732453">
        <w:trPr>
          <w:cantSplit/>
          <w:trHeight w:hRule="exact" w:val="341"/>
        </w:trPr>
        <w:tc>
          <w:tcPr>
            <w:tcW w:w="5508" w:type="dxa"/>
            <w:gridSpan w:val="2"/>
            <w:tcBorders>
              <w:top w:val="single" w:sz="2" w:space="0" w:color="000000"/>
              <w:left w:val="single" w:sz="2" w:space="0" w:color="000000"/>
              <w:bottom w:val="single" w:sz="2" w:space="0" w:color="000000"/>
            </w:tcBorders>
            <w:shd w:val="clear" w:color="auto" w:fill="auto"/>
            <w:vAlign w:val="center"/>
          </w:tcPr>
          <w:p w14:paraId="70FF64F9"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896" w:type="dxa"/>
            <w:vMerge w:val="restart"/>
            <w:tcBorders>
              <w:top w:val="single" w:sz="2" w:space="0" w:color="000000"/>
              <w:left w:val="single" w:sz="2" w:space="0" w:color="000000"/>
              <w:right w:val="single" w:sz="4" w:space="0" w:color="000000"/>
            </w:tcBorders>
            <w:shd w:val="clear" w:color="auto" w:fill="auto"/>
            <w:vAlign w:val="center"/>
          </w:tcPr>
          <w:p w14:paraId="10D1A962"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16A7A74F" w14:textId="77777777" w:rsidTr="00732453">
        <w:trPr>
          <w:cantSplit/>
          <w:trHeight w:hRule="exact" w:val="340"/>
        </w:trPr>
        <w:tc>
          <w:tcPr>
            <w:tcW w:w="2754" w:type="dxa"/>
            <w:tcBorders>
              <w:top w:val="single" w:sz="2" w:space="0" w:color="000000"/>
              <w:left w:val="single" w:sz="2" w:space="0" w:color="000000"/>
              <w:bottom w:val="single" w:sz="2" w:space="0" w:color="000000"/>
            </w:tcBorders>
            <w:shd w:val="clear" w:color="auto" w:fill="auto"/>
            <w:vAlign w:val="center"/>
          </w:tcPr>
          <w:p w14:paraId="1B70696C"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754" w:type="dxa"/>
            <w:tcBorders>
              <w:top w:val="single" w:sz="2" w:space="0" w:color="000000"/>
              <w:left w:val="single" w:sz="2" w:space="0" w:color="000000"/>
              <w:bottom w:val="single" w:sz="2" w:space="0" w:color="000000"/>
            </w:tcBorders>
            <w:shd w:val="clear" w:color="auto" w:fill="auto"/>
            <w:vAlign w:val="center"/>
          </w:tcPr>
          <w:p w14:paraId="42890B75"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2</w:t>
            </w:r>
          </w:p>
        </w:tc>
        <w:tc>
          <w:tcPr>
            <w:tcW w:w="3896" w:type="dxa"/>
            <w:vMerge/>
            <w:tcBorders>
              <w:left w:val="single" w:sz="2" w:space="0" w:color="000000"/>
              <w:bottom w:val="single" w:sz="2" w:space="0" w:color="000000"/>
              <w:right w:val="single" w:sz="4" w:space="0" w:color="000000"/>
            </w:tcBorders>
            <w:shd w:val="clear" w:color="auto" w:fill="auto"/>
          </w:tcPr>
          <w:p w14:paraId="1E895C53"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151430BF" w14:textId="77777777" w:rsidTr="00732453">
        <w:trPr>
          <w:trHeight w:hRule="exact" w:val="370"/>
        </w:trPr>
        <w:tc>
          <w:tcPr>
            <w:tcW w:w="2754" w:type="dxa"/>
            <w:tcBorders>
              <w:top w:val="single" w:sz="2" w:space="0" w:color="000000"/>
              <w:left w:val="single" w:sz="2" w:space="0" w:color="000000"/>
              <w:bottom w:val="single" w:sz="2" w:space="0" w:color="000000"/>
            </w:tcBorders>
            <w:shd w:val="clear" w:color="auto" w:fill="auto"/>
            <w:vAlign w:val="center"/>
          </w:tcPr>
          <w:p w14:paraId="38CA3C4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2754" w:type="dxa"/>
            <w:tcBorders>
              <w:top w:val="single" w:sz="2" w:space="0" w:color="000000"/>
              <w:left w:val="single" w:sz="2" w:space="0" w:color="000000"/>
              <w:bottom w:val="single" w:sz="2" w:space="0" w:color="000000"/>
            </w:tcBorders>
            <w:shd w:val="clear" w:color="auto" w:fill="auto"/>
            <w:vAlign w:val="center"/>
          </w:tcPr>
          <w:p w14:paraId="4177E4BC"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38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8ED1D2"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429EBF7E" w14:textId="77777777" w:rsidR="008F52C8" w:rsidRPr="0030358C" w:rsidRDefault="008F52C8" w:rsidP="008F52C8">
      <w:pPr>
        <w:widowControl w:val="0"/>
        <w:tabs>
          <w:tab w:val="left" w:leader="underscore" w:pos="3960"/>
        </w:tabs>
        <w:autoSpaceDE w:val="0"/>
        <w:jc w:val="both"/>
        <w:rPr>
          <w:rFonts w:ascii="Arial" w:hAnsi="Arial" w:cs="Arial"/>
          <w:b/>
          <w:bCs/>
          <w:sz w:val="22"/>
          <w:szCs w:val="22"/>
          <w:lang w:eastAsia="zh-CN"/>
        </w:rPr>
      </w:pPr>
    </w:p>
    <w:p w14:paraId="5F250FC6" w14:textId="77777777" w:rsidR="008F52C8" w:rsidRPr="0030358C" w:rsidRDefault="008F52C8" w:rsidP="008F52C8">
      <w:pPr>
        <w:widowControl w:val="0"/>
        <w:autoSpaceDE w:val="0"/>
        <w:jc w:val="both"/>
        <w:rPr>
          <w:rFonts w:ascii="Arial" w:hAnsi="Arial" w:cs="Arial"/>
          <w:b/>
          <w:bCs/>
          <w:sz w:val="22"/>
          <w:szCs w:val="22"/>
          <w:lang w:eastAsia="zh-CN"/>
        </w:rPr>
      </w:pPr>
    </w:p>
    <w:p w14:paraId="2BDB1851"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3.8.6. Nanášení ochranných povlaků z roztavených kovů – procesní vany s celkovou projektovanou kapacitou větší než 1 t pokovené oceli za hodinu (kód 4.16. dle přílohy č. 2 zákona)</w:t>
      </w:r>
    </w:p>
    <w:p w14:paraId="0F4098CC" w14:textId="77777777" w:rsidR="008F52C8" w:rsidRPr="0030358C" w:rsidRDefault="008F52C8" w:rsidP="008F52C8">
      <w:pPr>
        <w:widowControl w:val="0"/>
        <w:autoSpaceDE w:val="0"/>
        <w:jc w:val="both"/>
        <w:rPr>
          <w:rFonts w:ascii="Arial" w:hAnsi="Arial" w:cs="Arial"/>
          <w:b/>
          <w:bCs/>
          <w:sz w:val="22"/>
          <w:szCs w:val="22"/>
          <w:lang w:eastAsia="zh-CN"/>
        </w:rPr>
      </w:pPr>
    </w:p>
    <w:p w14:paraId="3C327485"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 xml:space="preserve">Uvedené emisní limity platí pro pece s přímým procesním ohřevem nebo při použití speciální ochranné atmosféry. </w:t>
      </w:r>
    </w:p>
    <w:p w14:paraId="76ACE4CF" w14:textId="77777777" w:rsidR="008F52C8" w:rsidRPr="0030358C" w:rsidRDefault="008F52C8" w:rsidP="008F52C8">
      <w:pPr>
        <w:widowControl w:val="0"/>
        <w:tabs>
          <w:tab w:val="left" w:leader="underscore" w:pos="3960"/>
        </w:tabs>
        <w:autoSpaceDE w:val="0"/>
        <w:jc w:val="both"/>
        <w:rPr>
          <w:rFonts w:ascii="Arial" w:hAnsi="Arial" w:cs="Arial"/>
          <w:b/>
          <w:bCs/>
          <w:sz w:val="22"/>
          <w:szCs w:val="22"/>
          <w:lang w:eastAsia="zh-CN"/>
        </w:rPr>
      </w:pPr>
    </w:p>
    <w:p w14:paraId="61D2D8E0"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Technologický ohřev procesních van</w:t>
      </w:r>
    </w:p>
    <w:tbl>
      <w:tblPr>
        <w:tblW w:w="0" w:type="auto"/>
        <w:tblInd w:w="-6" w:type="dxa"/>
        <w:tblLayout w:type="fixed"/>
        <w:tblCellMar>
          <w:left w:w="10" w:type="dxa"/>
          <w:right w:w="10" w:type="dxa"/>
        </w:tblCellMar>
        <w:tblLook w:val="0000" w:firstRow="0" w:lastRow="0" w:firstColumn="0" w:lastColumn="0" w:noHBand="0" w:noVBand="0"/>
      </w:tblPr>
      <w:tblGrid>
        <w:gridCol w:w="3027"/>
        <w:gridCol w:w="3030"/>
        <w:gridCol w:w="3347"/>
      </w:tblGrid>
      <w:tr w:rsidR="00E40657" w14:paraId="65F2C157" w14:textId="77777777" w:rsidTr="00732453">
        <w:trPr>
          <w:cantSplit/>
          <w:trHeight w:hRule="exact" w:val="341"/>
        </w:trPr>
        <w:tc>
          <w:tcPr>
            <w:tcW w:w="6057" w:type="dxa"/>
            <w:gridSpan w:val="2"/>
            <w:tcBorders>
              <w:top w:val="single" w:sz="2" w:space="0" w:color="000000"/>
              <w:left w:val="single" w:sz="2" w:space="0" w:color="000000"/>
              <w:bottom w:val="single" w:sz="2" w:space="0" w:color="000000"/>
            </w:tcBorders>
            <w:shd w:val="clear" w:color="auto" w:fill="auto"/>
            <w:vAlign w:val="center"/>
          </w:tcPr>
          <w:p w14:paraId="70D6F6F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347" w:type="dxa"/>
            <w:vMerge w:val="restart"/>
            <w:tcBorders>
              <w:top w:val="single" w:sz="2" w:space="0" w:color="000000"/>
              <w:left w:val="single" w:sz="2" w:space="0" w:color="000000"/>
              <w:right w:val="single" w:sz="4" w:space="0" w:color="000000"/>
            </w:tcBorders>
            <w:shd w:val="clear" w:color="auto" w:fill="auto"/>
            <w:vAlign w:val="center"/>
          </w:tcPr>
          <w:p w14:paraId="01CE648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6217BC90" w14:textId="77777777" w:rsidTr="00732453">
        <w:trPr>
          <w:cantSplit/>
          <w:trHeight w:hRule="exact" w:val="340"/>
        </w:trPr>
        <w:tc>
          <w:tcPr>
            <w:tcW w:w="3027" w:type="dxa"/>
            <w:tcBorders>
              <w:top w:val="single" w:sz="2" w:space="0" w:color="000000"/>
              <w:left w:val="single" w:sz="2" w:space="0" w:color="000000"/>
              <w:bottom w:val="single" w:sz="2" w:space="0" w:color="000000"/>
            </w:tcBorders>
            <w:shd w:val="clear" w:color="auto" w:fill="auto"/>
            <w:vAlign w:val="center"/>
          </w:tcPr>
          <w:p w14:paraId="2CF018F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3030" w:type="dxa"/>
            <w:tcBorders>
              <w:top w:val="single" w:sz="2" w:space="0" w:color="000000"/>
              <w:left w:val="single" w:sz="2" w:space="0" w:color="000000"/>
              <w:bottom w:val="single" w:sz="2" w:space="0" w:color="000000"/>
            </w:tcBorders>
            <w:shd w:val="clear" w:color="auto" w:fill="auto"/>
            <w:vAlign w:val="center"/>
          </w:tcPr>
          <w:p w14:paraId="11F9F3CD"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2</w:t>
            </w:r>
          </w:p>
        </w:tc>
        <w:tc>
          <w:tcPr>
            <w:tcW w:w="3347" w:type="dxa"/>
            <w:vMerge/>
            <w:tcBorders>
              <w:left w:val="single" w:sz="2" w:space="0" w:color="000000"/>
              <w:bottom w:val="single" w:sz="2" w:space="0" w:color="000000"/>
              <w:right w:val="single" w:sz="4" w:space="0" w:color="000000"/>
            </w:tcBorders>
            <w:shd w:val="clear" w:color="auto" w:fill="auto"/>
          </w:tcPr>
          <w:p w14:paraId="3D0ACAED"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0FABB609" w14:textId="77777777" w:rsidTr="00732453">
        <w:trPr>
          <w:trHeight w:hRule="exact" w:val="537"/>
        </w:trPr>
        <w:tc>
          <w:tcPr>
            <w:tcW w:w="3027" w:type="dxa"/>
            <w:tcBorders>
              <w:top w:val="single" w:sz="2" w:space="0" w:color="000000"/>
              <w:left w:val="single" w:sz="2" w:space="0" w:color="000000"/>
              <w:bottom w:val="single" w:sz="2" w:space="0" w:color="000000"/>
            </w:tcBorders>
            <w:shd w:val="clear" w:color="auto" w:fill="auto"/>
            <w:vAlign w:val="center"/>
          </w:tcPr>
          <w:p w14:paraId="43A9D1AE"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3030" w:type="dxa"/>
            <w:tcBorders>
              <w:top w:val="single" w:sz="2" w:space="0" w:color="000000"/>
              <w:left w:val="single" w:sz="2" w:space="0" w:color="000000"/>
              <w:bottom w:val="single" w:sz="2" w:space="0" w:color="000000"/>
            </w:tcBorders>
            <w:shd w:val="clear" w:color="auto" w:fill="auto"/>
            <w:vAlign w:val="center"/>
          </w:tcPr>
          <w:p w14:paraId="64DDD33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FD622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49732367" w14:textId="77777777" w:rsidR="008F52C8" w:rsidRPr="0030358C" w:rsidRDefault="008F52C8" w:rsidP="008F52C8">
      <w:pPr>
        <w:widowControl w:val="0"/>
        <w:tabs>
          <w:tab w:val="left" w:leader="underscore" w:pos="3960"/>
        </w:tabs>
        <w:autoSpaceDE w:val="0"/>
        <w:jc w:val="both"/>
        <w:rPr>
          <w:rFonts w:ascii="Arial" w:hAnsi="Arial" w:cs="Arial"/>
          <w:b/>
          <w:bCs/>
          <w:sz w:val="22"/>
          <w:szCs w:val="22"/>
          <w:lang w:eastAsia="zh-CN"/>
        </w:rPr>
      </w:pPr>
    </w:p>
    <w:p w14:paraId="6121FFBB" w14:textId="77777777" w:rsidR="008F52C8" w:rsidRPr="0030358C" w:rsidRDefault="008F52C8" w:rsidP="008F52C8">
      <w:pPr>
        <w:widowControl w:val="0"/>
        <w:tabs>
          <w:tab w:val="left" w:leader="underscore" w:pos="3960"/>
        </w:tabs>
        <w:autoSpaceDE w:val="0"/>
        <w:jc w:val="both"/>
        <w:rPr>
          <w:rFonts w:ascii="Arial" w:hAnsi="Arial" w:cs="Arial"/>
          <w:b/>
          <w:bCs/>
          <w:sz w:val="22"/>
          <w:szCs w:val="22"/>
          <w:lang w:eastAsia="zh-CN"/>
        </w:rPr>
      </w:pPr>
    </w:p>
    <w:p w14:paraId="705C968D" w14:textId="77777777" w:rsidR="008F52C8" w:rsidRPr="0030358C" w:rsidRDefault="00000000" w:rsidP="008F52C8">
      <w:pPr>
        <w:widowControl w:val="0"/>
        <w:tabs>
          <w:tab w:val="left" w:leader="underscore" w:pos="3960"/>
        </w:tabs>
        <w:autoSpaceDE w:val="0"/>
        <w:jc w:val="both"/>
        <w:rPr>
          <w:rFonts w:ascii="Arial" w:hAnsi="Arial" w:cs="Arial"/>
          <w:b/>
          <w:bCs/>
          <w:sz w:val="22"/>
          <w:szCs w:val="22"/>
          <w:lang w:eastAsia="zh-CN"/>
        </w:rPr>
      </w:pPr>
      <w:r w:rsidRPr="0030358C">
        <w:rPr>
          <w:rFonts w:ascii="Arial" w:hAnsi="Arial" w:cs="Arial"/>
          <w:b/>
          <w:bCs/>
          <w:sz w:val="22"/>
          <w:szCs w:val="22"/>
          <w:lang w:eastAsia="zh-CN"/>
        </w:rPr>
        <w:t>3.8.7. Žárové pokovování zinkem (kód 4.17. dle přílohy č. 2 zákona)</w:t>
      </w:r>
    </w:p>
    <w:tbl>
      <w:tblPr>
        <w:tblW w:w="9404" w:type="dxa"/>
        <w:tblInd w:w="-6" w:type="dxa"/>
        <w:tblLayout w:type="fixed"/>
        <w:tblCellMar>
          <w:left w:w="10" w:type="dxa"/>
          <w:right w:w="10" w:type="dxa"/>
        </w:tblCellMar>
        <w:tblLook w:val="0000" w:firstRow="0" w:lastRow="0" w:firstColumn="0" w:lastColumn="0" w:noHBand="0" w:noVBand="0"/>
      </w:tblPr>
      <w:tblGrid>
        <w:gridCol w:w="2993"/>
        <w:gridCol w:w="2977"/>
        <w:gridCol w:w="3434"/>
      </w:tblGrid>
      <w:tr w:rsidR="00E40657" w14:paraId="4610EEBD" w14:textId="77777777" w:rsidTr="00732453">
        <w:trPr>
          <w:cantSplit/>
          <w:trHeight w:hRule="exact" w:val="341"/>
        </w:trPr>
        <w:tc>
          <w:tcPr>
            <w:tcW w:w="5970" w:type="dxa"/>
            <w:gridSpan w:val="2"/>
            <w:tcBorders>
              <w:top w:val="single" w:sz="2" w:space="0" w:color="000000"/>
              <w:left w:val="single" w:sz="2" w:space="0" w:color="000000"/>
              <w:bottom w:val="single" w:sz="2" w:space="0" w:color="000000"/>
            </w:tcBorders>
            <w:shd w:val="clear" w:color="auto" w:fill="auto"/>
            <w:vAlign w:val="center"/>
          </w:tcPr>
          <w:p w14:paraId="2B08957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434" w:type="dxa"/>
            <w:vMerge w:val="restart"/>
            <w:tcBorders>
              <w:top w:val="single" w:sz="2" w:space="0" w:color="000000"/>
              <w:left w:val="single" w:sz="2" w:space="0" w:color="000000"/>
              <w:right w:val="single" w:sz="4" w:space="0" w:color="000000"/>
            </w:tcBorders>
            <w:shd w:val="clear" w:color="auto" w:fill="auto"/>
            <w:vAlign w:val="center"/>
          </w:tcPr>
          <w:p w14:paraId="035A9BA0"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FD8DB29" w14:textId="77777777" w:rsidTr="00732453">
        <w:trPr>
          <w:cantSplit/>
          <w:trHeight w:hRule="exact" w:val="340"/>
        </w:trPr>
        <w:tc>
          <w:tcPr>
            <w:tcW w:w="2993" w:type="dxa"/>
            <w:tcBorders>
              <w:top w:val="single" w:sz="2" w:space="0" w:color="000000"/>
              <w:left w:val="single" w:sz="2" w:space="0" w:color="000000"/>
              <w:bottom w:val="single" w:sz="2" w:space="0" w:color="000000"/>
            </w:tcBorders>
            <w:shd w:val="clear" w:color="auto" w:fill="auto"/>
            <w:vAlign w:val="center"/>
          </w:tcPr>
          <w:p w14:paraId="12A3A98C"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977" w:type="dxa"/>
            <w:tcBorders>
              <w:top w:val="single" w:sz="2" w:space="0" w:color="000000"/>
              <w:left w:val="single" w:sz="2" w:space="0" w:color="000000"/>
              <w:bottom w:val="single" w:sz="2" w:space="0" w:color="000000"/>
            </w:tcBorders>
            <w:shd w:val="clear" w:color="auto" w:fill="auto"/>
            <w:vAlign w:val="center"/>
          </w:tcPr>
          <w:p w14:paraId="2BAC0E0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zinek</w:t>
            </w:r>
          </w:p>
        </w:tc>
        <w:tc>
          <w:tcPr>
            <w:tcW w:w="3434" w:type="dxa"/>
            <w:vMerge/>
            <w:tcBorders>
              <w:left w:val="single" w:sz="2" w:space="0" w:color="000000"/>
              <w:bottom w:val="single" w:sz="2" w:space="0" w:color="000000"/>
              <w:right w:val="single" w:sz="4" w:space="0" w:color="000000"/>
            </w:tcBorders>
            <w:shd w:val="clear" w:color="auto" w:fill="auto"/>
            <w:vAlign w:val="center"/>
          </w:tcPr>
          <w:p w14:paraId="02A2851A"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6EB47D1C" w14:textId="77777777" w:rsidTr="00732453">
        <w:trPr>
          <w:trHeight w:hRule="exact" w:val="642"/>
        </w:trPr>
        <w:tc>
          <w:tcPr>
            <w:tcW w:w="2993" w:type="dxa"/>
            <w:tcBorders>
              <w:top w:val="single" w:sz="2" w:space="0" w:color="000000"/>
              <w:left w:val="single" w:sz="2" w:space="0" w:color="000000"/>
              <w:bottom w:val="single" w:sz="2" w:space="0" w:color="000000"/>
            </w:tcBorders>
            <w:shd w:val="clear" w:color="auto" w:fill="auto"/>
            <w:vAlign w:val="center"/>
          </w:tcPr>
          <w:p w14:paraId="2D5C8DE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10</w:t>
            </w:r>
          </w:p>
        </w:tc>
        <w:tc>
          <w:tcPr>
            <w:tcW w:w="2977" w:type="dxa"/>
            <w:tcBorders>
              <w:top w:val="single" w:sz="2" w:space="0" w:color="000000"/>
              <w:left w:val="single" w:sz="2" w:space="0" w:color="000000"/>
              <w:bottom w:val="single" w:sz="2" w:space="0" w:color="000000"/>
            </w:tcBorders>
            <w:shd w:val="clear" w:color="auto" w:fill="auto"/>
            <w:vAlign w:val="center"/>
          </w:tcPr>
          <w:p w14:paraId="52BC0DB6"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5</w:t>
            </w:r>
          </w:p>
        </w:tc>
        <w:tc>
          <w:tcPr>
            <w:tcW w:w="34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66ED91"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1D30862C" w14:textId="77777777" w:rsidR="008F52C8" w:rsidRPr="0030358C" w:rsidRDefault="008F52C8" w:rsidP="008F52C8">
      <w:pPr>
        <w:rPr>
          <w:rFonts w:ascii="Arial" w:hAnsi="Arial" w:cs="Arial"/>
          <w:b/>
          <w:bCs/>
          <w:sz w:val="22"/>
          <w:szCs w:val="22"/>
          <w:lang w:eastAsia="zh-CN"/>
        </w:rPr>
      </w:pPr>
    </w:p>
    <w:p w14:paraId="69980825" w14:textId="77777777" w:rsidR="008F52C8" w:rsidRPr="0030358C" w:rsidRDefault="008F52C8" w:rsidP="008F52C8">
      <w:pPr>
        <w:keepNext/>
        <w:numPr>
          <w:ilvl w:val="1"/>
          <w:numId w:val="0"/>
        </w:numPr>
        <w:tabs>
          <w:tab w:val="num" w:pos="0"/>
        </w:tabs>
        <w:spacing w:before="60"/>
        <w:ind w:left="576" w:hanging="576"/>
        <w:jc w:val="both"/>
        <w:outlineLvl w:val="1"/>
        <w:rPr>
          <w:rFonts w:ascii="Arial" w:hAnsi="Arial" w:cs="Arial"/>
          <w:b/>
          <w:bCs/>
          <w:sz w:val="22"/>
          <w:szCs w:val="22"/>
          <w:lang w:eastAsia="zh-CN"/>
        </w:rPr>
      </w:pPr>
    </w:p>
    <w:p w14:paraId="087D5C32" w14:textId="77777777" w:rsidR="008F52C8" w:rsidRPr="0030358C" w:rsidRDefault="00000000" w:rsidP="008F52C8">
      <w:pPr>
        <w:keepNext/>
        <w:numPr>
          <w:ilvl w:val="1"/>
          <w:numId w:val="0"/>
        </w:numPr>
        <w:tabs>
          <w:tab w:val="num" w:pos="0"/>
        </w:tabs>
        <w:spacing w:before="60"/>
        <w:ind w:left="576" w:hanging="576"/>
        <w:jc w:val="both"/>
        <w:outlineLvl w:val="1"/>
        <w:rPr>
          <w:rFonts w:ascii="Arial" w:hAnsi="Arial" w:cs="Arial"/>
          <w:b/>
          <w:bCs/>
          <w:sz w:val="22"/>
          <w:szCs w:val="22"/>
          <w:lang w:eastAsia="zh-CN"/>
        </w:rPr>
      </w:pPr>
      <w:r w:rsidRPr="0030358C">
        <w:rPr>
          <w:rFonts w:ascii="Arial" w:hAnsi="Arial" w:cs="Arial"/>
          <w:b/>
          <w:bCs/>
          <w:sz w:val="22"/>
          <w:szCs w:val="22"/>
          <w:lang w:eastAsia="zh-CN"/>
        </w:rPr>
        <w:t>4. ZPRACOVÁNÍ NEROSTNÝCH SUROVIN</w:t>
      </w:r>
    </w:p>
    <w:p w14:paraId="4C469B18" w14:textId="77777777" w:rsidR="008F52C8" w:rsidRPr="0030358C" w:rsidRDefault="008F52C8" w:rsidP="008F52C8">
      <w:pPr>
        <w:keepNext/>
        <w:numPr>
          <w:ilvl w:val="2"/>
          <w:numId w:val="0"/>
        </w:numPr>
        <w:tabs>
          <w:tab w:val="num" w:pos="0"/>
        </w:tabs>
        <w:ind w:left="720"/>
        <w:jc w:val="both"/>
        <w:outlineLvl w:val="2"/>
        <w:rPr>
          <w:rFonts w:ascii="Arial" w:hAnsi="Arial" w:cs="Arial"/>
          <w:b/>
          <w:bCs/>
          <w:sz w:val="22"/>
          <w:szCs w:val="22"/>
          <w:lang w:eastAsia="zh-CN"/>
        </w:rPr>
      </w:pPr>
    </w:p>
    <w:p w14:paraId="4BB8B2A6" w14:textId="77777777" w:rsidR="008F52C8" w:rsidRPr="0030358C" w:rsidRDefault="00000000" w:rsidP="008F52C8">
      <w:pPr>
        <w:keepNext/>
        <w:numPr>
          <w:ilvl w:val="2"/>
          <w:numId w:val="0"/>
        </w:numPr>
        <w:tabs>
          <w:tab w:val="num" w:pos="0"/>
        </w:tabs>
        <w:spacing w:before="60"/>
        <w:ind w:left="567" w:hanging="567"/>
        <w:jc w:val="both"/>
        <w:outlineLvl w:val="2"/>
        <w:rPr>
          <w:rFonts w:ascii="Arial" w:hAnsi="Arial" w:cs="Arial"/>
          <w:b/>
          <w:bCs/>
          <w:sz w:val="22"/>
          <w:szCs w:val="22"/>
          <w:lang w:eastAsia="zh-CN"/>
        </w:rPr>
      </w:pPr>
      <w:r w:rsidRPr="0030358C">
        <w:rPr>
          <w:rFonts w:ascii="Arial" w:hAnsi="Arial" w:cs="Arial"/>
          <w:b/>
          <w:bCs/>
          <w:sz w:val="22"/>
          <w:szCs w:val="22"/>
          <w:lang w:eastAsia="zh-CN"/>
        </w:rPr>
        <w:t xml:space="preserve">4.1. Výroba cementářského slínku, vápna, úprava žárovzdorných jílovců a zpracování produktů odsíření  </w:t>
      </w:r>
    </w:p>
    <w:p w14:paraId="07AA565C" w14:textId="77777777" w:rsidR="008F52C8" w:rsidRPr="0030358C" w:rsidRDefault="008F52C8" w:rsidP="008F52C8">
      <w:pPr>
        <w:rPr>
          <w:rFonts w:ascii="Arial" w:hAnsi="Arial" w:cs="Arial"/>
          <w:b/>
          <w:bCs/>
          <w:sz w:val="22"/>
          <w:szCs w:val="22"/>
          <w:lang w:eastAsia="zh-CN"/>
        </w:rPr>
      </w:pPr>
    </w:p>
    <w:p w14:paraId="2CBFC8E9"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4.1.1. Manipulace se surovinou a výrobkem, včetně skladování a expedice (kód 5.1.1. dle přílohy č. 2 zákona)</w:t>
      </w:r>
    </w:p>
    <w:p w14:paraId="548B630B" w14:textId="77777777" w:rsidR="008F52C8" w:rsidRPr="0030358C" w:rsidRDefault="00000000" w:rsidP="008F52C8">
      <w:pPr>
        <w:rPr>
          <w:rFonts w:ascii="Arial" w:hAnsi="Arial" w:cs="Arial"/>
          <w:b/>
          <w:bCs/>
          <w:i/>
          <w:sz w:val="22"/>
          <w:szCs w:val="22"/>
          <w:lang w:eastAsia="zh-CN"/>
        </w:rPr>
      </w:pPr>
      <w:r w:rsidRPr="0030358C">
        <w:rPr>
          <w:rFonts w:ascii="Arial" w:hAnsi="Arial" w:cs="Arial"/>
          <w:b/>
          <w:bCs/>
          <w:sz w:val="22"/>
          <w:szCs w:val="22"/>
          <w:lang w:eastAsia="zh-CN"/>
        </w:rPr>
        <w:t>Včetně drcení, třídění a mletí vápenců; chlazení, mletí a hydratace páleného vápna.</w:t>
      </w:r>
      <w:r w:rsidRPr="0030358C">
        <w:rPr>
          <w:rFonts w:ascii="Arial" w:hAnsi="Arial" w:cs="Arial"/>
          <w:b/>
          <w:bCs/>
          <w:i/>
          <w:sz w:val="22"/>
          <w:szCs w:val="22"/>
          <w:lang w:eastAsia="zh-CN"/>
        </w:rPr>
        <w:t xml:space="preserve"> </w:t>
      </w:r>
    </w:p>
    <w:tbl>
      <w:tblPr>
        <w:tblW w:w="0" w:type="auto"/>
        <w:tblInd w:w="-15" w:type="dxa"/>
        <w:tblLayout w:type="fixed"/>
        <w:tblLook w:val="0000" w:firstRow="0" w:lastRow="0" w:firstColumn="0" w:lastColumn="0" w:noHBand="0" w:noVBand="0"/>
      </w:tblPr>
      <w:tblGrid>
        <w:gridCol w:w="5179"/>
        <w:gridCol w:w="4421"/>
      </w:tblGrid>
      <w:tr w:rsidR="00E40657" w14:paraId="044BC07B" w14:textId="77777777" w:rsidTr="00732453">
        <w:trPr>
          <w:cantSplit/>
          <w:trHeight w:hRule="exact" w:val="532"/>
        </w:trPr>
        <w:tc>
          <w:tcPr>
            <w:tcW w:w="5179" w:type="dxa"/>
            <w:tcBorders>
              <w:top w:val="single" w:sz="4" w:space="0" w:color="000000"/>
              <w:left w:val="single" w:sz="4" w:space="0" w:color="000000"/>
              <w:bottom w:val="single" w:sz="4" w:space="0" w:color="000000"/>
            </w:tcBorders>
            <w:shd w:val="clear" w:color="auto" w:fill="auto"/>
            <w:vAlign w:val="center"/>
          </w:tcPr>
          <w:p w14:paraId="0263730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40280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C3BC955" w14:textId="77777777" w:rsidTr="00732453">
        <w:trPr>
          <w:cantSplit/>
          <w:trHeight w:hRule="exact" w:val="532"/>
        </w:trPr>
        <w:tc>
          <w:tcPr>
            <w:tcW w:w="5179" w:type="dxa"/>
            <w:tcBorders>
              <w:top w:val="single" w:sz="4" w:space="0" w:color="000000"/>
              <w:left w:val="single" w:sz="4" w:space="0" w:color="000000"/>
              <w:bottom w:val="single" w:sz="4" w:space="0" w:color="000000"/>
            </w:tcBorders>
            <w:shd w:val="clear" w:color="auto" w:fill="auto"/>
            <w:vAlign w:val="center"/>
          </w:tcPr>
          <w:p w14:paraId="6923DA7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7FFDE4" w14:textId="77777777" w:rsidR="008F52C8" w:rsidRPr="0030358C" w:rsidRDefault="008F52C8" w:rsidP="00732453">
            <w:pPr>
              <w:snapToGrid w:val="0"/>
              <w:jc w:val="center"/>
              <w:rPr>
                <w:rFonts w:ascii="Arial" w:hAnsi="Arial" w:cs="Arial"/>
                <w:b/>
                <w:bCs/>
                <w:sz w:val="22"/>
                <w:szCs w:val="22"/>
                <w:lang w:eastAsia="zh-CN"/>
              </w:rPr>
            </w:pPr>
          </w:p>
        </w:tc>
      </w:tr>
      <w:tr w:rsidR="00E40657" w14:paraId="3E091E6A" w14:textId="77777777" w:rsidTr="00732453">
        <w:trPr>
          <w:trHeight w:hRule="exact" w:val="692"/>
        </w:trPr>
        <w:tc>
          <w:tcPr>
            <w:tcW w:w="5179" w:type="dxa"/>
            <w:tcBorders>
              <w:top w:val="single" w:sz="4" w:space="0" w:color="000000"/>
              <w:left w:val="single" w:sz="4" w:space="0" w:color="000000"/>
              <w:bottom w:val="single" w:sz="4" w:space="0" w:color="000000"/>
            </w:tcBorders>
            <w:shd w:val="clear" w:color="auto" w:fill="auto"/>
            <w:vAlign w:val="center"/>
          </w:tcPr>
          <w:p w14:paraId="6CA7698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7CA2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r w:rsidRPr="0030358C">
              <w:rPr>
                <w:rFonts w:ascii="Arial" w:hAnsi="Arial" w:cs="Arial"/>
                <w:b/>
                <w:bCs/>
                <w:sz w:val="22"/>
                <w:szCs w:val="22"/>
                <w:vertAlign w:val="superscript"/>
                <w:lang w:eastAsia="zh-CN"/>
              </w:rPr>
              <w:t>1)</w:t>
            </w:r>
          </w:p>
          <w:p w14:paraId="0D63859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r w:rsidRPr="0030358C">
              <w:rPr>
                <w:rFonts w:ascii="Arial" w:hAnsi="Arial" w:cs="Arial"/>
                <w:b/>
                <w:bCs/>
                <w:sz w:val="22"/>
                <w:szCs w:val="22"/>
                <w:vertAlign w:val="superscript"/>
                <w:lang w:eastAsia="zh-CN"/>
              </w:rPr>
              <w:t>2)</w:t>
            </w:r>
          </w:p>
        </w:tc>
      </w:tr>
    </w:tbl>
    <w:p w14:paraId="7EE0AE8E" w14:textId="77777777" w:rsidR="0058795B" w:rsidRPr="0030358C" w:rsidRDefault="00000000" w:rsidP="008F52C8">
      <w:pPr>
        <w:spacing w:before="60"/>
        <w:ind w:left="1077" w:hanging="1077"/>
        <w:rPr>
          <w:rFonts w:ascii="Arial" w:hAnsi="Arial" w:cs="Arial"/>
          <w:b/>
          <w:bCs/>
          <w:sz w:val="22"/>
          <w:szCs w:val="22"/>
          <w:lang w:eastAsia="zh-CN"/>
        </w:rPr>
      </w:pPr>
      <w:r w:rsidRPr="0030358C">
        <w:rPr>
          <w:rFonts w:ascii="Arial" w:hAnsi="Arial" w:cs="Arial"/>
          <w:b/>
          <w:bCs/>
          <w:sz w:val="22"/>
          <w:szCs w:val="22"/>
          <w:lang w:eastAsia="zh-CN"/>
        </w:rPr>
        <w:t xml:space="preserve">Vysvětlivky: </w:t>
      </w:r>
    </w:p>
    <w:p w14:paraId="0C958CED" w14:textId="77777777" w:rsidR="008F52C8" w:rsidRPr="0030358C" w:rsidRDefault="00000000" w:rsidP="008F52C8">
      <w:pPr>
        <w:spacing w:before="60"/>
        <w:ind w:left="1077" w:hanging="1077"/>
        <w:rPr>
          <w:rFonts w:ascii="Arial" w:hAnsi="Arial" w:cs="Arial"/>
          <w:b/>
          <w:bCs/>
          <w:sz w:val="22"/>
          <w:szCs w:val="22"/>
          <w:lang w:eastAsia="zh-CN"/>
        </w:rPr>
      </w:pPr>
      <w:r w:rsidRPr="0030358C">
        <w:rPr>
          <w:rFonts w:ascii="Arial" w:hAnsi="Arial" w:cs="Arial"/>
          <w:b/>
          <w:bCs/>
          <w:sz w:val="22"/>
          <w:szCs w:val="22"/>
          <w:lang w:eastAsia="zh-CN"/>
        </w:rPr>
        <w:t xml:space="preserve">1) </w:t>
      </w:r>
      <w:r w:rsidRPr="0030358C">
        <w:rPr>
          <w:rFonts w:ascii="Arial" w:hAnsi="Arial" w:cs="Arial"/>
          <w:b/>
          <w:bCs/>
          <w:iCs/>
          <w:sz w:val="22"/>
          <w:szCs w:val="22"/>
          <w:lang w:eastAsia="zh-CN"/>
        </w:rPr>
        <w:t>Vztahuje se na</w:t>
      </w:r>
      <w:r w:rsidRPr="0030358C">
        <w:rPr>
          <w:rFonts w:ascii="Arial" w:hAnsi="Arial" w:cs="Arial"/>
          <w:b/>
          <w:bCs/>
          <w:sz w:val="22"/>
          <w:szCs w:val="22"/>
          <w:lang w:eastAsia="zh-CN"/>
        </w:rPr>
        <w:t xml:space="preserve"> hydrataci páleného vápna.</w:t>
      </w:r>
    </w:p>
    <w:p w14:paraId="604C2601" w14:textId="77777777" w:rsidR="008F52C8" w:rsidRPr="0030358C" w:rsidRDefault="00000000" w:rsidP="008F52C8">
      <w:pPr>
        <w:spacing w:before="60"/>
        <w:ind w:left="1077" w:hanging="1077"/>
        <w:rPr>
          <w:rFonts w:ascii="Arial" w:hAnsi="Arial" w:cs="Arial"/>
          <w:b/>
          <w:bCs/>
          <w:sz w:val="22"/>
          <w:szCs w:val="22"/>
          <w:lang w:eastAsia="zh-CN"/>
        </w:rPr>
      </w:pPr>
      <w:r w:rsidRPr="0030358C">
        <w:rPr>
          <w:rFonts w:ascii="Arial" w:hAnsi="Arial" w:cs="Arial"/>
          <w:b/>
          <w:bCs/>
          <w:sz w:val="22"/>
          <w:szCs w:val="22"/>
          <w:lang w:eastAsia="zh-CN"/>
        </w:rPr>
        <w:t>2) Platí pro ostatní procesy.</w:t>
      </w:r>
    </w:p>
    <w:p w14:paraId="645AE042" w14:textId="77777777" w:rsidR="008F52C8" w:rsidRPr="0030358C" w:rsidRDefault="008F52C8" w:rsidP="008F52C8">
      <w:pPr>
        <w:spacing w:before="60"/>
        <w:ind w:left="1077" w:hanging="1077"/>
        <w:rPr>
          <w:rFonts w:ascii="Arial" w:hAnsi="Arial" w:cs="Arial"/>
          <w:b/>
          <w:bCs/>
          <w:sz w:val="22"/>
          <w:szCs w:val="22"/>
          <w:lang w:eastAsia="zh-CN"/>
        </w:rPr>
      </w:pPr>
    </w:p>
    <w:p w14:paraId="0D5A3366"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4.1.2. Výroba cementářského slínku v rotačních pecích (kód 5.1.2. dle přílohy č. 2 zákona)</w:t>
      </w:r>
    </w:p>
    <w:tbl>
      <w:tblPr>
        <w:tblW w:w="0" w:type="auto"/>
        <w:tblInd w:w="-15" w:type="dxa"/>
        <w:tblLayout w:type="fixed"/>
        <w:tblLook w:val="0000" w:firstRow="0" w:lastRow="0" w:firstColumn="0" w:lastColumn="0" w:noHBand="0" w:noVBand="0"/>
      </w:tblPr>
      <w:tblGrid>
        <w:gridCol w:w="1768"/>
        <w:gridCol w:w="1600"/>
        <w:gridCol w:w="1602"/>
        <w:gridCol w:w="2200"/>
        <w:gridCol w:w="2319"/>
      </w:tblGrid>
      <w:tr w:rsidR="00E40657" w14:paraId="2FC8508D" w14:textId="77777777" w:rsidTr="00732453">
        <w:trPr>
          <w:cantSplit/>
          <w:trHeight w:hRule="exact" w:val="567"/>
        </w:trPr>
        <w:tc>
          <w:tcPr>
            <w:tcW w:w="4970" w:type="dxa"/>
            <w:gridSpan w:val="3"/>
            <w:tcBorders>
              <w:top w:val="single" w:sz="4" w:space="0" w:color="000000"/>
              <w:left w:val="single" w:sz="4" w:space="0" w:color="000000"/>
            </w:tcBorders>
            <w:shd w:val="clear" w:color="auto" w:fill="auto"/>
            <w:vAlign w:val="center"/>
          </w:tcPr>
          <w:p w14:paraId="5872875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200" w:type="dxa"/>
            <w:vMerge w:val="restart"/>
            <w:tcBorders>
              <w:top w:val="single" w:sz="4" w:space="0" w:color="000000"/>
              <w:left w:val="single" w:sz="4" w:space="0" w:color="000000"/>
            </w:tcBorders>
            <w:shd w:val="clear" w:color="auto" w:fill="auto"/>
            <w:vAlign w:val="center"/>
          </w:tcPr>
          <w:p w14:paraId="3CBF637C" w14:textId="77777777" w:rsidR="008F52C8" w:rsidRPr="0030358C" w:rsidRDefault="00000000" w:rsidP="00732453">
            <w:pPr>
              <w:snapToGrid w:val="0"/>
              <w:jc w:val="center"/>
              <w:rPr>
                <w:rFonts w:ascii="Arial" w:hAnsi="Arial" w:cs="Arial"/>
                <w:b/>
                <w:bCs/>
                <w:sz w:val="22"/>
                <w:szCs w:val="22"/>
                <w:vertAlign w:val="subscript"/>
                <w:lang w:val="de-DE" w:eastAsia="zh-CN"/>
              </w:rPr>
            </w:pPr>
            <w:r w:rsidRPr="0030358C">
              <w:rPr>
                <w:rFonts w:ascii="Arial" w:hAnsi="Arial" w:cs="Arial"/>
                <w:b/>
                <w:bCs/>
                <w:sz w:val="22"/>
                <w:szCs w:val="22"/>
                <w:lang w:val="de-DE" w:eastAsia="zh-CN"/>
              </w:rPr>
              <w:t>O</w:t>
            </w:r>
            <w:r w:rsidRPr="0030358C">
              <w:rPr>
                <w:rFonts w:ascii="Arial" w:hAnsi="Arial" w:cs="Arial"/>
                <w:b/>
                <w:bCs/>
                <w:sz w:val="22"/>
                <w:szCs w:val="22"/>
                <w:vertAlign w:val="subscript"/>
                <w:lang w:val="de-DE" w:eastAsia="zh-CN"/>
              </w:rPr>
              <w:t>2R</w:t>
            </w:r>
          </w:p>
          <w:p w14:paraId="1558531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3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78079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73C96BF" w14:textId="77777777" w:rsidTr="00732453">
        <w:trPr>
          <w:cantSplit/>
          <w:trHeight w:hRule="exact" w:val="340"/>
        </w:trPr>
        <w:tc>
          <w:tcPr>
            <w:tcW w:w="1768" w:type="dxa"/>
            <w:tcBorders>
              <w:top w:val="single" w:sz="4" w:space="0" w:color="000000"/>
              <w:left w:val="single" w:sz="4" w:space="0" w:color="000000"/>
              <w:bottom w:val="single" w:sz="4" w:space="0" w:color="000000"/>
            </w:tcBorders>
            <w:shd w:val="clear" w:color="auto" w:fill="auto"/>
            <w:vAlign w:val="center"/>
          </w:tcPr>
          <w:p w14:paraId="32C6EE4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600" w:type="dxa"/>
            <w:tcBorders>
              <w:top w:val="single" w:sz="4" w:space="0" w:color="000000"/>
              <w:left w:val="single" w:sz="4" w:space="0" w:color="000000"/>
              <w:bottom w:val="single" w:sz="4" w:space="0" w:color="000000"/>
            </w:tcBorders>
            <w:shd w:val="clear" w:color="auto" w:fill="auto"/>
            <w:vAlign w:val="center"/>
          </w:tcPr>
          <w:p w14:paraId="14B06826"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602" w:type="dxa"/>
            <w:tcBorders>
              <w:top w:val="single" w:sz="4" w:space="0" w:color="000000"/>
              <w:left w:val="single" w:sz="4" w:space="0" w:color="000000"/>
              <w:bottom w:val="single" w:sz="4" w:space="0" w:color="000000"/>
            </w:tcBorders>
            <w:shd w:val="clear" w:color="auto" w:fill="auto"/>
            <w:vAlign w:val="center"/>
          </w:tcPr>
          <w:p w14:paraId="4E98366C"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200" w:type="dxa"/>
            <w:vMerge/>
            <w:tcBorders>
              <w:left w:val="single" w:sz="4" w:space="0" w:color="000000"/>
              <w:bottom w:val="single" w:sz="4" w:space="0" w:color="000000"/>
            </w:tcBorders>
            <w:shd w:val="clear" w:color="auto" w:fill="auto"/>
            <w:vAlign w:val="center"/>
          </w:tcPr>
          <w:p w14:paraId="406CA50D" w14:textId="77777777" w:rsidR="008F52C8" w:rsidRPr="0030358C" w:rsidRDefault="008F52C8" w:rsidP="00732453">
            <w:pPr>
              <w:snapToGrid w:val="0"/>
              <w:jc w:val="center"/>
              <w:rPr>
                <w:rFonts w:ascii="Arial" w:hAnsi="Arial" w:cs="Arial"/>
                <w:b/>
                <w:bCs/>
                <w:sz w:val="22"/>
                <w:szCs w:val="22"/>
                <w:lang w:eastAsia="zh-CN"/>
              </w:rPr>
            </w:pPr>
          </w:p>
        </w:tc>
        <w:tc>
          <w:tcPr>
            <w:tcW w:w="23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04B911" w14:textId="77777777" w:rsidR="008F52C8" w:rsidRPr="0030358C" w:rsidRDefault="008F52C8" w:rsidP="00732453">
            <w:pPr>
              <w:snapToGrid w:val="0"/>
              <w:rPr>
                <w:rFonts w:ascii="Arial" w:hAnsi="Arial" w:cs="Arial"/>
                <w:b/>
                <w:bCs/>
                <w:sz w:val="22"/>
                <w:szCs w:val="22"/>
                <w:lang w:eastAsia="zh-CN"/>
              </w:rPr>
            </w:pPr>
          </w:p>
        </w:tc>
      </w:tr>
      <w:tr w:rsidR="00E40657" w14:paraId="5E6D0CB9" w14:textId="77777777" w:rsidTr="00732453">
        <w:trPr>
          <w:cantSplit/>
          <w:trHeight w:hRule="exact" w:val="545"/>
        </w:trPr>
        <w:tc>
          <w:tcPr>
            <w:tcW w:w="1768" w:type="dxa"/>
            <w:tcBorders>
              <w:left w:val="single" w:sz="4" w:space="0" w:color="000000"/>
              <w:bottom w:val="single" w:sz="4" w:space="0" w:color="000000"/>
            </w:tcBorders>
            <w:shd w:val="clear" w:color="auto" w:fill="auto"/>
            <w:vAlign w:val="center"/>
          </w:tcPr>
          <w:p w14:paraId="3A6FE17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tc>
        <w:tc>
          <w:tcPr>
            <w:tcW w:w="1600" w:type="dxa"/>
            <w:tcBorders>
              <w:left w:val="single" w:sz="4" w:space="0" w:color="000000"/>
              <w:bottom w:val="single" w:sz="4" w:space="0" w:color="000000"/>
            </w:tcBorders>
            <w:shd w:val="clear" w:color="auto" w:fill="auto"/>
            <w:vAlign w:val="center"/>
          </w:tcPr>
          <w:p w14:paraId="712AA33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602" w:type="dxa"/>
            <w:tcBorders>
              <w:left w:val="single" w:sz="4" w:space="0" w:color="000000"/>
              <w:bottom w:val="single" w:sz="4" w:space="0" w:color="000000"/>
            </w:tcBorders>
            <w:shd w:val="clear" w:color="auto" w:fill="auto"/>
            <w:vAlign w:val="center"/>
          </w:tcPr>
          <w:p w14:paraId="0BC5872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500</w:t>
            </w:r>
          </w:p>
        </w:tc>
        <w:tc>
          <w:tcPr>
            <w:tcW w:w="2200" w:type="dxa"/>
            <w:tcBorders>
              <w:left w:val="single" w:sz="4" w:space="0" w:color="000000"/>
              <w:bottom w:val="single" w:sz="4" w:space="0" w:color="000000"/>
            </w:tcBorders>
            <w:shd w:val="clear" w:color="auto" w:fill="auto"/>
            <w:vAlign w:val="center"/>
          </w:tcPr>
          <w:p w14:paraId="33DD850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w:t>
            </w:r>
          </w:p>
        </w:tc>
        <w:tc>
          <w:tcPr>
            <w:tcW w:w="2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461E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188DF053" w14:textId="77777777" w:rsidR="008F52C8" w:rsidRPr="0030358C" w:rsidRDefault="008F52C8" w:rsidP="008F52C8">
      <w:pPr>
        <w:rPr>
          <w:rFonts w:ascii="Arial" w:hAnsi="Arial" w:cs="Arial"/>
          <w:b/>
          <w:bCs/>
          <w:sz w:val="22"/>
          <w:szCs w:val="22"/>
          <w:lang w:eastAsia="zh-CN"/>
        </w:rPr>
      </w:pPr>
    </w:p>
    <w:p w14:paraId="18494ED6" w14:textId="77777777" w:rsidR="008F52C8" w:rsidRPr="0030358C" w:rsidRDefault="008F52C8" w:rsidP="008F52C8">
      <w:pPr>
        <w:rPr>
          <w:rFonts w:ascii="Arial" w:hAnsi="Arial" w:cs="Arial"/>
          <w:b/>
          <w:bCs/>
          <w:sz w:val="22"/>
          <w:szCs w:val="22"/>
          <w:lang w:eastAsia="zh-CN"/>
        </w:rPr>
      </w:pPr>
    </w:p>
    <w:p w14:paraId="4F622170"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4.1.3. Ostatní technologická zařízení pro výrobu cementu (kód 5.1.3. dle přílohy č. 2 zákona)</w:t>
      </w:r>
    </w:p>
    <w:tbl>
      <w:tblPr>
        <w:tblW w:w="9600" w:type="dxa"/>
        <w:tblInd w:w="-15" w:type="dxa"/>
        <w:tblLayout w:type="fixed"/>
        <w:tblLook w:val="0000" w:firstRow="0" w:lastRow="0" w:firstColumn="0" w:lastColumn="0" w:noHBand="0" w:noVBand="0"/>
      </w:tblPr>
      <w:tblGrid>
        <w:gridCol w:w="5179"/>
        <w:gridCol w:w="4421"/>
      </w:tblGrid>
      <w:tr w:rsidR="00E40657" w14:paraId="29418487" w14:textId="77777777" w:rsidTr="00732453">
        <w:trPr>
          <w:trHeight w:val="232"/>
        </w:trPr>
        <w:tc>
          <w:tcPr>
            <w:tcW w:w="5179" w:type="dxa"/>
            <w:tcBorders>
              <w:top w:val="single" w:sz="4" w:space="0" w:color="000000"/>
              <w:left w:val="single" w:sz="4" w:space="0" w:color="000000"/>
              <w:bottom w:val="single" w:sz="4" w:space="0" w:color="000000"/>
            </w:tcBorders>
            <w:shd w:val="clear" w:color="auto" w:fill="auto"/>
            <w:vAlign w:val="center"/>
          </w:tcPr>
          <w:p w14:paraId="02A99A4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421" w:type="dxa"/>
            <w:vMerge w:val="restart"/>
            <w:tcBorders>
              <w:top w:val="single" w:sz="4" w:space="0" w:color="000000"/>
              <w:left w:val="single" w:sz="4" w:space="0" w:color="000000"/>
              <w:right w:val="single" w:sz="4" w:space="0" w:color="000000"/>
            </w:tcBorders>
            <w:shd w:val="clear" w:color="auto" w:fill="auto"/>
            <w:vAlign w:val="center"/>
          </w:tcPr>
          <w:p w14:paraId="3F9098C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CC879F9" w14:textId="77777777" w:rsidTr="00732453">
        <w:trPr>
          <w:trHeight w:hRule="exact" w:val="292"/>
        </w:trPr>
        <w:tc>
          <w:tcPr>
            <w:tcW w:w="5179" w:type="dxa"/>
            <w:tcBorders>
              <w:top w:val="single" w:sz="4" w:space="0" w:color="000000"/>
              <w:left w:val="single" w:sz="4" w:space="0" w:color="000000"/>
              <w:bottom w:val="single" w:sz="4" w:space="0" w:color="000000"/>
            </w:tcBorders>
            <w:shd w:val="clear" w:color="auto" w:fill="auto"/>
            <w:vAlign w:val="center"/>
          </w:tcPr>
          <w:p w14:paraId="5185FA0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421" w:type="dxa"/>
            <w:vMerge/>
            <w:tcBorders>
              <w:left w:val="single" w:sz="4" w:space="0" w:color="000000"/>
              <w:bottom w:val="single" w:sz="4" w:space="0" w:color="000000"/>
              <w:right w:val="single" w:sz="4" w:space="0" w:color="000000"/>
            </w:tcBorders>
            <w:shd w:val="clear" w:color="auto" w:fill="auto"/>
            <w:vAlign w:val="center"/>
          </w:tcPr>
          <w:p w14:paraId="1BD67162" w14:textId="77777777" w:rsidR="008F52C8" w:rsidRPr="0030358C" w:rsidRDefault="008F52C8" w:rsidP="00732453">
            <w:pPr>
              <w:snapToGrid w:val="0"/>
              <w:jc w:val="center"/>
              <w:rPr>
                <w:rFonts w:ascii="Arial" w:hAnsi="Arial" w:cs="Arial"/>
                <w:b/>
                <w:bCs/>
                <w:sz w:val="22"/>
                <w:szCs w:val="22"/>
                <w:lang w:eastAsia="zh-CN"/>
              </w:rPr>
            </w:pPr>
          </w:p>
        </w:tc>
      </w:tr>
      <w:tr w:rsidR="00E40657" w14:paraId="0C7EFEBD" w14:textId="77777777" w:rsidTr="00732453">
        <w:trPr>
          <w:trHeight w:hRule="exact" w:val="623"/>
        </w:trPr>
        <w:tc>
          <w:tcPr>
            <w:tcW w:w="5179" w:type="dxa"/>
            <w:tcBorders>
              <w:left w:val="single" w:sz="4" w:space="0" w:color="000000"/>
              <w:bottom w:val="single" w:sz="4" w:space="0" w:color="000000"/>
            </w:tcBorders>
            <w:shd w:val="clear" w:color="auto" w:fill="auto"/>
            <w:vAlign w:val="center"/>
          </w:tcPr>
          <w:p w14:paraId="01FBEFD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tc>
        <w:tc>
          <w:tcPr>
            <w:tcW w:w="4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DEA25" w14:textId="77777777" w:rsidR="008F52C8" w:rsidRPr="0030358C" w:rsidRDefault="008F52C8" w:rsidP="00732453">
            <w:pPr>
              <w:snapToGrid w:val="0"/>
              <w:jc w:val="center"/>
              <w:rPr>
                <w:rFonts w:ascii="Arial" w:hAnsi="Arial" w:cs="Arial"/>
                <w:b/>
                <w:bCs/>
                <w:sz w:val="22"/>
                <w:szCs w:val="22"/>
                <w:lang w:eastAsia="zh-CN"/>
              </w:rPr>
            </w:pPr>
          </w:p>
          <w:p w14:paraId="317C66C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7EFF5F77" w14:textId="77777777" w:rsidR="008F52C8" w:rsidRPr="0030358C" w:rsidRDefault="008F52C8" w:rsidP="008F52C8">
      <w:pPr>
        <w:rPr>
          <w:rFonts w:ascii="Arial" w:hAnsi="Arial" w:cs="Arial"/>
          <w:b/>
          <w:bCs/>
          <w:sz w:val="22"/>
          <w:szCs w:val="22"/>
          <w:lang w:eastAsia="zh-CN"/>
        </w:rPr>
      </w:pPr>
    </w:p>
    <w:p w14:paraId="25FE4B06"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4.1.4. Výroba vápna v rotačních pecích (kód 5.1.4. dle přílohy č. 2 zákona)</w:t>
      </w:r>
    </w:p>
    <w:tbl>
      <w:tblPr>
        <w:tblW w:w="0" w:type="auto"/>
        <w:tblInd w:w="-15" w:type="dxa"/>
        <w:tblLayout w:type="fixed"/>
        <w:tblLook w:val="0000" w:firstRow="0" w:lastRow="0" w:firstColumn="0" w:lastColumn="0" w:noHBand="0" w:noVBand="0"/>
      </w:tblPr>
      <w:tblGrid>
        <w:gridCol w:w="3162"/>
        <w:gridCol w:w="1771"/>
        <w:gridCol w:w="2323"/>
        <w:gridCol w:w="2344"/>
      </w:tblGrid>
      <w:tr w:rsidR="00E40657" w14:paraId="7DB96F61" w14:textId="77777777" w:rsidTr="00732453">
        <w:trPr>
          <w:cantSplit/>
          <w:trHeight w:hRule="exact" w:val="567"/>
        </w:trPr>
        <w:tc>
          <w:tcPr>
            <w:tcW w:w="4933" w:type="dxa"/>
            <w:gridSpan w:val="2"/>
            <w:tcBorders>
              <w:top w:val="single" w:sz="4" w:space="0" w:color="000000"/>
              <w:left w:val="single" w:sz="4" w:space="0" w:color="000000"/>
            </w:tcBorders>
            <w:shd w:val="clear" w:color="auto" w:fill="auto"/>
            <w:vAlign w:val="center"/>
          </w:tcPr>
          <w:p w14:paraId="2790E32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323" w:type="dxa"/>
            <w:vMerge w:val="restart"/>
            <w:tcBorders>
              <w:top w:val="single" w:sz="4" w:space="0" w:color="000000"/>
              <w:left w:val="single" w:sz="4" w:space="0" w:color="000000"/>
            </w:tcBorders>
            <w:shd w:val="clear" w:color="auto" w:fill="auto"/>
            <w:vAlign w:val="center"/>
          </w:tcPr>
          <w:p w14:paraId="7C66E49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val="de-DE" w:eastAsia="zh-CN"/>
              </w:rPr>
              <w:t>O</w:t>
            </w:r>
            <w:r w:rsidRPr="0030358C">
              <w:rPr>
                <w:rFonts w:ascii="Arial" w:hAnsi="Arial" w:cs="Arial"/>
                <w:b/>
                <w:bCs/>
                <w:sz w:val="22"/>
                <w:szCs w:val="22"/>
                <w:vertAlign w:val="subscript"/>
                <w:lang w:val="de-DE" w:eastAsia="zh-CN"/>
              </w:rPr>
              <w:t>2R</w:t>
            </w:r>
          </w:p>
          <w:p w14:paraId="125C997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344" w:type="dxa"/>
            <w:vMerge w:val="restart"/>
            <w:tcBorders>
              <w:top w:val="single" w:sz="4" w:space="0" w:color="000000"/>
              <w:left w:val="single" w:sz="4" w:space="0" w:color="000000"/>
              <w:right w:val="single" w:sz="4" w:space="0" w:color="000000"/>
            </w:tcBorders>
            <w:shd w:val="clear" w:color="auto" w:fill="auto"/>
            <w:vAlign w:val="center"/>
          </w:tcPr>
          <w:p w14:paraId="0578935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04E815D" w14:textId="77777777" w:rsidTr="00732453">
        <w:trPr>
          <w:cantSplit/>
          <w:trHeight w:hRule="exact" w:val="340"/>
        </w:trPr>
        <w:tc>
          <w:tcPr>
            <w:tcW w:w="3162" w:type="dxa"/>
            <w:tcBorders>
              <w:top w:val="single" w:sz="4" w:space="0" w:color="000000"/>
              <w:left w:val="single" w:sz="4" w:space="0" w:color="000000"/>
              <w:bottom w:val="single" w:sz="2" w:space="0" w:color="000000"/>
            </w:tcBorders>
            <w:shd w:val="clear" w:color="auto" w:fill="auto"/>
            <w:vAlign w:val="center"/>
          </w:tcPr>
          <w:p w14:paraId="4DF2E95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771" w:type="dxa"/>
            <w:tcBorders>
              <w:top w:val="single" w:sz="4" w:space="0" w:color="000000"/>
              <w:left w:val="single" w:sz="4" w:space="0" w:color="000000"/>
              <w:bottom w:val="single" w:sz="2" w:space="0" w:color="000000"/>
            </w:tcBorders>
            <w:shd w:val="clear" w:color="auto" w:fill="auto"/>
            <w:vAlign w:val="center"/>
          </w:tcPr>
          <w:p w14:paraId="7AEE168D"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323" w:type="dxa"/>
            <w:vMerge/>
            <w:tcBorders>
              <w:left w:val="single" w:sz="4" w:space="0" w:color="000000"/>
              <w:bottom w:val="single" w:sz="4" w:space="0" w:color="000000"/>
            </w:tcBorders>
            <w:shd w:val="clear" w:color="auto" w:fill="auto"/>
            <w:vAlign w:val="center"/>
          </w:tcPr>
          <w:p w14:paraId="1AE413AA" w14:textId="77777777" w:rsidR="008F52C8" w:rsidRPr="0030358C" w:rsidRDefault="008F52C8" w:rsidP="00732453">
            <w:pPr>
              <w:snapToGrid w:val="0"/>
              <w:rPr>
                <w:rFonts w:ascii="Arial" w:hAnsi="Arial" w:cs="Arial"/>
                <w:b/>
                <w:bCs/>
                <w:sz w:val="22"/>
                <w:szCs w:val="22"/>
                <w:lang w:eastAsia="zh-CN"/>
              </w:rPr>
            </w:pPr>
          </w:p>
        </w:tc>
        <w:tc>
          <w:tcPr>
            <w:tcW w:w="2344" w:type="dxa"/>
            <w:vMerge/>
            <w:tcBorders>
              <w:left w:val="single" w:sz="4" w:space="0" w:color="000000"/>
              <w:bottom w:val="single" w:sz="4" w:space="0" w:color="000000"/>
              <w:right w:val="single" w:sz="4" w:space="0" w:color="000000"/>
            </w:tcBorders>
            <w:shd w:val="clear" w:color="auto" w:fill="auto"/>
            <w:vAlign w:val="center"/>
          </w:tcPr>
          <w:p w14:paraId="3AD31EB9" w14:textId="77777777" w:rsidR="008F52C8" w:rsidRPr="0030358C" w:rsidRDefault="008F52C8" w:rsidP="00732453">
            <w:pPr>
              <w:snapToGrid w:val="0"/>
              <w:rPr>
                <w:rFonts w:ascii="Arial" w:hAnsi="Arial" w:cs="Arial"/>
                <w:b/>
                <w:bCs/>
                <w:sz w:val="22"/>
                <w:szCs w:val="22"/>
                <w:lang w:eastAsia="zh-CN"/>
              </w:rPr>
            </w:pPr>
          </w:p>
        </w:tc>
      </w:tr>
      <w:tr w:rsidR="00E40657" w14:paraId="0D65D7E2" w14:textId="77777777" w:rsidTr="00732453">
        <w:trPr>
          <w:cantSplit/>
          <w:trHeight w:hRule="exact" w:val="340"/>
        </w:trPr>
        <w:tc>
          <w:tcPr>
            <w:tcW w:w="3162" w:type="dxa"/>
            <w:tcBorders>
              <w:top w:val="single" w:sz="2" w:space="0" w:color="000000"/>
              <w:left w:val="single" w:sz="2" w:space="0" w:color="000000"/>
              <w:bottom w:val="single" w:sz="2" w:space="0" w:color="000000"/>
            </w:tcBorders>
            <w:shd w:val="clear" w:color="auto" w:fill="auto"/>
            <w:vAlign w:val="center"/>
          </w:tcPr>
          <w:p w14:paraId="6EC5A4A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tc>
        <w:tc>
          <w:tcPr>
            <w:tcW w:w="1771" w:type="dxa"/>
            <w:tcBorders>
              <w:top w:val="single" w:sz="2" w:space="0" w:color="000000"/>
              <w:left w:val="single" w:sz="2" w:space="0" w:color="000000"/>
              <w:bottom w:val="single" w:sz="2" w:space="0" w:color="000000"/>
            </w:tcBorders>
            <w:shd w:val="clear" w:color="auto" w:fill="auto"/>
            <w:vAlign w:val="center"/>
          </w:tcPr>
          <w:p w14:paraId="2F4B5D2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1200</w:t>
            </w:r>
          </w:p>
        </w:tc>
        <w:tc>
          <w:tcPr>
            <w:tcW w:w="2323" w:type="dxa"/>
            <w:tcBorders>
              <w:top w:val="single" w:sz="4" w:space="0" w:color="000000"/>
              <w:left w:val="single" w:sz="2" w:space="0" w:color="000000"/>
              <w:bottom w:val="single" w:sz="4" w:space="0" w:color="000000"/>
            </w:tcBorders>
            <w:shd w:val="clear" w:color="auto" w:fill="auto"/>
            <w:vAlign w:val="center"/>
          </w:tcPr>
          <w:p w14:paraId="7941BF5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11</w:t>
            </w:r>
          </w:p>
        </w:tc>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6577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1717AB4E" w14:textId="77777777" w:rsidR="008F52C8" w:rsidRPr="0030358C" w:rsidRDefault="008F52C8" w:rsidP="008F52C8">
      <w:pPr>
        <w:rPr>
          <w:rFonts w:ascii="Arial" w:hAnsi="Arial" w:cs="Arial"/>
          <w:b/>
          <w:bCs/>
          <w:sz w:val="22"/>
          <w:szCs w:val="22"/>
          <w:lang w:eastAsia="zh-CN"/>
        </w:rPr>
      </w:pPr>
    </w:p>
    <w:p w14:paraId="02139DA4" w14:textId="77777777" w:rsidR="008F52C8" w:rsidRPr="0030358C" w:rsidRDefault="008F52C8" w:rsidP="008F52C8">
      <w:pPr>
        <w:rPr>
          <w:rFonts w:ascii="Arial" w:hAnsi="Arial" w:cs="Arial"/>
          <w:b/>
          <w:bCs/>
          <w:sz w:val="22"/>
          <w:szCs w:val="22"/>
          <w:lang w:eastAsia="zh-CN"/>
        </w:rPr>
      </w:pPr>
    </w:p>
    <w:p w14:paraId="459348F0"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4.1.5. Výroba vápna v šachtových nebo jiných pecích (kód 5.1.5. dle přílohy č. 2 zákona)</w:t>
      </w:r>
    </w:p>
    <w:tbl>
      <w:tblPr>
        <w:tblW w:w="0" w:type="auto"/>
        <w:tblInd w:w="-15" w:type="dxa"/>
        <w:tblLayout w:type="fixed"/>
        <w:tblLook w:val="0000" w:firstRow="0" w:lastRow="0" w:firstColumn="0" w:lastColumn="0" w:noHBand="0" w:noVBand="0"/>
      </w:tblPr>
      <w:tblGrid>
        <w:gridCol w:w="1814"/>
        <w:gridCol w:w="1701"/>
        <w:gridCol w:w="2127"/>
        <w:gridCol w:w="1969"/>
        <w:gridCol w:w="1989"/>
      </w:tblGrid>
      <w:tr w:rsidR="00E40657" w14:paraId="2DB63139" w14:textId="77777777" w:rsidTr="00732453">
        <w:trPr>
          <w:cantSplit/>
          <w:trHeight w:hRule="exact" w:val="767"/>
        </w:trPr>
        <w:tc>
          <w:tcPr>
            <w:tcW w:w="3515" w:type="dxa"/>
            <w:gridSpan w:val="2"/>
            <w:tcBorders>
              <w:top w:val="single" w:sz="4" w:space="0" w:color="000000"/>
              <w:left w:val="single" w:sz="4" w:space="0" w:color="000000"/>
            </w:tcBorders>
            <w:shd w:val="clear" w:color="auto" w:fill="auto"/>
            <w:vAlign w:val="center"/>
          </w:tcPr>
          <w:p w14:paraId="3E61E70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127" w:type="dxa"/>
            <w:tcBorders>
              <w:top w:val="single" w:sz="4" w:space="0" w:color="000000"/>
              <w:left w:val="single" w:sz="4" w:space="0" w:color="000000"/>
              <w:bottom w:val="single" w:sz="4" w:space="0" w:color="000000"/>
            </w:tcBorders>
            <w:shd w:val="clear" w:color="auto" w:fill="auto"/>
            <w:vAlign w:val="center"/>
          </w:tcPr>
          <w:p w14:paraId="4CE98941" w14:textId="77777777" w:rsidR="008F52C8" w:rsidRPr="0030358C" w:rsidRDefault="00000000" w:rsidP="00732453">
            <w:pPr>
              <w:snapToGrid w:val="0"/>
              <w:jc w:val="center"/>
              <w:rPr>
                <w:rFonts w:ascii="Arial" w:hAnsi="Arial" w:cs="Arial"/>
                <w:b/>
                <w:bCs/>
                <w:sz w:val="22"/>
                <w:szCs w:val="22"/>
                <w:lang w:val="en-US" w:eastAsia="zh-CN"/>
              </w:rPr>
            </w:pPr>
            <w:r w:rsidRPr="0030358C">
              <w:rPr>
                <w:rFonts w:ascii="Arial" w:hAnsi="Arial" w:cs="Arial"/>
                <w:b/>
                <w:bCs/>
                <w:sz w:val="22"/>
                <w:szCs w:val="22"/>
                <w:lang w:eastAsia="zh-CN"/>
              </w:rPr>
              <w:t xml:space="preserve">Emisní limit </w:t>
            </w:r>
            <w:r w:rsidRPr="0030358C">
              <w:rPr>
                <w:rFonts w:ascii="Arial" w:hAnsi="Arial" w:cs="Arial"/>
                <w:b/>
                <w:bCs/>
                <w:sz w:val="22"/>
                <w:szCs w:val="22"/>
                <w:lang w:eastAsia="zh-CN"/>
              </w:rPr>
              <w:br/>
            </w:r>
            <w:r w:rsidRPr="0030358C">
              <w:rPr>
                <w:rFonts w:ascii="Arial" w:hAnsi="Arial" w:cs="Arial"/>
                <w:b/>
                <w:bCs/>
                <w:sz w:val="22"/>
                <w:szCs w:val="22"/>
                <w:lang w:val="en-US" w:eastAsia="zh-CN"/>
              </w:rPr>
              <w:t>[% obj.]</w:t>
            </w:r>
          </w:p>
        </w:tc>
        <w:tc>
          <w:tcPr>
            <w:tcW w:w="1969" w:type="dxa"/>
            <w:vMerge w:val="restart"/>
            <w:tcBorders>
              <w:top w:val="single" w:sz="4" w:space="0" w:color="000000"/>
              <w:left w:val="single" w:sz="4" w:space="0" w:color="000000"/>
            </w:tcBorders>
            <w:shd w:val="clear" w:color="auto" w:fill="auto"/>
            <w:vAlign w:val="center"/>
          </w:tcPr>
          <w:p w14:paraId="364370E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val="de-DE" w:eastAsia="zh-CN"/>
              </w:rPr>
              <w:t>O</w:t>
            </w:r>
            <w:r w:rsidRPr="0030358C">
              <w:rPr>
                <w:rFonts w:ascii="Arial" w:hAnsi="Arial" w:cs="Arial"/>
                <w:b/>
                <w:bCs/>
                <w:sz w:val="22"/>
                <w:szCs w:val="22"/>
                <w:vertAlign w:val="subscript"/>
                <w:lang w:val="de-DE" w:eastAsia="zh-CN"/>
              </w:rPr>
              <w:t>2R</w:t>
            </w:r>
          </w:p>
          <w:p w14:paraId="544F5C8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989" w:type="dxa"/>
            <w:vMerge w:val="restart"/>
            <w:tcBorders>
              <w:top w:val="single" w:sz="4" w:space="0" w:color="000000"/>
              <w:left w:val="single" w:sz="4" w:space="0" w:color="000000"/>
              <w:right w:val="single" w:sz="4" w:space="0" w:color="000000"/>
            </w:tcBorders>
            <w:shd w:val="clear" w:color="auto" w:fill="auto"/>
            <w:vAlign w:val="center"/>
          </w:tcPr>
          <w:p w14:paraId="039CB41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D4B470D" w14:textId="77777777" w:rsidTr="00732453">
        <w:trPr>
          <w:cantSplit/>
          <w:trHeight w:hRule="exact" w:val="340"/>
        </w:trPr>
        <w:tc>
          <w:tcPr>
            <w:tcW w:w="1814" w:type="dxa"/>
            <w:tcBorders>
              <w:top w:val="single" w:sz="4" w:space="0" w:color="000000"/>
              <w:left w:val="single" w:sz="4" w:space="0" w:color="000000"/>
              <w:bottom w:val="single" w:sz="4" w:space="0" w:color="000000"/>
            </w:tcBorders>
            <w:shd w:val="clear" w:color="auto" w:fill="auto"/>
            <w:vAlign w:val="center"/>
          </w:tcPr>
          <w:p w14:paraId="418B212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701" w:type="dxa"/>
            <w:tcBorders>
              <w:top w:val="single" w:sz="4" w:space="0" w:color="000000"/>
              <w:left w:val="single" w:sz="4" w:space="0" w:color="000000"/>
              <w:bottom w:val="single" w:sz="4" w:space="0" w:color="000000"/>
            </w:tcBorders>
            <w:shd w:val="clear" w:color="auto" w:fill="auto"/>
            <w:vAlign w:val="center"/>
          </w:tcPr>
          <w:p w14:paraId="118315DB"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127" w:type="dxa"/>
            <w:tcBorders>
              <w:top w:val="single" w:sz="4" w:space="0" w:color="000000"/>
              <w:left w:val="single" w:sz="4" w:space="0" w:color="000000"/>
              <w:bottom w:val="single" w:sz="4" w:space="0" w:color="000000"/>
            </w:tcBorders>
            <w:shd w:val="clear" w:color="auto" w:fill="auto"/>
            <w:vAlign w:val="center"/>
          </w:tcPr>
          <w:p w14:paraId="6CEA39B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969" w:type="dxa"/>
            <w:vMerge/>
            <w:tcBorders>
              <w:left w:val="single" w:sz="4" w:space="0" w:color="000000"/>
              <w:bottom w:val="single" w:sz="4" w:space="0" w:color="000000"/>
            </w:tcBorders>
            <w:shd w:val="clear" w:color="auto" w:fill="auto"/>
            <w:vAlign w:val="center"/>
          </w:tcPr>
          <w:p w14:paraId="70B5F6ED" w14:textId="77777777" w:rsidR="008F52C8" w:rsidRPr="0030358C" w:rsidRDefault="008F52C8" w:rsidP="00732453">
            <w:pPr>
              <w:snapToGrid w:val="0"/>
              <w:rPr>
                <w:rFonts w:ascii="Arial" w:hAnsi="Arial" w:cs="Arial"/>
                <w:b/>
                <w:bCs/>
                <w:sz w:val="22"/>
                <w:szCs w:val="22"/>
                <w:lang w:eastAsia="zh-CN"/>
              </w:rPr>
            </w:pPr>
          </w:p>
        </w:tc>
        <w:tc>
          <w:tcPr>
            <w:tcW w:w="1989" w:type="dxa"/>
            <w:vMerge/>
            <w:tcBorders>
              <w:left w:val="single" w:sz="4" w:space="0" w:color="000000"/>
              <w:bottom w:val="single" w:sz="4" w:space="0" w:color="000000"/>
              <w:right w:val="single" w:sz="4" w:space="0" w:color="000000"/>
            </w:tcBorders>
            <w:shd w:val="clear" w:color="auto" w:fill="auto"/>
            <w:vAlign w:val="center"/>
          </w:tcPr>
          <w:p w14:paraId="0FCED843" w14:textId="77777777" w:rsidR="008F52C8" w:rsidRPr="0030358C" w:rsidRDefault="008F52C8" w:rsidP="00732453">
            <w:pPr>
              <w:snapToGrid w:val="0"/>
              <w:rPr>
                <w:rFonts w:ascii="Arial" w:hAnsi="Arial" w:cs="Arial"/>
                <w:b/>
                <w:bCs/>
                <w:sz w:val="22"/>
                <w:szCs w:val="22"/>
                <w:lang w:eastAsia="zh-CN"/>
              </w:rPr>
            </w:pPr>
          </w:p>
        </w:tc>
      </w:tr>
      <w:tr w:rsidR="00E40657" w14:paraId="2A219D21" w14:textId="77777777" w:rsidTr="00732453">
        <w:trPr>
          <w:cantSplit/>
          <w:trHeight w:hRule="exact" w:val="639"/>
        </w:trPr>
        <w:tc>
          <w:tcPr>
            <w:tcW w:w="1814" w:type="dxa"/>
            <w:tcBorders>
              <w:left w:val="single" w:sz="4" w:space="0" w:color="000000"/>
              <w:bottom w:val="single" w:sz="4" w:space="0" w:color="000000"/>
            </w:tcBorders>
            <w:shd w:val="clear" w:color="auto" w:fill="auto"/>
            <w:vAlign w:val="center"/>
          </w:tcPr>
          <w:p w14:paraId="1BF186D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tc>
        <w:tc>
          <w:tcPr>
            <w:tcW w:w="1701" w:type="dxa"/>
            <w:tcBorders>
              <w:left w:val="single" w:sz="4" w:space="0" w:color="000000"/>
              <w:bottom w:val="single" w:sz="4" w:space="0" w:color="000000"/>
            </w:tcBorders>
            <w:shd w:val="clear" w:color="auto" w:fill="auto"/>
            <w:vAlign w:val="center"/>
          </w:tcPr>
          <w:p w14:paraId="1BCF3DD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1200</w:t>
            </w:r>
          </w:p>
        </w:tc>
        <w:tc>
          <w:tcPr>
            <w:tcW w:w="2127" w:type="dxa"/>
            <w:tcBorders>
              <w:left w:val="single" w:sz="4" w:space="0" w:color="000000"/>
              <w:bottom w:val="single" w:sz="4" w:space="0" w:color="000000"/>
            </w:tcBorders>
            <w:shd w:val="clear" w:color="auto" w:fill="auto"/>
            <w:vAlign w:val="center"/>
          </w:tcPr>
          <w:p w14:paraId="78839F51"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3</w:t>
            </w:r>
            <w:r w:rsidRPr="0030358C">
              <w:rPr>
                <w:rFonts w:ascii="Arial" w:hAnsi="Arial" w:cs="Arial"/>
                <w:b/>
                <w:bCs/>
                <w:sz w:val="22"/>
                <w:szCs w:val="22"/>
                <w:vertAlign w:val="superscript"/>
                <w:lang w:eastAsia="zh-CN"/>
              </w:rPr>
              <w:t>1)</w:t>
            </w:r>
          </w:p>
        </w:tc>
        <w:tc>
          <w:tcPr>
            <w:tcW w:w="1969" w:type="dxa"/>
            <w:tcBorders>
              <w:top w:val="single" w:sz="4" w:space="0" w:color="000000"/>
              <w:left w:val="single" w:sz="4" w:space="0" w:color="000000"/>
              <w:bottom w:val="single" w:sz="4" w:space="0" w:color="000000"/>
            </w:tcBorders>
            <w:shd w:val="clear" w:color="auto" w:fill="auto"/>
            <w:vAlign w:val="center"/>
          </w:tcPr>
          <w:p w14:paraId="6C83D43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11</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0600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6695BCA0" w14:textId="77777777" w:rsidR="0058795B" w:rsidRPr="0030358C" w:rsidRDefault="0058795B" w:rsidP="008F52C8">
      <w:pPr>
        <w:rPr>
          <w:rFonts w:ascii="Arial" w:hAnsi="Arial" w:cs="Arial"/>
          <w:b/>
          <w:bCs/>
          <w:sz w:val="22"/>
          <w:szCs w:val="22"/>
          <w:lang w:eastAsia="zh-CN"/>
        </w:rPr>
      </w:pPr>
    </w:p>
    <w:p w14:paraId="19722476" w14:textId="77777777" w:rsidR="0058795B"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4AED90A4"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1) Platí pouze pro výrobu vápna v šachtových koksových pecích.</w:t>
      </w:r>
    </w:p>
    <w:p w14:paraId="16D2D240" w14:textId="77777777" w:rsidR="008F52C8" w:rsidRPr="0030358C" w:rsidRDefault="008F52C8" w:rsidP="008F52C8">
      <w:pPr>
        <w:rPr>
          <w:rFonts w:ascii="Arial" w:hAnsi="Arial" w:cs="Arial"/>
          <w:b/>
          <w:bCs/>
          <w:sz w:val="22"/>
          <w:szCs w:val="22"/>
          <w:lang w:eastAsia="zh-CN"/>
        </w:rPr>
      </w:pPr>
    </w:p>
    <w:p w14:paraId="30D89F97" w14:textId="77777777" w:rsidR="008F52C8" w:rsidRPr="0030358C" w:rsidRDefault="008F52C8" w:rsidP="008F52C8">
      <w:pPr>
        <w:rPr>
          <w:rFonts w:ascii="Arial" w:hAnsi="Arial" w:cs="Arial"/>
          <w:b/>
          <w:bCs/>
          <w:sz w:val="22"/>
          <w:szCs w:val="22"/>
          <w:lang w:eastAsia="zh-CN"/>
        </w:rPr>
      </w:pPr>
    </w:p>
    <w:p w14:paraId="016F427E"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4.1.6. Pece pro zpracování produktů odsíření (kód 5.1.6.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1957"/>
        <w:gridCol w:w="1634"/>
        <w:gridCol w:w="1611"/>
        <w:gridCol w:w="1836"/>
        <w:gridCol w:w="2488"/>
      </w:tblGrid>
      <w:tr w:rsidR="00E40657" w14:paraId="4A56988E" w14:textId="77777777" w:rsidTr="00732453">
        <w:trPr>
          <w:cantSplit/>
          <w:trHeight w:hRule="exact" w:val="341"/>
        </w:trPr>
        <w:tc>
          <w:tcPr>
            <w:tcW w:w="7038" w:type="dxa"/>
            <w:gridSpan w:val="4"/>
            <w:tcBorders>
              <w:top w:val="single" w:sz="2" w:space="0" w:color="000000"/>
              <w:left w:val="single" w:sz="2" w:space="0" w:color="000000"/>
              <w:bottom w:val="single" w:sz="2" w:space="0" w:color="000000"/>
            </w:tcBorders>
            <w:shd w:val="clear" w:color="auto" w:fill="auto"/>
            <w:vAlign w:val="center"/>
          </w:tcPr>
          <w:p w14:paraId="24569F10"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488" w:type="dxa"/>
            <w:vMerge w:val="restart"/>
            <w:tcBorders>
              <w:top w:val="single" w:sz="2" w:space="0" w:color="000000"/>
              <w:left w:val="single" w:sz="2" w:space="0" w:color="000000"/>
              <w:right w:val="single" w:sz="2" w:space="0" w:color="000000"/>
            </w:tcBorders>
            <w:shd w:val="clear" w:color="auto" w:fill="auto"/>
            <w:vAlign w:val="center"/>
          </w:tcPr>
          <w:p w14:paraId="2A20E0A3"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36BE669" w14:textId="77777777" w:rsidTr="00732453">
        <w:trPr>
          <w:cantSplit/>
          <w:trHeight w:hRule="exact" w:val="331"/>
        </w:trPr>
        <w:tc>
          <w:tcPr>
            <w:tcW w:w="1957" w:type="dxa"/>
            <w:tcBorders>
              <w:top w:val="single" w:sz="2" w:space="0" w:color="000000"/>
              <w:left w:val="single" w:sz="2" w:space="0" w:color="000000"/>
              <w:bottom w:val="single" w:sz="2" w:space="0" w:color="000000"/>
            </w:tcBorders>
            <w:shd w:val="clear" w:color="auto" w:fill="auto"/>
            <w:vAlign w:val="center"/>
          </w:tcPr>
          <w:p w14:paraId="77275EC7"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634" w:type="dxa"/>
            <w:tcBorders>
              <w:top w:val="single" w:sz="2" w:space="0" w:color="000000"/>
              <w:left w:val="single" w:sz="2" w:space="0" w:color="000000"/>
              <w:bottom w:val="single" w:sz="2" w:space="0" w:color="000000"/>
            </w:tcBorders>
            <w:shd w:val="clear" w:color="auto" w:fill="auto"/>
            <w:vAlign w:val="center"/>
          </w:tcPr>
          <w:p w14:paraId="3C6C0310"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611" w:type="dxa"/>
            <w:tcBorders>
              <w:top w:val="single" w:sz="2" w:space="0" w:color="000000"/>
              <w:left w:val="single" w:sz="2" w:space="0" w:color="000000"/>
              <w:bottom w:val="single" w:sz="2" w:space="0" w:color="000000"/>
            </w:tcBorders>
            <w:shd w:val="clear" w:color="auto" w:fill="auto"/>
            <w:vAlign w:val="center"/>
          </w:tcPr>
          <w:p w14:paraId="16BE3F94"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836" w:type="dxa"/>
            <w:tcBorders>
              <w:top w:val="single" w:sz="2" w:space="0" w:color="000000"/>
              <w:left w:val="single" w:sz="2" w:space="0" w:color="000000"/>
              <w:bottom w:val="single" w:sz="2" w:space="0" w:color="000000"/>
            </w:tcBorders>
            <w:shd w:val="clear" w:color="auto" w:fill="auto"/>
            <w:vAlign w:val="center"/>
          </w:tcPr>
          <w:p w14:paraId="1B99BE2D"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2488" w:type="dxa"/>
            <w:vMerge/>
            <w:tcBorders>
              <w:left w:val="single" w:sz="2" w:space="0" w:color="000000"/>
              <w:bottom w:val="single" w:sz="2" w:space="0" w:color="000000"/>
              <w:right w:val="single" w:sz="2" w:space="0" w:color="000000"/>
            </w:tcBorders>
            <w:shd w:val="clear" w:color="auto" w:fill="auto"/>
            <w:vAlign w:val="center"/>
          </w:tcPr>
          <w:p w14:paraId="74217AAB"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0D7CC9CC" w14:textId="77777777" w:rsidTr="00732453">
        <w:trPr>
          <w:trHeight w:hRule="exact" w:val="340"/>
        </w:trPr>
        <w:tc>
          <w:tcPr>
            <w:tcW w:w="1957" w:type="dxa"/>
            <w:tcBorders>
              <w:top w:val="single" w:sz="2" w:space="0" w:color="000000"/>
              <w:left w:val="single" w:sz="2" w:space="0" w:color="000000"/>
              <w:bottom w:val="single" w:sz="2" w:space="0" w:color="000000"/>
            </w:tcBorders>
            <w:shd w:val="clear" w:color="auto" w:fill="auto"/>
            <w:vAlign w:val="center"/>
          </w:tcPr>
          <w:p w14:paraId="1D73206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634" w:type="dxa"/>
            <w:tcBorders>
              <w:top w:val="single" w:sz="2" w:space="0" w:color="000000"/>
              <w:left w:val="single" w:sz="2" w:space="0" w:color="000000"/>
              <w:bottom w:val="single" w:sz="2" w:space="0" w:color="000000"/>
            </w:tcBorders>
            <w:shd w:val="clear" w:color="auto" w:fill="auto"/>
            <w:vAlign w:val="center"/>
          </w:tcPr>
          <w:p w14:paraId="64AE526D"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200</w:t>
            </w:r>
          </w:p>
        </w:tc>
        <w:tc>
          <w:tcPr>
            <w:tcW w:w="1611" w:type="dxa"/>
            <w:tcBorders>
              <w:top w:val="single" w:sz="2" w:space="0" w:color="000000"/>
              <w:left w:val="single" w:sz="2" w:space="0" w:color="000000"/>
              <w:bottom w:val="single" w:sz="2" w:space="0" w:color="000000"/>
            </w:tcBorders>
            <w:shd w:val="clear" w:color="auto" w:fill="auto"/>
            <w:vAlign w:val="center"/>
          </w:tcPr>
          <w:p w14:paraId="0E9CFEFC"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100</w:t>
            </w:r>
          </w:p>
        </w:tc>
        <w:tc>
          <w:tcPr>
            <w:tcW w:w="1836" w:type="dxa"/>
            <w:tcBorders>
              <w:top w:val="single" w:sz="2" w:space="0" w:color="000000"/>
              <w:left w:val="single" w:sz="2" w:space="0" w:color="000000"/>
              <w:bottom w:val="single" w:sz="2" w:space="0" w:color="000000"/>
            </w:tcBorders>
            <w:shd w:val="clear" w:color="auto" w:fill="auto"/>
            <w:vAlign w:val="center"/>
          </w:tcPr>
          <w:p w14:paraId="37EEC5C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100</w:t>
            </w:r>
          </w:p>
        </w:tc>
        <w:tc>
          <w:tcPr>
            <w:tcW w:w="248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26B1B8"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07564472" w14:textId="77777777" w:rsidR="0058795B" w:rsidRPr="0030358C" w:rsidRDefault="0058795B" w:rsidP="008F52C8">
      <w:pPr>
        <w:rPr>
          <w:rFonts w:ascii="Arial" w:hAnsi="Arial" w:cs="Arial"/>
          <w:b/>
          <w:bCs/>
          <w:sz w:val="22"/>
          <w:szCs w:val="22"/>
          <w:lang w:eastAsia="zh-CN"/>
        </w:rPr>
      </w:pPr>
    </w:p>
    <w:p w14:paraId="138C78C6" w14:textId="77777777" w:rsidR="0058795B"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0F01EF9E"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xml:space="preserve">1) Platí pro pece pracující samostatně, nezávisle na provozu vlastního odsíření. </w:t>
      </w:r>
    </w:p>
    <w:p w14:paraId="58522FE7" w14:textId="77777777" w:rsidR="008F52C8" w:rsidRPr="0030358C" w:rsidRDefault="008F52C8" w:rsidP="008F52C8">
      <w:pPr>
        <w:rPr>
          <w:rFonts w:ascii="Arial" w:hAnsi="Arial" w:cs="Arial"/>
          <w:b/>
          <w:bCs/>
          <w:sz w:val="22"/>
          <w:szCs w:val="22"/>
          <w:lang w:eastAsia="zh-CN"/>
        </w:rPr>
      </w:pPr>
    </w:p>
    <w:p w14:paraId="640490E6" w14:textId="77777777" w:rsidR="008F52C8" w:rsidRPr="0030358C" w:rsidRDefault="008F52C8" w:rsidP="008F52C8">
      <w:pPr>
        <w:rPr>
          <w:rFonts w:ascii="Arial" w:hAnsi="Arial" w:cs="Arial"/>
          <w:b/>
          <w:bCs/>
          <w:sz w:val="22"/>
          <w:szCs w:val="22"/>
          <w:lang w:eastAsia="zh-CN"/>
        </w:rPr>
      </w:pPr>
    </w:p>
    <w:p w14:paraId="1E37BB8C"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4.1.7. Úprava a zušlechťování žáruvzdorných jílovců a kaolínů v rotačních pecích (kód 5.1.7. dle přílohy č. 2 zákona)</w:t>
      </w:r>
    </w:p>
    <w:tbl>
      <w:tblPr>
        <w:tblW w:w="0" w:type="auto"/>
        <w:tblInd w:w="-15" w:type="dxa"/>
        <w:tblLayout w:type="fixed"/>
        <w:tblLook w:val="0000" w:firstRow="0" w:lastRow="0" w:firstColumn="0" w:lastColumn="0" w:noHBand="0" w:noVBand="0"/>
      </w:tblPr>
      <w:tblGrid>
        <w:gridCol w:w="3162"/>
        <w:gridCol w:w="2938"/>
        <w:gridCol w:w="3500"/>
      </w:tblGrid>
      <w:tr w:rsidR="00E40657" w14:paraId="24A2A157" w14:textId="77777777" w:rsidTr="00732453">
        <w:trPr>
          <w:cantSplit/>
          <w:trHeight w:hRule="exact" w:val="567"/>
        </w:trPr>
        <w:tc>
          <w:tcPr>
            <w:tcW w:w="6100" w:type="dxa"/>
            <w:gridSpan w:val="2"/>
            <w:tcBorders>
              <w:top w:val="single" w:sz="4" w:space="0" w:color="000000"/>
              <w:left w:val="single" w:sz="4" w:space="0" w:color="000000"/>
            </w:tcBorders>
            <w:shd w:val="clear" w:color="auto" w:fill="auto"/>
            <w:vAlign w:val="center"/>
          </w:tcPr>
          <w:p w14:paraId="5B22A43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03320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332D53DB" w14:textId="77777777" w:rsidTr="00732453">
        <w:trPr>
          <w:cantSplit/>
          <w:trHeight w:hRule="exact" w:val="340"/>
        </w:trPr>
        <w:tc>
          <w:tcPr>
            <w:tcW w:w="3162" w:type="dxa"/>
            <w:tcBorders>
              <w:top w:val="single" w:sz="4" w:space="0" w:color="000000"/>
              <w:left w:val="single" w:sz="4" w:space="0" w:color="000000"/>
              <w:bottom w:val="single" w:sz="4" w:space="0" w:color="000000"/>
            </w:tcBorders>
            <w:shd w:val="clear" w:color="auto" w:fill="auto"/>
            <w:vAlign w:val="center"/>
          </w:tcPr>
          <w:p w14:paraId="0E1450F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938" w:type="dxa"/>
            <w:tcBorders>
              <w:top w:val="single" w:sz="4" w:space="0" w:color="000000"/>
              <w:left w:val="single" w:sz="4" w:space="0" w:color="000000"/>
              <w:bottom w:val="single" w:sz="4" w:space="0" w:color="000000"/>
            </w:tcBorders>
            <w:shd w:val="clear" w:color="auto" w:fill="auto"/>
            <w:vAlign w:val="center"/>
          </w:tcPr>
          <w:p w14:paraId="3C71C1DB"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3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26D103" w14:textId="77777777" w:rsidR="008F52C8" w:rsidRPr="0030358C" w:rsidRDefault="008F52C8" w:rsidP="00732453">
            <w:pPr>
              <w:snapToGrid w:val="0"/>
              <w:rPr>
                <w:rFonts w:ascii="Arial" w:hAnsi="Arial" w:cs="Arial"/>
                <w:b/>
                <w:bCs/>
                <w:sz w:val="22"/>
                <w:szCs w:val="22"/>
                <w:lang w:eastAsia="zh-CN"/>
              </w:rPr>
            </w:pPr>
          </w:p>
        </w:tc>
      </w:tr>
      <w:tr w:rsidR="00E40657" w14:paraId="17FEC1E1" w14:textId="77777777" w:rsidTr="00732453">
        <w:trPr>
          <w:cantSplit/>
          <w:trHeight w:hRule="exact" w:val="340"/>
        </w:trPr>
        <w:tc>
          <w:tcPr>
            <w:tcW w:w="3162" w:type="dxa"/>
            <w:tcBorders>
              <w:left w:val="single" w:sz="4" w:space="0" w:color="000000"/>
              <w:bottom w:val="single" w:sz="4" w:space="0" w:color="000000"/>
            </w:tcBorders>
            <w:shd w:val="clear" w:color="auto" w:fill="auto"/>
            <w:vAlign w:val="center"/>
          </w:tcPr>
          <w:p w14:paraId="6CF6C47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75</w:t>
            </w:r>
          </w:p>
        </w:tc>
        <w:tc>
          <w:tcPr>
            <w:tcW w:w="2938" w:type="dxa"/>
            <w:tcBorders>
              <w:left w:val="single" w:sz="4" w:space="0" w:color="000000"/>
              <w:bottom w:val="single" w:sz="4" w:space="0" w:color="000000"/>
            </w:tcBorders>
            <w:shd w:val="clear" w:color="auto" w:fill="auto"/>
            <w:vAlign w:val="center"/>
          </w:tcPr>
          <w:p w14:paraId="51DBBCC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500</w:t>
            </w:r>
          </w:p>
        </w:tc>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61D4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2360A37D" w14:textId="77777777" w:rsidR="008F52C8" w:rsidRPr="0030358C" w:rsidRDefault="008F52C8" w:rsidP="008F52C8">
      <w:pPr>
        <w:rPr>
          <w:rFonts w:ascii="Arial" w:hAnsi="Arial" w:cs="Arial"/>
          <w:b/>
          <w:bCs/>
          <w:sz w:val="22"/>
          <w:szCs w:val="22"/>
          <w:lang w:eastAsia="zh-CN"/>
        </w:rPr>
      </w:pPr>
    </w:p>
    <w:p w14:paraId="4D6CC894"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4.1</w:t>
      </w:r>
      <w:r w:rsidR="002A72E6" w:rsidRPr="0030358C">
        <w:rPr>
          <w:rFonts w:ascii="Arial" w:hAnsi="Arial" w:cs="Arial"/>
          <w:b/>
          <w:bCs/>
          <w:sz w:val="22"/>
          <w:szCs w:val="22"/>
          <w:lang w:eastAsia="zh-CN"/>
        </w:rPr>
        <w:t>.8.</w:t>
      </w:r>
      <w:r w:rsidRPr="0030358C">
        <w:rPr>
          <w:rFonts w:ascii="Arial" w:hAnsi="Arial" w:cs="Arial"/>
          <w:b/>
          <w:bCs/>
          <w:sz w:val="22"/>
          <w:szCs w:val="22"/>
          <w:lang w:eastAsia="zh-CN"/>
        </w:rPr>
        <w:t xml:space="preserve"> Výroba materiálů nebo produktů obsahujících azbest (kód 5.2. dle přílohy č. 2 zákona)</w:t>
      </w:r>
    </w:p>
    <w:tbl>
      <w:tblPr>
        <w:tblW w:w="9649" w:type="dxa"/>
        <w:tblInd w:w="-15" w:type="dxa"/>
        <w:tblLayout w:type="fixed"/>
        <w:tblLook w:val="0000" w:firstRow="0" w:lastRow="0" w:firstColumn="0" w:lastColumn="0" w:noHBand="0" w:noVBand="0"/>
      </w:tblPr>
      <w:tblGrid>
        <w:gridCol w:w="6216"/>
        <w:gridCol w:w="3433"/>
      </w:tblGrid>
      <w:tr w:rsidR="00E40657" w14:paraId="1003DEEB" w14:textId="77777777" w:rsidTr="0058795B">
        <w:trPr>
          <w:cantSplit/>
          <w:trHeight w:hRule="exact" w:val="1231"/>
        </w:trPr>
        <w:tc>
          <w:tcPr>
            <w:tcW w:w="6216" w:type="dxa"/>
            <w:tcBorders>
              <w:top w:val="single" w:sz="4" w:space="0" w:color="000000"/>
              <w:left w:val="single" w:sz="4" w:space="0" w:color="000000"/>
            </w:tcBorders>
            <w:shd w:val="clear" w:color="auto" w:fill="auto"/>
            <w:vAlign w:val="center"/>
          </w:tcPr>
          <w:p w14:paraId="6157AB4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4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51E67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C36A55E" w14:textId="77777777" w:rsidTr="0058795B">
        <w:trPr>
          <w:cantSplit/>
          <w:trHeight w:hRule="exact" w:val="738"/>
        </w:trPr>
        <w:tc>
          <w:tcPr>
            <w:tcW w:w="6216" w:type="dxa"/>
            <w:tcBorders>
              <w:top w:val="single" w:sz="4" w:space="0" w:color="000000"/>
              <w:left w:val="single" w:sz="4" w:space="0" w:color="000000"/>
              <w:bottom w:val="single" w:sz="4" w:space="0" w:color="000000"/>
            </w:tcBorders>
            <w:shd w:val="clear" w:color="auto" w:fill="auto"/>
            <w:vAlign w:val="center"/>
          </w:tcPr>
          <w:p w14:paraId="7F8B95F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azbest</w:t>
            </w:r>
          </w:p>
          <w:p w14:paraId="29041DB6" w14:textId="77777777" w:rsidR="008F52C8" w:rsidRPr="0030358C" w:rsidRDefault="008F52C8" w:rsidP="00732453">
            <w:pPr>
              <w:snapToGrid w:val="0"/>
              <w:jc w:val="center"/>
              <w:rPr>
                <w:rFonts w:ascii="Arial" w:hAnsi="Arial" w:cs="Arial"/>
                <w:b/>
                <w:bCs/>
                <w:sz w:val="22"/>
                <w:szCs w:val="22"/>
                <w:lang w:eastAsia="zh-CN"/>
              </w:rPr>
            </w:pPr>
          </w:p>
        </w:tc>
        <w:tc>
          <w:tcPr>
            <w:tcW w:w="34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F49CF8" w14:textId="77777777" w:rsidR="008F52C8" w:rsidRPr="0030358C" w:rsidRDefault="008F52C8" w:rsidP="00732453">
            <w:pPr>
              <w:snapToGrid w:val="0"/>
              <w:rPr>
                <w:rFonts w:ascii="Arial" w:hAnsi="Arial" w:cs="Arial"/>
                <w:b/>
                <w:bCs/>
                <w:sz w:val="22"/>
                <w:szCs w:val="22"/>
                <w:lang w:eastAsia="zh-CN"/>
              </w:rPr>
            </w:pPr>
          </w:p>
        </w:tc>
      </w:tr>
      <w:tr w:rsidR="00E40657" w14:paraId="108C7ACB" w14:textId="77777777" w:rsidTr="0058795B">
        <w:trPr>
          <w:cantSplit/>
          <w:trHeight w:hRule="exact" w:val="738"/>
        </w:trPr>
        <w:tc>
          <w:tcPr>
            <w:tcW w:w="6216" w:type="dxa"/>
            <w:tcBorders>
              <w:left w:val="single" w:sz="4" w:space="0" w:color="000000"/>
              <w:bottom w:val="single" w:sz="4" w:space="0" w:color="000000"/>
            </w:tcBorders>
            <w:shd w:val="clear" w:color="auto" w:fill="auto"/>
            <w:vAlign w:val="center"/>
          </w:tcPr>
          <w:p w14:paraId="6772E7B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0,1</w:t>
            </w:r>
          </w:p>
          <w:p w14:paraId="3E30CFF1" w14:textId="77777777" w:rsidR="008F52C8" w:rsidRPr="0030358C" w:rsidRDefault="008F52C8" w:rsidP="00732453">
            <w:pPr>
              <w:snapToGrid w:val="0"/>
              <w:jc w:val="center"/>
              <w:rPr>
                <w:rFonts w:ascii="Arial" w:hAnsi="Arial" w:cs="Arial"/>
                <w:b/>
                <w:bCs/>
                <w:sz w:val="22"/>
                <w:szCs w:val="22"/>
                <w:lang w:eastAsia="zh-CN"/>
              </w:rPr>
            </w:pPr>
          </w:p>
        </w:tc>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36A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784F7F9B" w14:textId="77777777" w:rsidR="008F52C8" w:rsidRPr="0030358C" w:rsidRDefault="008F52C8" w:rsidP="008F52C8">
      <w:pPr>
        <w:rPr>
          <w:rFonts w:ascii="Arial" w:hAnsi="Arial" w:cs="Arial"/>
          <w:b/>
          <w:bCs/>
          <w:sz w:val="22"/>
          <w:szCs w:val="22"/>
          <w:lang w:eastAsia="zh-CN"/>
        </w:rPr>
      </w:pPr>
    </w:p>
    <w:p w14:paraId="1CDF508D" w14:textId="77777777" w:rsidR="008F52C8" w:rsidRPr="0030358C" w:rsidRDefault="008F52C8" w:rsidP="008F52C8">
      <w:pPr>
        <w:rPr>
          <w:rFonts w:ascii="Arial" w:hAnsi="Arial" w:cs="Arial"/>
          <w:b/>
          <w:bCs/>
          <w:sz w:val="22"/>
          <w:szCs w:val="22"/>
          <w:lang w:eastAsia="zh-CN"/>
        </w:rPr>
      </w:pPr>
    </w:p>
    <w:p w14:paraId="3E21F2C9" w14:textId="77777777" w:rsidR="008F52C8" w:rsidRPr="0030358C" w:rsidRDefault="00000000" w:rsidP="008F52C8">
      <w:pPr>
        <w:spacing w:after="200" w:line="276" w:lineRule="auto"/>
        <w:rPr>
          <w:rFonts w:ascii="Arial" w:hAnsi="Arial" w:cs="Arial"/>
          <w:b/>
          <w:bCs/>
          <w:sz w:val="22"/>
          <w:szCs w:val="22"/>
          <w:lang w:eastAsia="zh-CN"/>
        </w:rPr>
      </w:pPr>
      <w:r w:rsidRPr="0030358C">
        <w:rPr>
          <w:rFonts w:ascii="Arial" w:eastAsia="Calibri" w:hAnsi="Arial" w:cs="Arial"/>
          <w:b/>
          <w:bCs/>
          <w:sz w:val="22"/>
          <w:szCs w:val="22"/>
          <w:lang w:eastAsia="zh-CN"/>
        </w:rPr>
        <w:t>4.2.</w:t>
      </w:r>
      <w:r w:rsidRPr="0030358C">
        <w:rPr>
          <w:rFonts w:ascii="Arial" w:hAnsi="Arial" w:cs="Arial"/>
          <w:b/>
          <w:bCs/>
          <w:sz w:val="22"/>
          <w:szCs w:val="22"/>
          <w:lang w:eastAsia="zh-CN"/>
        </w:rPr>
        <w:t xml:space="preserve"> Výroba skla, včetně skleněných vláken</w:t>
      </w:r>
    </w:p>
    <w:tbl>
      <w:tblPr>
        <w:tblW w:w="9600" w:type="dxa"/>
        <w:tblInd w:w="-15" w:type="dxa"/>
        <w:tblLayout w:type="fixed"/>
        <w:tblLook w:val="0000" w:firstRow="0" w:lastRow="0" w:firstColumn="0" w:lastColumn="0" w:noHBand="0" w:noVBand="0"/>
      </w:tblPr>
      <w:tblGrid>
        <w:gridCol w:w="1406"/>
        <w:gridCol w:w="1391"/>
        <w:gridCol w:w="1391"/>
        <w:gridCol w:w="1064"/>
        <w:gridCol w:w="1537"/>
        <w:gridCol w:w="1068"/>
        <w:gridCol w:w="91"/>
        <w:gridCol w:w="1652"/>
      </w:tblGrid>
      <w:tr w:rsidR="00E40657" w14:paraId="56734521" w14:textId="77777777" w:rsidTr="00732453">
        <w:trPr>
          <w:cantSplit/>
          <w:trHeight w:hRule="exact" w:val="343"/>
        </w:trPr>
        <w:tc>
          <w:tcPr>
            <w:tcW w:w="6789" w:type="dxa"/>
            <w:gridSpan w:val="5"/>
            <w:tcBorders>
              <w:top w:val="single" w:sz="4" w:space="0" w:color="000000"/>
              <w:left w:val="single" w:sz="4" w:space="0" w:color="000000"/>
              <w:bottom w:val="single" w:sz="4" w:space="0" w:color="000000"/>
            </w:tcBorders>
            <w:shd w:val="clear" w:color="auto" w:fill="auto"/>
            <w:vAlign w:val="center"/>
          </w:tcPr>
          <w:p w14:paraId="376BE06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068" w:type="dxa"/>
            <w:vMerge w:val="restart"/>
            <w:tcBorders>
              <w:top w:val="single" w:sz="4" w:space="0" w:color="000000"/>
              <w:left w:val="single" w:sz="4" w:space="0" w:color="000000"/>
              <w:bottom w:val="single" w:sz="4" w:space="0" w:color="000000"/>
            </w:tcBorders>
            <w:shd w:val="clear" w:color="auto" w:fill="auto"/>
            <w:vAlign w:val="center"/>
          </w:tcPr>
          <w:p w14:paraId="408C07DD" w14:textId="77777777" w:rsidR="008F52C8" w:rsidRPr="0030358C" w:rsidRDefault="00000000" w:rsidP="00732453">
            <w:pPr>
              <w:keepNext/>
              <w:keepLines/>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2R</w:t>
            </w:r>
          </w:p>
          <w:p w14:paraId="57167137" w14:textId="77777777" w:rsidR="008F52C8" w:rsidRPr="0030358C" w:rsidRDefault="00000000" w:rsidP="00732453">
            <w:pPr>
              <w:keepNext/>
              <w:keepLines/>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7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02333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15665A7F" w14:textId="77777777" w:rsidTr="00732453">
        <w:trPr>
          <w:cantSplit/>
          <w:trHeight w:hRule="exact" w:val="343"/>
        </w:trPr>
        <w:tc>
          <w:tcPr>
            <w:tcW w:w="1406" w:type="dxa"/>
            <w:tcBorders>
              <w:left w:val="single" w:sz="4" w:space="0" w:color="000000"/>
              <w:bottom w:val="single" w:sz="4" w:space="0" w:color="000000"/>
            </w:tcBorders>
            <w:shd w:val="clear" w:color="auto" w:fill="auto"/>
            <w:vAlign w:val="center"/>
          </w:tcPr>
          <w:p w14:paraId="1F2FEAC4"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391" w:type="dxa"/>
            <w:tcBorders>
              <w:left w:val="single" w:sz="4" w:space="0" w:color="000000"/>
              <w:bottom w:val="single" w:sz="4" w:space="0" w:color="000000"/>
            </w:tcBorders>
            <w:shd w:val="clear" w:color="auto" w:fill="auto"/>
            <w:vAlign w:val="center"/>
          </w:tcPr>
          <w:p w14:paraId="0C4E2AA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391" w:type="dxa"/>
            <w:tcBorders>
              <w:left w:val="single" w:sz="4" w:space="0" w:color="000000"/>
              <w:bottom w:val="single" w:sz="4" w:space="0" w:color="000000"/>
            </w:tcBorders>
            <w:shd w:val="clear" w:color="auto" w:fill="auto"/>
            <w:vAlign w:val="center"/>
          </w:tcPr>
          <w:p w14:paraId="2DC662FE"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064" w:type="dxa"/>
            <w:tcBorders>
              <w:left w:val="single" w:sz="4" w:space="0" w:color="000000"/>
              <w:bottom w:val="single" w:sz="4" w:space="0" w:color="000000"/>
            </w:tcBorders>
            <w:shd w:val="clear" w:color="auto" w:fill="auto"/>
            <w:vAlign w:val="center"/>
          </w:tcPr>
          <w:p w14:paraId="2ED0717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537" w:type="dxa"/>
            <w:tcBorders>
              <w:left w:val="single" w:sz="4" w:space="0" w:color="000000"/>
              <w:bottom w:val="single" w:sz="4" w:space="0" w:color="000000"/>
            </w:tcBorders>
            <w:shd w:val="clear" w:color="auto" w:fill="auto"/>
            <w:vAlign w:val="center"/>
          </w:tcPr>
          <w:p w14:paraId="0D9D5E6A"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jiné</w:t>
            </w:r>
          </w:p>
        </w:tc>
        <w:tc>
          <w:tcPr>
            <w:tcW w:w="1068" w:type="dxa"/>
            <w:vMerge/>
            <w:tcBorders>
              <w:top w:val="single" w:sz="4" w:space="0" w:color="000000"/>
              <w:left w:val="single" w:sz="4" w:space="0" w:color="000000"/>
              <w:bottom w:val="single" w:sz="4" w:space="0" w:color="000000"/>
            </w:tcBorders>
            <w:shd w:val="clear" w:color="auto" w:fill="auto"/>
            <w:vAlign w:val="center"/>
          </w:tcPr>
          <w:p w14:paraId="693BB1DE" w14:textId="77777777" w:rsidR="008F52C8" w:rsidRPr="0030358C" w:rsidRDefault="008F52C8" w:rsidP="00732453">
            <w:pPr>
              <w:keepNext/>
              <w:keepLines/>
              <w:snapToGrid w:val="0"/>
              <w:rPr>
                <w:rFonts w:ascii="Arial" w:hAnsi="Arial" w:cs="Arial"/>
                <w:b/>
                <w:bCs/>
                <w:sz w:val="22"/>
                <w:szCs w:val="22"/>
                <w:lang w:eastAsia="zh-CN"/>
              </w:rPr>
            </w:pPr>
          </w:p>
        </w:tc>
        <w:tc>
          <w:tcPr>
            <w:tcW w:w="17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2375AE" w14:textId="77777777" w:rsidR="008F52C8" w:rsidRPr="0030358C" w:rsidRDefault="008F52C8" w:rsidP="00732453">
            <w:pPr>
              <w:keepNext/>
              <w:keepLines/>
              <w:snapToGrid w:val="0"/>
              <w:rPr>
                <w:rFonts w:ascii="Arial" w:hAnsi="Arial" w:cs="Arial"/>
                <w:b/>
                <w:bCs/>
                <w:sz w:val="22"/>
                <w:szCs w:val="22"/>
                <w:lang w:eastAsia="zh-CN"/>
              </w:rPr>
            </w:pPr>
          </w:p>
        </w:tc>
      </w:tr>
      <w:tr w:rsidR="00E40657" w14:paraId="3169989E" w14:textId="77777777" w:rsidTr="00732453">
        <w:trPr>
          <w:cantSplit/>
          <w:trHeight w:hRule="exact" w:val="1105"/>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2AA7C27" w14:textId="77777777" w:rsidR="008F52C8" w:rsidRPr="0030358C" w:rsidRDefault="00000000" w:rsidP="00732453">
            <w:pPr>
              <w:keepNext/>
              <w:keepLines/>
              <w:snapToGrid w:val="0"/>
              <w:rPr>
                <w:rFonts w:ascii="Arial" w:hAnsi="Arial" w:cs="Arial"/>
                <w:b/>
                <w:bCs/>
                <w:sz w:val="22"/>
                <w:szCs w:val="22"/>
                <w:vertAlign w:val="superscript"/>
                <w:lang w:eastAsia="zh-CN"/>
              </w:rPr>
            </w:pPr>
            <w:r w:rsidRPr="0030358C">
              <w:rPr>
                <w:rFonts w:ascii="Arial" w:hAnsi="Arial" w:cs="Arial"/>
                <w:b/>
                <w:bCs/>
                <w:sz w:val="22"/>
                <w:szCs w:val="22"/>
                <w:lang w:eastAsia="zh-CN"/>
              </w:rPr>
              <w:t>4.2.1. Výroby skla, vláken, sklářských výrobků, smaltovacích nebo glazurovacích frit nebo skla pro bižuterní zpracování o projektované kapacitě tavení vyšší než 150 t/rok (kód 5.3. dle přílohy č. 2 zákona)</w:t>
            </w:r>
          </w:p>
        </w:tc>
      </w:tr>
      <w:tr w:rsidR="00E40657" w14:paraId="56A5EDE7" w14:textId="77777777" w:rsidTr="00732453">
        <w:trPr>
          <w:cantSplit/>
          <w:trHeight w:hRule="exact" w:val="1411"/>
        </w:trPr>
        <w:tc>
          <w:tcPr>
            <w:tcW w:w="1406" w:type="dxa"/>
            <w:tcBorders>
              <w:left w:val="single" w:sz="4" w:space="0" w:color="000000"/>
              <w:bottom w:val="single" w:sz="4" w:space="0" w:color="000000"/>
            </w:tcBorders>
            <w:shd w:val="clear" w:color="auto" w:fill="auto"/>
            <w:vAlign w:val="center"/>
          </w:tcPr>
          <w:p w14:paraId="3B10C4EF" w14:textId="77777777" w:rsidR="008F52C8" w:rsidRPr="0030358C" w:rsidRDefault="008F52C8" w:rsidP="00732453">
            <w:pPr>
              <w:keepNext/>
              <w:keepLines/>
              <w:snapToGrid w:val="0"/>
              <w:jc w:val="center"/>
              <w:rPr>
                <w:rFonts w:ascii="Arial" w:hAnsi="Arial" w:cs="Arial"/>
                <w:b/>
                <w:bCs/>
                <w:sz w:val="22"/>
                <w:szCs w:val="22"/>
                <w:vertAlign w:val="superscript"/>
                <w:lang w:eastAsia="zh-CN"/>
              </w:rPr>
            </w:pPr>
          </w:p>
          <w:p w14:paraId="0D5FCF02"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100</w:t>
            </w:r>
            <w:r w:rsidRPr="0030358C">
              <w:rPr>
                <w:rFonts w:ascii="Arial" w:hAnsi="Arial" w:cs="Arial"/>
                <w:b/>
                <w:bCs/>
                <w:sz w:val="22"/>
                <w:szCs w:val="22"/>
                <w:vertAlign w:val="superscript"/>
                <w:lang w:eastAsia="zh-CN"/>
              </w:rPr>
              <w:t>1)</w:t>
            </w:r>
          </w:p>
          <w:p w14:paraId="2F952C76"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 xml:space="preserve">     50</w:t>
            </w:r>
            <w:r w:rsidRPr="0030358C">
              <w:rPr>
                <w:rFonts w:ascii="Arial" w:hAnsi="Arial" w:cs="Arial"/>
                <w:b/>
                <w:bCs/>
                <w:sz w:val="22"/>
                <w:szCs w:val="22"/>
                <w:vertAlign w:val="superscript"/>
                <w:lang w:eastAsia="zh-CN"/>
              </w:rPr>
              <w:t>2), 20)</w:t>
            </w:r>
          </w:p>
        </w:tc>
        <w:tc>
          <w:tcPr>
            <w:tcW w:w="1391" w:type="dxa"/>
            <w:tcBorders>
              <w:left w:val="single" w:sz="4" w:space="0" w:color="000000"/>
              <w:bottom w:val="single" w:sz="4" w:space="0" w:color="000000"/>
            </w:tcBorders>
            <w:shd w:val="clear" w:color="auto" w:fill="auto"/>
            <w:vAlign w:val="center"/>
          </w:tcPr>
          <w:p w14:paraId="08D76F35"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500</w:t>
            </w:r>
            <w:r w:rsidRPr="0030358C">
              <w:rPr>
                <w:rFonts w:ascii="Arial" w:hAnsi="Arial" w:cs="Arial"/>
                <w:b/>
                <w:bCs/>
                <w:sz w:val="22"/>
                <w:szCs w:val="22"/>
                <w:vertAlign w:val="superscript"/>
                <w:lang w:eastAsia="zh-CN"/>
              </w:rPr>
              <w:t>3)</w:t>
            </w:r>
          </w:p>
          <w:p w14:paraId="4BD1EA8B" w14:textId="77777777" w:rsidR="008F52C8" w:rsidRPr="0030358C" w:rsidRDefault="00000000" w:rsidP="00732453">
            <w:pPr>
              <w:keepNext/>
              <w:keepLines/>
              <w:ind w:left="-108"/>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1600</w:t>
            </w:r>
            <w:r w:rsidRPr="0030358C">
              <w:rPr>
                <w:rFonts w:ascii="Arial" w:hAnsi="Arial" w:cs="Arial"/>
                <w:b/>
                <w:bCs/>
                <w:sz w:val="22"/>
                <w:szCs w:val="22"/>
                <w:vertAlign w:val="superscript"/>
                <w:lang w:eastAsia="zh-CN"/>
              </w:rPr>
              <w:t>4),20)</w:t>
            </w:r>
          </w:p>
          <w:p w14:paraId="4F1FA95E" w14:textId="77777777" w:rsidR="008F52C8" w:rsidRPr="0030358C" w:rsidRDefault="008F52C8" w:rsidP="00732453">
            <w:pPr>
              <w:keepNext/>
              <w:keepLines/>
              <w:ind w:left="-108"/>
              <w:rPr>
                <w:rFonts w:ascii="Arial" w:hAnsi="Arial" w:cs="Arial"/>
                <w:b/>
                <w:bCs/>
                <w:sz w:val="22"/>
                <w:szCs w:val="22"/>
                <w:vertAlign w:val="superscript"/>
                <w:lang w:eastAsia="zh-CN"/>
              </w:rPr>
            </w:pPr>
          </w:p>
        </w:tc>
        <w:tc>
          <w:tcPr>
            <w:tcW w:w="1391" w:type="dxa"/>
            <w:tcBorders>
              <w:left w:val="single" w:sz="4" w:space="0" w:color="000000"/>
              <w:bottom w:val="single" w:sz="4" w:space="0" w:color="000000"/>
            </w:tcBorders>
            <w:shd w:val="clear" w:color="auto" w:fill="auto"/>
            <w:vAlign w:val="center"/>
          </w:tcPr>
          <w:p w14:paraId="0CB150F2"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2000</w:t>
            </w:r>
            <w:r w:rsidRPr="0030358C">
              <w:rPr>
                <w:rFonts w:ascii="Arial" w:hAnsi="Arial" w:cs="Arial"/>
                <w:b/>
                <w:bCs/>
                <w:sz w:val="22"/>
                <w:szCs w:val="22"/>
                <w:vertAlign w:val="superscript"/>
                <w:lang w:eastAsia="zh-CN"/>
              </w:rPr>
              <w:t>5), 8)</w:t>
            </w:r>
          </w:p>
          <w:p w14:paraId="097B0692" w14:textId="77777777" w:rsidR="008F52C8" w:rsidRPr="0030358C" w:rsidRDefault="00000000" w:rsidP="00732453">
            <w:pPr>
              <w:keepNext/>
              <w:keepLines/>
              <w:jc w:val="center"/>
              <w:rPr>
                <w:rFonts w:ascii="Arial" w:hAnsi="Arial" w:cs="Arial"/>
                <w:b/>
                <w:bCs/>
                <w:sz w:val="22"/>
                <w:szCs w:val="22"/>
                <w:vertAlign w:val="superscript"/>
                <w:lang w:eastAsia="zh-CN"/>
              </w:rPr>
            </w:pPr>
            <w:r w:rsidRPr="0030358C">
              <w:rPr>
                <w:rFonts w:ascii="Arial" w:hAnsi="Arial" w:cs="Arial"/>
                <w:b/>
                <w:bCs/>
                <w:sz w:val="22"/>
                <w:szCs w:val="22"/>
                <w:lang w:eastAsia="zh-CN"/>
              </w:rPr>
              <w:t>1000</w:t>
            </w:r>
            <w:r w:rsidRPr="0030358C">
              <w:rPr>
                <w:rFonts w:ascii="Arial" w:hAnsi="Arial" w:cs="Arial"/>
                <w:b/>
                <w:bCs/>
                <w:sz w:val="22"/>
                <w:szCs w:val="22"/>
                <w:vertAlign w:val="superscript"/>
                <w:lang w:eastAsia="zh-CN"/>
              </w:rPr>
              <w:t>6), 8)</w:t>
            </w:r>
          </w:p>
          <w:p w14:paraId="4FB7BA6C" w14:textId="77777777" w:rsidR="008F52C8" w:rsidRPr="0030358C" w:rsidRDefault="00000000" w:rsidP="00732453">
            <w:pPr>
              <w:keepNext/>
              <w:keepLines/>
              <w:jc w:val="center"/>
              <w:rPr>
                <w:rFonts w:ascii="Arial" w:hAnsi="Arial" w:cs="Arial"/>
                <w:b/>
                <w:bCs/>
                <w:sz w:val="22"/>
                <w:szCs w:val="22"/>
                <w:lang w:eastAsia="zh-CN"/>
              </w:rPr>
            </w:pPr>
            <w:r w:rsidRPr="0030358C">
              <w:rPr>
                <w:rFonts w:ascii="Arial" w:hAnsi="Arial" w:cs="Arial"/>
                <w:b/>
                <w:bCs/>
                <w:sz w:val="22"/>
                <w:szCs w:val="22"/>
                <w:lang w:eastAsia="zh-CN"/>
              </w:rPr>
              <w:t xml:space="preserve">  1200</w:t>
            </w:r>
            <w:r w:rsidRPr="0030358C">
              <w:rPr>
                <w:rFonts w:ascii="Arial" w:hAnsi="Arial" w:cs="Arial"/>
                <w:b/>
                <w:bCs/>
                <w:sz w:val="22"/>
                <w:szCs w:val="22"/>
                <w:vertAlign w:val="superscript"/>
                <w:lang w:eastAsia="zh-CN"/>
              </w:rPr>
              <w:t>7), 8)</w:t>
            </w:r>
          </w:p>
        </w:tc>
        <w:tc>
          <w:tcPr>
            <w:tcW w:w="1064" w:type="dxa"/>
            <w:tcBorders>
              <w:left w:val="single" w:sz="4" w:space="0" w:color="000000"/>
              <w:bottom w:val="single" w:sz="4" w:space="0" w:color="000000"/>
            </w:tcBorders>
            <w:shd w:val="clear" w:color="auto" w:fill="auto"/>
            <w:vAlign w:val="center"/>
          </w:tcPr>
          <w:p w14:paraId="5677A197"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800</w:t>
            </w:r>
            <w:r w:rsidRPr="0030358C">
              <w:rPr>
                <w:rFonts w:ascii="Arial" w:hAnsi="Arial" w:cs="Arial"/>
                <w:b/>
                <w:bCs/>
                <w:sz w:val="22"/>
                <w:szCs w:val="22"/>
                <w:vertAlign w:val="superscript"/>
                <w:lang w:eastAsia="zh-CN"/>
              </w:rPr>
              <w:t>9)</w:t>
            </w:r>
          </w:p>
        </w:tc>
        <w:tc>
          <w:tcPr>
            <w:tcW w:w="1537" w:type="dxa"/>
            <w:tcBorders>
              <w:left w:val="single" w:sz="4" w:space="0" w:color="000000"/>
              <w:bottom w:val="single" w:sz="4" w:space="0" w:color="000000"/>
            </w:tcBorders>
            <w:shd w:val="clear" w:color="auto" w:fill="auto"/>
            <w:vAlign w:val="center"/>
          </w:tcPr>
          <w:p w14:paraId="467F0E53" w14:textId="77777777" w:rsidR="008F52C8" w:rsidRPr="0030358C" w:rsidRDefault="00000000" w:rsidP="00732453">
            <w:pPr>
              <w:keepNext/>
              <w:keepLines/>
              <w:tabs>
                <w:tab w:val="left" w:pos="382"/>
              </w:tab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w:t>
            </w:r>
            <w:r w:rsidRPr="0030358C">
              <w:rPr>
                <w:rFonts w:ascii="Arial" w:hAnsi="Arial" w:cs="Arial"/>
                <w:b/>
                <w:bCs/>
                <w:sz w:val="22"/>
                <w:szCs w:val="22"/>
                <w:vertAlign w:val="superscript"/>
                <w:lang w:eastAsia="zh-CN"/>
              </w:rPr>
              <w:t xml:space="preserve">10) </w:t>
            </w:r>
          </w:p>
          <w:p w14:paraId="13555248"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w:t>
            </w:r>
            <w:r w:rsidRPr="0030358C">
              <w:rPr>
                <w:rFonts w:ascii="Arial" w:hAnsi="Arial" w:cs="Arial"/>
                <w:b/>
                <w:bCs/>
                <w:sz w:val="22"/>
                <w:szCs w:val="22"/>
                <w:vertAlign w:val="superscript"/>
                <w:lang w:eastAsia="zh-CN"/>
              </w:rPr>
              <w:t>11)</w:t>
            </w:r>
          </w:p>
          <w:p w14:paraId="4B425C9D"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21)</w:t>
            </w:r>
          </w:p>
          <w:p w14:paraId="4BE7BF50" w14:textId="77777777" w:rsidR="008F52C8" w:rsidRPr="0030358C" w:rsidRDefault="00000000" w:rsidP="00732453">
            <w:pPr>
              <w:keepNext/>
              <w:keepLines/>
              <w:snapToGrid w:val="0"/>
              <w:ind w:left="-135"/>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12)</w:t>
            </w:r>
          </w:p>
          <w:p w14:paraId="14A33675" w14:textId="77777777" w:rsidR="008F52C8" w:rsidRPr="0030358C" w:rsidRDefault="00000000" w:rsidP="00732453">
            <w:pPr>
              <w:keepNext/>
              <w:keepLines/>
              <w:snapToGrid w:val="0"/>
              <w:ind w:left="-135"/>
              <w:jc w:val="center"/>
              <w:rPr>
                <w:rFonts w:ascii="Arial" w:hAnsi="Arial" w:cs="Arial"/>
                <w:b/>
                <w:bCs/>
                <w:sz w:val="22"/>
                <w:szCs w:val="22"/>
                <w:lang w:eastAsia="zh-CN"/>
              </w:rPr>
            </w:pPr>
            <w:r w:rsidRPr="0030358C">
              <w:rPr>
                <w:rFonts w:ascii="Arial" w:hAnsi="Arial" w:cs="Arial"/>
                <w:b/>
                <w:bCs/>
                <w:sz w:val="22"/>
                <w:szCs w:val="22"/>
                <w:lang w:eastAsia="zh-CN"/>
              </w:rPr>
              <w:t>30</w:t>
            </w:r>
            <w:r w:rsidRPr="0030358C">
              <w:rPr>
                <w:rFonts w:ascii="Arial" w:hAnsi="Arial" w:cs="Arial"/>
                <w:b/>
                <w:bCs/>
                <w:sz w:val="22"/>
                <w:szCs w:val="22"/>
                <w:vertAlign w:val="superscript"/>
                <w:lang w:eastAsia="zh-CN"/>
              </w:rPr>
              <w:t>13)</w:t>
            </w:r>
          </w:p>
        </w:tc>
        <w:tc>
          <w:tcPr>
            <w:tcW w:w="1068" w:type="dxa"/>
            <w:tcBorders>
              <w:left w:val="single" w:sz="4" w:space="0" w:color="000000"/>
              <w:bottom w:val="single" w:sz="4" w:space="0" w:color="000000"/>
            </w:tcBorders>
            <w:shd w:val="clear" w:color="auto" w:fill="auto"/>
            <w:vAlign w:val="center"/>
          </w:tcPr>
          <w:p w14:paraId="546CEA8A"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8</w:t>
            </w:r>
            <w:r w:rsidRPr="0030358C">
              <w:rPr>
                <w:rFonts w:ascii="Arial" w:hAnsi="Arial" w:cs="Arial"/>
                <w:b/>
                <w:bCs/>
                <w:sz w:val="22"/>
                <w:szCs w:val="22"/>
                <w:vertAlign w:val="superscript"/>
                <w:lang w:eastAsia="zh-CN"/>
              </w:rPr>
              <w:t>14)</w:t>
            </w:r>
          </w:p>
          <w:p w14:paraId="716E8746"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13</w:t>
            </w:r>
            <w:r w:rsidRPr="0030358C">
              <w:rPr>
                <w:rFonts w:ascii="Arial" w:hAnsi="Arial" w:cs="Arial"/>
                <w:b/>
                <w:bCs/>
                <w:sz w:val="22"/>
                <w:szCs w:val="22"/>
                <w:vertAlign w:val="superscript"/>
                <w:lang w:eastAsia="zh-CN"/>
              </w:rPr>
              <w:t>6),15)</w:t>
            </w:r>
          </w:p>
          <w:p w14:paraId="38486BC9"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15</w:t>
            </w:r>
            <w:r w:rsidRPr="0030358C">
              <w:rPr>
                <w:rFonts w:ascii="Arial" w:hAnsi="Arial" w:cs="Arial"/>
                <w:b/>
                <w:bCs/>
                <w:sz w:val="22"/>
                <w:szCs w:val="22"/>
                <w:vertAlign w:val="superscript"/>
                <w:lang w:eastAsia="zh-CN"/>
              </w:rPr>
              <w:t>15), 22)</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5BD277"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6679C44C" w14:textId="77777777" w:rsidTr="00732453">
        <w:trPr>
          <w:cantSplit/>
          <w:trHeight w:hRule="exact" w:val="1025"/>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6A4AC7B" w14:textId="77777777" w:rsidR="008F52C8" w:rsidRPr="0030358C" w:rsidRDefault="00000000" w:rsidP="00732453">
            <w:pPr>
              <w:keepNext/>
              <w:keepLines/>
              <w:snapToGrid w:val="0"/>
              <w:rPr>
                <w:rFonts w:ascii="Arial" w:hAnsi="Arial" w:cs="Arial"/>
                <w:b/>
                <w:bCs/>
                <w:sz w:val="22"/>
                <w:szCs w:val="22"/>
                <w:lang w:eastAsia="zh-CN"/>
              </w:rPr>
            </w:pPr>
            <w:r w:rsidRPr="0030358C">
              <w:rPr>
                <w:rFonts w:ascii="Arial" w:hAnsi="Arial" w:cs="Arial"/>
                <w:b/>
                <w:bCs/>
                <w:sz w:val="22"/>
                <w:szCs w:val="22"/>
                <w:lang w:eastAsia="zh-CN"/>
              </w:rPr>
              <w:t>4.2.2. Výroby skla, vláken, sklářských výrobků, smaltovacích nebo glazurovacích frit nebo skla pro bižuterní zpracování o celkové projektované kapacitě tavení nižší než 150 t/rok včetně (kód 5.3. dle přílohy č. 2 zákona)</w:t>
            </w:r>
          </w:p>
        </w:tc>
      </w:tr>
      <w:tr w:rsidR="00E40657" w14:paraId="7E160CC7" w14:textId="77777777" w:rsidTr="00732453">
        <w:trPr>
          <w:cantSplit/>
          <w:trHeight w:hRule="exact" w:val="604"/>
        </w:trPr>
        <w:tc>
          <w:tcPr>
            <w:tcW w:w="1406" w:type="dxa"/>
            <w:tcBorders>
              <w:top w:val="single" w:sz="4" w:space="0" w:color="000000"/>
              <w:left w:val="single" w:sz="4" w:space="0" w:color="000000"/>
              <w:bottom w:val="single" w:sz="4" w:space="0" w:color="000000"/>
            </w:tcBorders>
            <w:shd w:val="clear" w:color="auto" w:fill="auto"/>
            <w:vAlign w:val="center"/>
          </w:tcPr>
          <w:p w14:paraId="686C7ABD"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100</w:t>
            </w:r>
            <w:r w:rsidRPr="0030358C">
              <w:rPr>
                <w:rFonts w:ascii="Arial" w:hAnsi="Arial" w:cs="Arial"/>
                <w:b/>
                <w:bCs/>
                <w:sz w:val="22"/>
                <w:szCs w:val="22"/>
                <w:vertAlign w:val="superscript"/>
                <w:lang w:eastAsia="zh-CN"/>
              </w:rPr>
              <w:t>1)</w:t>
            </w:r>
          </w:p>
          <w:p w14:paraId="24AD8A6A" w14:textId="77777777" w:rsidR="008F52C8" w:rsidRPr="0030358C" w:rsidRDefault="00000000" w:rsidP="00732453">
            <w:pPr>
              <w:keepNext/>
              <w:keepLines/>
              <w:snapToGrid w:val="0"/>
              <w:rPr>
                <w:rFonts w:ascii="Arial" w:hAnsi="Arial" w:cs="Arial"/>
                <w:b/>
                <w:bCs/>
                <w:sz w:val="22"/>
                <w:szCs w:val="22"/>
                <w:lang w:eastAsia="zh-CN"/>
              </w:rPr>
            </w:pPr>
            <w:r w:rsidRPr="0030358C">
              <w:rPr>
                <w:rFonts w:ascii="Arial" w:hAnsi="Arial" w:cs="Arial"/>
                <w:b/>
                <w:bCs/>
                <w:sz w:val="22"/>
                <w:szCs w:val="22"/>
                <w:lang w:eastAsia="zh-CN"/>
              </w:rPr>
              <w:t xml:space="preserve">        50</w:t>
            </w:r>
            <w:r w:rsidRPr="0030358C">
              <w:rPr>
                <w:rFonts w:ascii="Arial" w:hAnsi="Arial" w:cs="Arial"/>
                <w:b/>
                <w:bCs/>
                <w:sz w:val="22"/>
                <w:szCs w:val="22"/>
                <w:vertAlign w:val="superscript"/>
                <w:lang w:eastAsia="zh-CN"/>
              </w:rPr>
              <w:t>2)</w:t>
            </w:r>
          </w:p>
        </w:tc>
        <w:tc>
          <w:tcPr>
            <w:tcW w:w="1391" w:type="dxa"/>
            <w:tcBorders>
              <w:top w:val="single" w:sz="4" w:space="0" w:color="000000"/>
              <w:left w:val="single" w:sz="4" w:space="0" w:color="000000"/>
              <w:bottom w:val="single" w:sz="4" w:space="0" w:color="000000"/>
            </w:tcBorders>
            <w:shd w:val="clear" w:color="auto" w:fill="auto"/>
            <w:vAlign w:val="center"/>
          </w:tcPr>
          <w:p w14:paraId="30A3D19C"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500</w:t>
            </w:r>
            <w:r w:rsidRPr="0030358C">
              <w:rPr>
                <w:rFonts w:ascii="Arial" w:hAnsi="Arial" w:cs="Arial"/>
                <w:b/>
                <w:bCs/>
                <w:sz w:val="22"/>
                <w:szCs w:val="22"/>
                <w:vertAlign w:val="superscript"/>
                <w:lang w:eastAsia="zh-CN"/>
              </w:rPr>
              <w:t>3)</w:t>
            </w:r>
          </w:p>
          <w:p w14:paraId="17AD23FE" w14:textId="77777777" w:rsidR="008F52C8" w:rsidRPr="0030358C" w:rsidRDefault="00000000" w:rsidP="00732453">
            <w:pPr>
              <w:keepNext/>
              <w:keepLines/>
              <w:snapToGrid w:val="0"/>
              <w:rPr>
                <w:rFonts w:ascii="Arial" w:hAnsi="Arial" w:cs="Arial"/>
                <w:b/>
                <w:bCs/>
                <w:sz w:val="22"/>
                <w:szCs w:val="22"/>
                <w:lang w:eastAsia="zh-CN"/>
              </w:rPr>
            </w:pPr>
            <w:r w:rsidRPr="0030358C">
              <w:rPr>
                <w:rFonts w:ascii="Arial" w:hAnsi="Arial" w:cs="Arial"/>
                <w:b/>
                <w:bCs/>
                <w:sz w:val="22"/>
                <w:szCs w:val="22"/>
                <w:lang w:eastAsia="zh-CN"/>
              </w:rPr>
              <w:t xml:space="preserve">     1600</w:t>
            </w:r>
            <w:r w:rsidRPr="0030358C">
              <w:rPr>
                <w:rFonts w:ascii="Arial" w:hAnsi="Arial" w:cs="Arial"/>
                <w:b/>
                <w:bCs/>
                <w:sz w:val="22"/>
                <w:szCs w:val="22"/>
                <w:vertAlign w:val="superscript"/>
                <w:lang w:eastAsia="zh-CN"/>
              </w:rPr>
              <w:t>4)</w:t>
            </w:r>
          </w:p>
        </w:tc>
        <w:tc>
          <w:tcPr>
            <w:tcW w:w="1391" w:type="dxa"/>
            <w:tcBorders>
              <w:top w:val="single" w:sz="4" w:space="0" w:color="000000"/>
              <w:left w:val="single" w:sz="4" w:space="0" w:color="000000"/>
              <w:bottom w:val="single" w:sz="4" w:space="0" w:color="000000"/>
            </w:tcBorders>
            <w:shd w:val="clear" w:color="auto" w:fill="auto"/>
            <w:vAlign w:val="center"/>
          </w:tcPr>
          <w:p w14:paraId="684A8456"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2000</w:t>
            </w:r>
          </w:p>
        </w:tc>
        <w:tc>
          <w:tcPr>
            <w:tcW w:w="1064" w:type="dxa"/>
            <w:tcBorders>
              <w:top w:val="single" w:sz="4" w:space="0" w:color="000000"/>
              <w:left w:val="single" w:sz="4" w:space="0" w:color="000000"/>
              <w:bottom w:val="single" w:sz="4" w:space="0" w:color="000000"/>
            </w:tcBorders>
            <w:shd w:val="clear" w:color="auto" w:fill="auto"/>
            <w:vAlign w:val="center"/>
          </w:tcPr>
          <w:p w14:paraId="0DC3D8DF"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37" w:type="dxa"/>
            <w:tcBorders>
              <w:top w:val="single" w:sz="4" w:space="0" w:color="000000"/>
              <w:left w:val="single" w:sz="4" w:space="0" w:color="000000"/>
              <w:bottom w:val="single" w:sz="4" w:space="0" w:color="000000"/>
            </w:tcBorders>
            <w:shd w:val="clear" w:color="auto" w:fill="auto"/>
            <w:vAlign w:val="center"/>
          </w:tcPr>
          <w:p w14:paraId="2D639FA1"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159" w:type="dxa"/>
            <w:gridSpan w:val="2"/>
            <w:tcBorders>
              <w:top w:val="single" w:sz="4" w:space="0" w:color="000000"/>
              <w:left w:val="single" w:sz="4" w:space="0" w:color="000000"/>
              <w:bottom w:val="single" w:sz="4" w:space="0" w:color="000000"/>
            </w:tcBorders>
            <w:shd w:val="clear" w:color="auto" w:fill="auto"/>
            <w:vAlign w:val="center"/>
          </w:tcPr>
          <w:p w14:paraId="61EFBB4D"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13</w:t>
            </w:r>
            <w:r w:rsidRPr="0030358C">
              <w:rPr>
                <w:rFonts w:ascii="Arial" w:hAnsi="Arial" w:cs="Arial"/>
                <w:b/>
                <w:bCs/>
                <w:sz w:val="22"/>
                <w:szCs w:val="22"/>
                <w:vertAlign w:val="superscript"/>
                <w:lang w:eastAsia="zh-CN"/>
              </w:rPr>
              <w:t>15)</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174AE"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r w:rsidR="00E40657" w14:paraId="0BC3F564" w14:textId="77777777" w:rsidTr="00732453">
        <w:trPr>
          <w:cantSplit/>
          <w:trHeight w:hRule="exact" w:val="604"/>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EF518C4" w14:textId="77777777" w:rsidR="008F52C8" w:rsidRPr="0030358C" w:rsidRDefault="00000000" w:rsidP="00732453">
            <w:pPr>
              <w:keepNext/>
              <w:keepLines/>
              <w:snapToGrid w:val="0"/>
              <w:rPr>
                <w:rFonts w:ascii="Arial" w:hAnsi="Arial" w:cs="Arial"/>
                <w:b/>
                <w:bCs/>
                <w:sz w:val="22"/>
                <w:szCs w:val="22"/>
                <w:lang w:eastAsia="zh-CN"/>
              </w:rPr>
            </w:pPr>
            <w:r w:rsidRPr="0030358C">
              <w:rPr>
                <w:rFonts w:ascii="Arial" w:hAnsi="Arial" w:cs="Arial"/>
                <w:b/>
                <w:bCs/>
                <w:sz w:val="22"/>
                <w:szCs w:val="22"/>
                <w:lang w:eastAsia="zh-CN"/>
              </w:rPr>
              <w:t>4.2.3. Výroba kompozitních skleněných vláken s použitím organických pojiv (kód 5.4. dle přílohy č. 2 zákona)</w:t>
            </w:r>
          </w:p>
        </w:tc>
      </w:tr>
      <w:tr w:rsidR="00E40657" w14:paraId="560870A0" w14:textId="77777777" w:rsidTr="00732453">
        <w:trPr>
          <w:cantSplit/>
          <w:trHeight w:hRule="exact" w:val="598"/>
        </w:trPr>
        <w:tc>
          <w:tcPr>
            <w:tcW w:w="1406" w:type="dxa"/>
            <w:tcBorders>
              <w:left w:val="single" w:sz="4" w:space="0" w:color="000000"/>
              <w:bottom w:val="single" w:sz="4" w:space="0" w:color="000000"/>
            </w:tcBorders>
            <w:shd w:val="clear" w:color="auto" w:fill="auto"/>
            <w:vAlign w:val="center"/>
          </w:tcPr>
          <w:p w14:paraId="77A9BD2A"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16)</w:t>
            </w:r>
          </w:p>
          <w:p w14:paraId="45CAEB2B"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75</w:t>
            </w:r>
            <w:r w:rsidRPr="0030358C">
              <w:rPr>
                <w:rFonts w:ascii="Arial" w:hAnsi="Arial" w:cs="Arial"/>
                <w:b/>
                <w:bCs/>
                <w:sz w:val="22"/>
                <w:szCs w:val="22"/>
                <w:vertAlign w:val="superscript"/>
                <w:lang w:eastAsia="zh-CN"/>
              </w:rPr>
              <w:t>17)</w:t>
            </w:r>
          </w:p>
        </w:tc>
        <w:tc>
          <w:tcPr>
            <w:tcW w:w="1391" w:type="dxa"/>
            <w:tcBorders>
              <w:left w:val="single" w:sz="4" w:space="0" w:color="000000"/>
              <w:bottom w:val="single" w:sz="4" w:space="0" w:color="000000"/>
            </w:tcBorders>
            <w:shd w:val="clear" w:color="auto" w:fill="auto"/>
            <w:vAlign w:val="center"/>
          </w:tcPr>
          <w:p w14:paraId="14ACB4A7"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800</w:t>
            </w:r>
            <w:r w:rsidRPr="0030358C">
              <w:rPr>
                <w:rFonts w:ascii="Arial" w:hAnsi="Arial" w:cs="Arial"/>
                <w:b/>
                <w:bCs/>
                <w:sz w:val="22"/>
                <w:szCs w:val="22"/>
                <w:vertAlign w:val="superscript"/>
                <w:lang w:eastAsia="zh-CN"/>
              </w:rPr>
              <w:t>3)</w:t>
            </w:r>
          </w:p>
          <w:p w14:paraId="409B30F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1600</w:t>
            </w:r>
            <w:r w:rsidRPr="0030358C">
              <w:rPr>
                <w:rFonts w:ascii="Arial" w:hAnsi="Arial" w:cs="Arial"/>
                <w:b/>
                <w:bCs/>
                <w:sz w:val="22"/>
                <w:szCs w:val="22"/>
                <w:vertAlign w:val="superscript"/>
                <w:lang w:eastAsia="zh-CN"/>
              </w:rPr>
              <w:t>4)</w:t>
            </w:r>
          </w:p>
        </w:tc>
        <w:tc>
          <w:tcPr>
            <w:tcW w:w="1391" w:type="dxa"/>
            <w:tcBorders>
              <w:left w:val="single" w:sz="4" w:space="0" w:color="000000"/>
              <w:bottom w:val="single" w:sz="4" w:space="0" w:color="000000"/>
            </w:tcBorders>
            <w:shd w:val="clear" w:color="auto" w:fill="auto"/>
            <w:vAlign w:val="center"/>
          </w:tcPr>
          <w:p w14:paraId="1CB1C2A8"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2000</w:t>
            </w:r>
          </w:p>
        </w:tc>
        <w:tc>
          <w:tcPr>
            <w:tcW w:w="1064" w:type="dxa"/>
            <w:tcBorders>
              <w:left w:val="single" w:sz="4" w:space="0" w:color="000000"/>
              <w:bottom w:val="single" w:sz="4" w:space="0" w:color="000000"/>
            </w:tcBorders>
            <w:shd w:val="clear" w:color="auto" w:fill="auto"/>
            <w:vAlign w:val="center"/>
          </w:tcPr>
          <w:p w14:paraId="6A855B7B"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537" w:type="dxa"/>
            <w:tcBorders>
              <w:left w:val="single" w:sz="4" w:space="0" w:color="000000"/>
              <w:bottom w:val="single" w:sz="4" w:space="0" w:color="000000"/>
            </w:tcBorders>
            <w:shd w:val="clear" w:color="auto" w:fill="auto"/>
            <w:vAlign w:val="center"/>
          </w:tcPr>
          <w:p w14:paraId="19135D38"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18)</w:t>
            </w:r>
          </w:p>
        </w:tc>
        <w:tc>
          <w:tcPr>
            <w:tcW w:w="1068" w:type="dxa"/>
            <w:tcBorders>
              <w:left w:val="single" w:sz="4" w:space="0" w:color="000000"/>
              <w:bottom w:val="single" w:sz="4" w:space="0" w:color="000000"/>
            </w:tcBorders>
            <w:shd w:val="clear" w:color="auto" w:fill="auto"/>
            <w:vAlign w:val="center"/>
          </w:tcPr>
          <w:p w14:paraId="16EBF787"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83A2C6"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r w:rsidR="00E40657" w14:paraId="49FA40F3" w14:textId="77777777" w:rsidTr="00732453">
        <w:trPr>
          <w:cantSplit/>
          <w:trHeight w:hRule="exact" w:val="1015"/>
        </w:trPr>
        <w:tc>
          <w:tcPr>
            <w:tcW w:w="96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CD59D24" w14:textId="77777777" w:rsidR="008F52C8" w:rsidRPr="0030358C" w:rsidRDefault="00000000" w:rsidP="00732453">
            <w:pPr>
              <w:keepNext/>
              <w:keepLines/>
              <w:snapToGrid w:val="0"/>
              <w:rPr>
                <w:rFonts w:ascii="Arial" w:hAnsi="Arial" w:cs="Arial"/>
                <w:b/>
                <w:bCs/>
                <w:sz w:val="22"/>
                <w:szCs w:val="22"/>
                <w:lang w:eastAsia="zh-CN"/>
              </w:rPr>
            </w:pPr>
            <w:r w:rsidRPr="0030358C">
              <w:rPr>
                <w:rFonts w:ascii="Arial" w:hAnsi="Arial" w:cs="Arial"/>
                <w:b/>
                <w:bCs/>
                <w:sz w:val="22"/>
                <w:szCs w:val="22"/>
                <w:lang w:eastAsia="zh-CN"/>
              </w:rPr>
              <w:t>4.2.4. Zpracování nebo zušlechťování skla (leštění, malování, mačkání, tavení z polotovarů nebo střepů, výroba bižuterie a jiné) o celkové projektované kapacitě 5 t zpracované skleněné suroviny ročně a vyšší (kód 5.5. dle přílohy č. 2 zákona)</w:t>
            </w:r>
          </w:p>
        </w:tc>
      </w:tr>
      <w:tr w:rsidR="00E40657" w14:paraId="3D13CC05" w14:textId="77777777" w:rsidTr="00732453">
        <w:trPr>
          <w:cantSplit/>
          <w:trHeight w:hRule="exact" w:val="343"/>
        </w:trPr>
        <w:tc>
          <w:tcPr>
            <w:tcW w:w="1406" w:type="dxa"/>
            <w:tcBorders>
              <w:left w:val="single" w:sz="4" w:space="0" w:color="000000"/>
              <w:bottom w:val="single" w:sz="4" w:space="0" w:color="000000"/>
            </w:tcBorders>
            <w:shd w:val="clear" w:color="auto" w:fill="auto"/>
            <w:vAlign w:val="center"/>
          </w:tcPr>
          <w:p w14:paraId="209A801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100</w:t>
            </w:r>
            <w:r w:rsidRPr="0030358C">
              <w:rPr>
                <w:rFonts w:ascii="Arial" w:hAnsi="Arial" w:cs="Arial"/>
                <w:b/>
                <w:bCs/>
                <w:sz w:val="22"/>
                <w:szCs w:val="22"/>
                <w:vertAlign w:val="superscript"/>
                <w:lang w:eastAsia="zh-CN"/>
              </w:rPr>
              <w:t>19)</w:t>
            </w:r>
          </w:p>
        </w:tc>
        <w:tc>
          <w:tcPr>
            <w:tcW w:w="1391" w:type="dxa"/>
            <w:tcBorders>
              <w:left w:val="single" w:sz="4" w:space="0" w:color="000000"/>
              <w:bottom w:val="single" w:sz="4" w:space="0" w:color="000000"/>
            </w:tcBorders>
            <w:shd w:val="clear" w:color="auto" w:fill="auto"/>
            <w:vAlign w:val="center"/>
          </w:tcPr>
          <w:p w14:paraId="62300B8D"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391" w:type="dxa"/>
            <w:tcBorders>
              <w:left w:val="single" w:sz="4" w:space="0" w:color="000000"/>
              <w:bottom w:val="single" w:sz="4" w:space="0" w:color="000000"/>
            </w:tcBorders>
            <w:shd w:val="clear" w:color="auto" w:fill="auto"/>
            <w:vAlign w:val="center"/>
          </w:tcPr>
          <w:p w14:paraId="6838185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500</w:t>
            </w:r>
            <w:r w:rsidRPr="0030358C">
              <w:rPr>
                <w:rFonts w:ascii="Arial" w:hAnsi="Arial" w:cs="Arial"/>
                <w:b/>
                <w:bCs/>
                <w:sz w:val="22"/>
                <w:szCs w:val="22"/>
                <w:vertAlign w:val="superscript"/>
                <w:lang w:eastAsia="zh-CN"/>
              </w:rPr>
              <w:t>19)</w:t>
            </w:r>
          </w:p>
        </w:tc>
        <w:tc>
          <w:tcPr>
            <w:tcW w:w="1064" w:type="dxa"/>
            <w:tcBorders>
              <w:left w:val="single" w:sz="4" w:space="0" w:color="000000"/>
              <w:bottom w:val="single" w:sz="4" w:space="0" w:color="000000"/>
            </w:tcBorders>
            <w:shd w:val="clear" w:color="auto" w:fill="auto"/>
            <w:vAlign w:val="center"/>
          </w:tcPr>
          <w:p w14:paraId="4B0A553D"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800</w:t>
            </w:r>
            <w:r w:rsidRPr="0030358C">
              <w:rPr>
                <w:rFonts w:ascii="Arial" w:hAnsi="Arial" w:cs="Arial"/>
                <w:b/>
                <w:bCs/>
                <w:sz w:val="22"/>
                <w:szCs w:val="22"/>
                <w:vertAlign w:val="superscript"/>
                <w:lang w:eastAsia="zh-CN"/>
              </w:rPr>
              <w:t>19)</w:t>
            </w:r>
          </w:p>
        </w:tc>
        <w:tc>
          <w:tcPr>
            <w:tcW w:w="1537" w:type="dxa"/>
            <w:tcBorders>
              <w:left w:val="single" w:sz="4" w:space="0" w:color="000000"/>
              <w:bottom w:val="single" w:sz="4" w:space="0" w:color="000000"/>
            </w:tcBorders>
            <w:shd w:val="clear" w:color="auto" w:fill="auto"/>
            <w:vAlign w:val="center"/>
          </w:tcPr>
          <w:p w14:paraId="6674CF4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vertAlign w:val="superscript"/>
                <w:lang w:eastAsia="zh-CN"/>
              </w:rPr>
              <w:t xml:space="preserve">- </w:t>
            </w:r>
          </w:p>
        </w:tc>
        <w:tc>
          <w:tcPr>
            <w:tcW w:w="1068" w:type="dxa"/>
            <w:tcBorders>
              <w:left w:val="single" w:sz="4" w:space="0" w:color="000000"/>
              <w:bottom w:val="single" w:sz="4" w:space="0" w:color="000000"/>
            </w:tcBorders>
            <w:shd w:val="clear" w:color="auto" w:fill="auto"/>
            <w:vAlign w:val="center"/>
          </w:tcPr>
          <w:p w14:paraId="2A402FD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77C6D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3B86B25C" w14:textId="77777777" w:rsidR="008F52C8" w:rsidRPr="0030358C" w:rsidRDefault="00000000" w:rsidP="008F52C8">
      <w:pPr>
        <w:spacing w:before="144"/>
        <w:ind w:left="284" w:hanging="284"/>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39754565" w14:textId="77777777" w:rsidR="008F52C8" w:rsidRPr="0030358C" w:rsidRDefault="00000000" w:rsidP="000032A3">
      <w:pPr>
        <w:tabs>
          <w:tab w:val="left" w:pos="-360"/>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 Platí při hmotnostním toku nižším než 2,5 kg/h.</w:t>
      </w:r>
    </w:p>
    <w:p w14:paraId="62F40297"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2) Platí při hmotnostním toku vyšším a rovném 2,5 kg/h.</w:t>
      </w:r>
    </w:p>
    <w:p w14:paraId="46143EF6"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3) Platí při spalování zemního plynu.</w:t>
      </w:r>
    </w:p>
    <w:p w14:paraId="11C0309F"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4) Platí pro ostatní paliva.</w:t>
      </w:r>
    </w:p>
    <w:p w14:paraId="151601A8"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5) Platí pro regenerační kontinuální tavicí agregáty.</w:t>
      </w:r>
    </w:p>
    <w:p w14:paraId="084A3EDC"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6) Platí pro diskontinuální tavicí agregáty.</w:t>
      </w:r>
    </w:p>
    <w:p w14:paraId="235A3393"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7) Platí pro rekuperační kontinuální tavicí agregáty.</w:t>
      </w:r>
    </w:p>
    <w:p w14:paraId="567943FA"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8) V případě, že pro čeření je využíváno dusičnanů, aplikuje se dvojnásobek uvedené hodnoty.</w:t>
      </w:r>
    </w:p>
    <w:p w14:paraId="0531A2CB"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9) Platí při hmotnostním toku rovném nebo větším než 5 kg/h.</w:t>
      </w:r>
    </w:p>
    <w:p w14:paraId="5C3EF879"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10) Platí pro olovo, antimon, mangan, vanad, cín, měď (při hmotnostním toku všech těchto látek rovném nebo větším než 0,05kg/h).</w:t>
      </w:r>
    </w:p>
    <w:p w14:paraId="76CF12AB"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11) Platí pro kobalt, nikl, chrom, arsen, kadmium, selen (při hmotnostním toku všech těchto látek rovném nebo větším než 0,01 kg/h) kromě výroby barevného selenového skla v odvětví plochého skla.</w:t>
      </w:r>
    </w:p>
    <w:p w14:paraId="010C2CBA"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12) Platí pro HF (při hmotnostním toku rovném nebo větším než 0,05 kg/h).</w:t>
      </w:r>
    </w:p>
    <w:p w14:paraId="4B1C7FC3"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13) Platí pro HCl (při hmotnostním toku rovném nebo větším než 0,05 kg/h).</w:t>
      </w:r>
    </w:p>
    <w:p w14:paraId="1F5E2B6B"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14) Platí pro kontinuální tavicí agregáty.</w:t>
      </w:r>
    </w:p>
    <w:p w14:paraId="7AB46310" w14:textId="77777777" w:rsidR="008F52C8" w:rsidRPr="0030358C" w:rsidRDefault="00000000" w:rsidP="000032A3">
      <w:pPr>
        <w:tabs>
          <w:tab w:val="left" w:pos="426"/>
        </w:tabs>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15) Přepočet na O</w:t>
      </w:r>
      <w:r w:rsidRPr="0030358C">
        <w:rPr>
          <w:rFonts w:ascii="Arial" w:hAnsi="Arial" w:cs="Arial"/>
          <w:b/>
          <w:bCs/>
          <w:sz w:val="22"/>
          <w:szCs w:val="22"/>
          <w:vertAlign w:val="subscript"/>
          <w:lang w:eastAsia="zh-CN"/>
        </w:rPr>
        <w:t>2R</w:t>
      </w:r>
      <w:r w:rsidRPr="0030358C">
        <w:rPr>
          <w:rFonts w:ascii="Arial" w:hAnsi="Arial" w:cs="Arial"/>
          <w:b/>
          <w:bCs/>
          <w:sz w:val="22"/>
          <w:szCs w:val="22"/>
          <w:lang w:eastAsia="zh-CN"/>
        </w:rPr>
        <w:t xml:space="preserve"> se neprovádí u diskontinuálních agregátů v době, kdy u nich nedochází ke spalovacímu procesu, a neprovádí se vždy při kyslíkovém tavení, a u pecí s elektrickým otopem. Dále pak se přepočet na O</w:t>
      </w:r>
      <w:r w:rsidRPr="0030358C">
        <w:rPr>
          <w:rFonts w:ascii="Arial" w:hAnsi="Arial" w:cs="Arial"/>
          <w:b/>
          <w:bCs/>
          <w:sz w:val="22"/>
          <w:szCs w:val="22"/>
          <w:vertAlign w:val="subscript"/>
          <w:lang w:eastAsia="zh-CN"/>
        </w:rPr>
        <w:t>2R</w:t>
      </w:r>
      <w:r w:rsidRPr="0030358C">
        <w:rPr>
          <w:rFonts w:ascii="Arial" w:hAnsi="Arial" w:cs="Arial"/>
          <w:b/>
          <w:bCs/>
          <w:sz w:val="22"/>
          <w:szCs w:val="22"/>
          <w:lang w:eastAsia="zh-CN"/>
        </w:rPr>
        <w:t xml:space="preserve"> neprovádí pro ty znečišťující látky, jejichž koncentrace je snižována instalovaným odlučovačem, u kterého je pro chlazení použito mísení spalin se vzduchem.</w:t>
      </w:r>
    </w:p>
    <w:p w14:paraId="754949AE"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lastRenderedPageBreak/>
        <w:t>16) V odpadních plynech z odsávání, dopravy, manipulace se vsázkou a ostatních zařízení, která emitují TZL.</w:t>
      </w:r>
    </w:p>
    <w:p w14:paraId="179C9592"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17) V odpadních plynech z usazování, vytvrzování a sušení vláken s organickými pojivy.</w:t>
      </w:r>
    </w:p>
    <w:p w14:paraId="6D22B12B"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18) Platí pro VOC.</w:t>
      </w:r>
    </w:p>
    <w:p w14:paraId="66F3A220"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19) Platí pro tavení z polotovarů nebo střepů, při kterém je zdrojem tepla spalování paliv. Emisní limit na tuhé znečišťující látky platí pouze tehdy, je-li spalováno jiné palivo než zemní plyn.</w:t>
      </w:r>
    </w:p>
    <w:p w14:paraId="2B9F87DC"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20) Platí pro zdroje, které mají termíny generálních oprav uvedeny v rozhodnutích podle jiného právního předpisu</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platí pro provedení generálních oprav.</w:t>
      </w:r>
    </w:p>
    <w:p w14:paraId="222BBB6C"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21) Platí pro selen při výrobě barevného selenového skla v odvětví plochého skla.</w:t>
      </w:r>
    </w:p>
    <w:p w14:paraId="02C1D011" w14:textId="77777777" w:rsidR="008F52C8" w:rsidRPr="0030358C" w:rsidRDefault="00000000" w:rsidP="000032A3">
      <w:pPr>
        <w:tabs>
          <w:tab w:val="left" w:pos="426"/>
        </w:tabs>
        <w:suppressAutoHyphens/>
        <w:autoSpaceDE w:val="0"/>
        <w:rPr>
          <w:rFonts w:ascii="Arial" w:hAnsi="Arial" w:cs="Arial"/>
          <w:b/>
          <w:bCs/>
          <w:sz w:val="22"/>
          <w:szCs w:val="22"/>
          <w:lang w:eastAsia="zh-CN"/>
        </w:rPr>
      </w:pPr>
      <w:r w:rsidRPr="0030358C">
        <w:rPr>
          <w:rFonts w:ascii="Arial" w:hAnsi="Arial" w:cs="Arial"/>
          <w:b/>
          <w:bCs/>
          <w:sz w:val="22"/>
          <w:szCs w:val="22"/>
          <w:lang w:eastAsia="zh-CN"/>
        </w:rPr>
        <w:t xml:space="preserve">22) Platí pro pece na tavení frity. </w:t>
      </w:r>
    </w:p>
    <w:p w14:paraId="6057C7A2" w14:textId="77777777" w:rsidR="008F52C8" w:rsidRPr="0030358C" w:rsidRDefault="008F52C8" w:rsidP="008F52C8">
      <w:pPr>
        <w:rPr>
          <w:rFonts w:ascii="Arial" w:hAnsi="Arial" w:cs="Arial"/>
          <w:b/>
          <w:bCs/>
          <w:sz w:val="22"/>
          <w:szCs w:val="22"/>
          <w:lang w:eastAsia="zh-CN"/>
        </w:rPr>
      </w:pPr>
    </w:p>
    <w:p w14:paraId="2292792F" w14:textId="77777777" w:rsidR="008F52C8" w:rsidRPr="0030358C" w:rsidRDefault="008F52C8" w:rsidP="008F52C8">
      <w:pPr>
        <w:rPr>
          <w:rFonts w:ascii="Arial" w:hAnsi="Arial" w:cs="Arial"/>
          <w:b/>
          <w:bCs/>
          <w:sz w:val="22"/>
          <w:szCs w:val="22"/>
          <w:lang w:eastAsia="zh-CN"/>
        </w:rPr>
      </w:pPr>
    </w:p>
    <w:p w14:paraId="683FB6B2"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4.2.5. Chemické leštění skla (kód 5.6.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5877"/>
        <w:gridCol w:w="3512"/>
      </w:tblGrid>
      <w:tr w:rsidR="00E40657" w14:paraId="6419D52D" w14:textId="77777777" w:rsidTr="00732453">
        <w:trPr>
          <w:cantSplit/>
          <w:trHeight w:hRule="exact" w:val="682"/>
        </w:trPr>
        <w:tc>
          <w:tcPr>
            <w:tcW w:w="5877" w:type="dxa"/>
            <w:tcBorders>
              <w:top w:val="single" w:sz="2" w:space="0" w:color="000000"/>
              <w:left w:val="single" w:sz="2" w:space="0" w:color="000000"/>
              <w:bottom w:val="single" w:sz="2" w:space="0" w:color="000000"/>
            </w:tcBorders>
            <w:shd w:val="clear" w:color="auto" w:fill="auto"/>
            <w:vAlign w:val="center"/>
          </w:tcPr>
          <w:p w14:paraId="6F50B47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51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627FEF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476E0DF2"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4245A11D" w14:textId="77777777" w:rsidTr="00732453">
        <w:trPr>
          <w:cantSplit/>
          <w:trHeight w:hRule="exact" w:val="331"/>
        </w:trPr>
        <w:tc>
          <w:tcPr>
            <w:tcW w:w="5877" w:type="dxa"/>
            <w:tcBorders>
              <w:top w:val="single" w:sz="2" w:space="0" w:color="000000"/>
              <w:left w:val="single" w:sz="2" w:space="0" w:color="000000"/>
              <w:bottom w:val="single" w:sz="2" w:space="0" w:color="000000"/>
            </w:tcBorders>
            <w:shd w:val="clear" w:color="auto" w:fill="auto"/>
            <w:vAlign w:val="center"/>
          </w:tcPr>
          <w:p w14:paraId="4E141E80"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HF</w:t>
            </w:r>
          </w:p>
        </w:tc>
        <w:tc>
          <w:tcPr>
            <w:tcW w:w="3512" w:type="dxa"/>
            <w:vMerge/>
            <w:tcBorders>
              <w:top w:val="single" w:sz="2" w:space="0" w:color="000000"/>
              <w:left w:val="single" w:sz="2" w:space="0" w:color="000000"/>
              <w:bottom w:val="single" w:sz="2" w:space="0" w:color="000000"/>
              <w:right w:val="single" w:sz="2" w:space="0" w:color="000000"/>
            </w:tcBorders>
            <w:shd w:val="clear" w:color="auto" w:fill="auto"/>
          </w:tcPr>
          <w:p w14:paraId="74E2F7B4" w14:textId="77777777" w:rsidR="008F52C8" w:rsidRPr="0030358C" w:rsidRDefault="008F52C8" w:rsidP="00732453">
            <w:pPr>
              <w:widowControl w:val="0"/>
              <w:autoSpaceDE w:val="0"/>
              <w:snapToGrid w:val="0"/>
              <w:jc w:val="both"/>
              <w:rPr>
                <w:rFonts w:ascii="Arial" w:hAnsi="Arial" w:cs="Arial"/>
                <w:b/>
                <w:bCs/>
                <w:sz w:val="22"/>
                <w:szCs w:val="22"/>
                <w:lang w:eastAsia="zh-CN"/>
              </w:rPr>
            </w:pPr>
          </w:p>
        </w:tc>
      </w:tr>
      <w:tr w:rsidR="00E40657" w14:paraId="24AD77BE" w14:textId="77777777" w:rsidTr="00732453">
        <w:trPr>
          <w:trHeight w:hRule="exact" w:val="340"/>
        </w:trPr>
        <w:tc>
          <w:tcPr>
            <w:tcW w:w="5877" w:type="dxa"/>
            <w:tcBorders>
              <w:top w:val="single" w:sz="2" w:space="0" w:color="000000"/>
              <w:left w:val="single" w:sz="2" w:space="0" w:color="000000"/>
              <w:bottom w:val="single" w:sz="2" w:space="0" w:color="000000"/>
            </w:tcBorders>
            <w:shd w:val="clear" w:color="auto" w:fill="auto"/>
            <w:vAlign w:val="center"/>
          </w:tcPr>
          <w:p w14:paraId="04429E98"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w:t>
            </w:r>
          </w:p>
        </w:tc>
        <w:tc>
          <w:tcPr>
            <w:tcW w:w="35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CAE485"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2DD77B0F" w14:textId="77777777" w:rsidR="008F52C8" w:rsidRPr="0030358C" w:rsidRDefault="008F52C8" w:rsidP="008F52C8">
      <w:pPr>
        <w:rPr>
          <w:rFonts w:ascii="Arial" w:hAnsi="Arial" w:cs="Arial"/>
          <w:b/>
          <w:bCs/>
          <w:sz w:val="22"/>
          <w:szCs w:val="22"/>
          <w:lang w:eastAsia="zh-CN"/>
        </w:rPr>
      </w:pPr>
    </w:p>
    <w:p w14:paraId="3E98A96B" w14:textId="77777777" w:rsidR="008F52C8" w:rsidRPr="0030358C" w:rsidRDefault="008F52C8" w:rsidP="008F52C8">
      <w:pPr>
        <w:rPr>
          <w:rFonts w:ascii="Arial" w:hAnsi="Arial" w:cs="Arial"/>
          <w:b/>
          <w:bCs/>
          <w:sz w:val="22"/>
          <w:szCs w:val="22"/>
          <w:lang w:eastAsia="zh-CN"/>
        </w:rPr>
      </w:pPr>
    </w:p>
    <w:p w14:paraId="01A845D7"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bCs/>
          <w:sz w:val="22"/>
          <w:szCs w:val="22"/>
          <w:lang w:eastAsia="zh-CN"/>
        </w:rPr>
      </w:pPr>
      <w:r w:rsidRPr="0030358C">
        <w:rPr>
          <w:rFonts w:ascii="Arial" w:hAnsi="Arial" w:cs="Arial"/>
          <w:b/>
          <w:bCs/>
          <w:sz w:val="22"/>
          <w:szCs w:val="22"/>
          <w:lang w:eastAsia="zh-CN"/>
        </w:rPr>
        <w:t>4.3. Tavení nerostných materiálů, včetně výroby nerostných vláken</w:t>
      </w:r>
    </w:p>
    <w:p w14:paraId="2F8C0606" w14:textId="77777777" w:rsidR="008F52C8" w:rsidRPr="0030358C" w:rsidRDefault="008F52C8" w:rsidP="008F52C8">
      <w:pPr>
        <w:rPr>
          <w:rFonts w:ascii="Arial" w:hAnsi="Arial" w:cs="Arial"/>
          <w:b/>
          <w:bCs/>
          <w:sz w:val="22"/>
          <w:szCs w:val="22"/>
          <w:lang w:eastAsia="zh-CN"/>
        </w:rPr>
      </w:pPr>
    </w:p>
    <w:p w14:paraId="29CFE182" w14:textId="77777777" w:rsidR="008F52C8" w:rsidRPr="0030358C" w:rsidRDefault="008F52C8" w:rsidP="008F52C8">
      <w:pPr>
        <w:rPr>
          <w:rFonts w:ascii="Arial" w:hAnsi="Arial" w:cs="Arial"/>
          <w:b/>
          <w:bCs/>
          <w:sz w:val="22"/>
          <w:szCs w:val="22"/>
          <w:lang w:eastAsia="zh-CN"/>
        </w:rPr>
      </w:pPr>
    </w:p>
    <w:p w14:paraId="270B089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4.3.1. Zpracování magnezitu nebo výroba bazických žáruvzdorných materiálů nebo křemence apod. (kód 5.7.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1612"/>
        <w:gridCol w:w="1616"/>
        <w:gridCol w:w="1616"/>
        <w:gridCol w:w="2198"/>
      </w:tblGrid>
      <w:tr w:rsidR="00E40657" w14:paraId="10CCC948" w14:textId="77777777" w:rsidTr="00732453">
        <w:trPr>
          <w:cantSplit/>
          <w:trHeight w:hRule="exact" w:val="341"/>
        </w:trPr>
        <w:tc>
          <w:tcPr>
            <w:tcW w:w="4844" w:type="dxa"/>
            <w:gridSpan w:val="3"/>
            <w:tcBorders>
              <w:top w:val="single" w:sz="2" w:space="0" w:color="000000"/>
              <w:left w:val="single" w:sz="2" w:space="0" w:color="000000"/>
              <w:bottom w:val="single" w:sz="2" w:space="0" w:color="000000"/>
            </w:tcBorders>
            <w:shd w:val="clear" w:color="auto" w:fill="auto"/>
            <w:vAlign w:val="center"/>
          </w:tcPr>
          <w:p w14:paraId="6D55483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198" w:type="dxa"/>
            <w:vMerge w:val="restart"/>
            <w:tcBorders>
              <w:top w:val="single" w:sz="2" w:space="0" w:color="000000"/>
              <w:left w:val="single" w:sz="4" w:space="0" w:color="000000"/>
              <w:right w:val="single" w:sz="2" w:space="0" w:color="000000"/>
            </w:tcBorders>
            <w:shd w:val="clear" w:color="auto" w:fill="auto"/>
            <w:vAlign w:val="center"/>
          </w:tcPr>
          <w:p w14:paraId="7BBFF60D"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0E4F3C66"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76A4180C" w14:textId="77777777" w:rsidTr="00732453">
        <w:trPr>
          <w:cantSplit/>
          <w:trHeight w:hRule="exact" w:val="331"/>
        </w:trPr>
        <w:tc>
          <w:tcPr>
            <w:tcW w:w="1612" w:type="dxa"/>
            <w:tcBorders>
              <w:top w:val="single" w:sz="2" w:space="0" w:color="000000"/>
              <w:left w:val="single" w:sz="2" w:space="0" w:color="000000"/>
              <w:bottom w:val="single" w:sz="2" w:space="0" w:color="000000"/>
            </w:tcBorders>
            <w:shd w:val="clear" w:color="auto" w:fill="auto"/>
            <w:vAlign w:val="center"/>
          </w:tcPr>
          <w:p w14:paraId="1B5299C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616" w:type="dxa"/>
            <w:tcBorders>
              <w:top w:val="single" w:sz="2" w:space="0" w:color="000000"/>
              <w:left w:val="single" w:sz="2" w:space="0" w:color="000000"/>
              <w:bottom w:val="single" w:sz="2" w:space="0" w:color="000000"/>
            </w:tcBorders>
            <w:shd w:val="clear" w:color="auto" w:fill="auto"/>
            <w:vAlign w:val="center"/>
          </w:tcPr>
          <w:p w14:paraId="4AE28A90"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616" w:type="dxa"/>
            <w:tcBorders>
              <w:top w:val="single" w:sz="2" w:space="0" w:color="000000"/>
              <w:left w:val="single" w:sz="2" w:space="0" w:color="000000"/>
              <w:bottom w:val="single" w:sz="2" w:space="0" w:color="000000"/>
            </w:tcBorders>
            <w:shd w:val="clear" w:color="auto" w:fill="auto"/>
            <w:vAlign w:val="center"/>
          </w:tcPr>
          <w:p w14:paraId="6FEA8848"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198" w:type="dxa"/>
            <w:vMerge/>
            <w:tcBorders>
              <w:left w:val="single" w:sz="4" w:space="0" w:color="000000"/>
              <w:bottom w:val="single" w:sz="2" w:space="0" w:color="000000"/>
              <w:right w:val="single" w:sz="2" w:space="0" w:color="000000"/>
            </w:tcBorders>
            <w:shd w:val="clear" w:color="auto" w:fill="auto"/>
            <w:vAlign w:val="center"/>
          </w:tcPr>
          <w:p w14:paraId="137B276C" w14:textId="77777777" w:rsidR="008F52C8" w:rsidRPr="0030358C" w:rsidRDefault="008F52C8" w:rsidP="00732453">
            <w:pPr>
              <w:widowControl w:val="0"/>
              <w:autoSpaceDE w:val="0"/>
              <w:snapToGrid w:val="0"/>
              <w:jc w:val="center"/>
              <w:rPr>
                <w:rFonts w:ascii="Arial" w:hAnsi="Arial" w:cs="Arial"/>
                <w:b/>
                <w:bCs/>
                <w:sz w:val="22"/>
                <w:szCs w:val="22"/>
                <w:lang w:eastAsia="zh-CN"/>
              </w:rPr>
            </w:pPr>
          </w:p>
        </w:tc>
      </w:tr>
      <w:tr w:rsidR="00E40657" w14:paraId="1B5A189E" w14:textId="77777777" w:rsidTr="00732453">
        <w:trPr>
          <w:trHeight w:hRule="exact" w:val="850"/>
        </w:trPr>
        <w:tc>
          <w:tcPr>
            <w:tcW w:w="1612" w:type="dxa"/>
            <w:tcBorders>
              <w:top w:val="single" w:sz="2" w:space="0" w:color="000000"/>
              <w:left w:val="single" w:sz="2" w:space="0" w:color="000000"/>
              <w:bottom w:val="single" w:sz="2" w:space="0" w:color="000000"/>
            </w:tcBorders>
            <w:shd w:val="clear" w:color="auto" w:fill="auto"/>
            <w:vAlign w:val="center"/>
          </w:tcPr>
          <w:p w14:paraId="103B7EF2"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1)</w:t>
            </w:r>
          </w:p>
          <w:p w14:paraId="5581C3AF" w14:textId="77777777" w:rsidR="008F52C8" w:rsidRPr="0030358C" w:rsidRDefault="00000000" w:rsidP="00732453">
            <w:pPr>
              <w:widowControl w:val="0"/>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2)</w:t>
            </w:r>
          </w:p>
        </w:tc>
        <w:tc>
          <w:tcPr>
            <w:tcW w:w="1616" w:type="dxa"/>
            <w:tcBorders>
              <w:top w:val="single" w:sz="2" w:space="0" w:color="000000"/>
              <w:left w:val="single" w:sz="2" w:space="0" w:color="000000"/>
              <w:bottom w:val="single" w:sz="2" w:space="0" w:color="000000"/>
            </w:tcBorders>
            <w:shd w:val="clear" w:color="auto" w:fill="auto"/>
            <w:vAlign w:val="center"/>
          </w:tcPr>
          <w:p w14:paraId="6E3CEC22"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400</w:t>
            </w:r>
            <w:r w:rsidRPr="0030358C">
              <w:rPr>
                <w:rFonts w:ascii="Arial" w:hAnsi="Arial" w:cs="Arial"/>
                <w:b/>
                <w:bCs/>
                <w:sz w:val="22"/>
                <w:szCs w:val="22"/>
                <w:vertAlign w:val="superscript"/>
                <w:lang w:eastAsia="zh-CN"/>
              </w:rPr>
              <w:t>1)</w:t>
            </w:r>
          </w:p>
        </w:tc>
        <w:tc>
          <w:tcPr>
            <w:tcW w:w="1616" w:type="dxa"/>
            <w:tcBorders>
              <w:top w:val="single" w:sz="2" w:space="0" w:color="000000"/>
              <w:left w:val="single" w:sz="2" w:space="0" w:color="000000"/>
              <w:bottom w:val="single" w:sz="2" w:space="0" w:color="000000"/>
            </w:tcBorders>
            <w:shd w:val="clear" w:color="auto" w:fill="auto"/>
            <w:vAlign w:val="center"/>
          </w:tcPr>
          <w:p w14:paraId="323BD335"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1000</w:t>
            </w:r>
            <w:r w:rsidRPr="0030358C">
              <w:rPr>
                <w:rFonts w:ascii="Arial" w:hAnsi="Arial" w:cs="Arial"/>
                <w:b/>
                <w:bCs/>
                <w:sz w:val="22"/>
                <w:szCs w:val="22"/>
                <w:vertAlign w:val="superscript"/>
                <w:lang w:eastAsia="zh-CN"/>
              </w:rPr>
              <w:t>3)</w:t>
            </w:r>
          </w:p>
          <w:p w14:paraId="3C225FA9" w14:textId="77777777" w:rsidR="008F52C8" w:rsidRPr="0030358C" w:rsidRDefault="00000000" w:rsidP="00732453">
            <w:pPr>
              <w:widowControl w:val="0"/>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1500</w:t>
            </w:r>
            <w:r w:rsidRPr="0030358C">
              <w:rPr>
                <w:rFonts w:ascii="Arial" w:hAnsi="Arial" w:cs="Arial"/>
                <w:b/>
                <w:bCs/>
                <w:sz w:val="22"/>
                <w:szCs w:val="22"/>
                <w:vertAlign w:val="superscript"/>
                <w:lang w:eastAsia="zh-CN"/>
              </w:rPr>
              <w:t>4,5)</w:t>
            </w:r>
          </w:p>
        </w:tc>
        <w:tc>
          <w:tcPr>
            <w:tcW w:w="219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BCB435"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6A6F2430" w14:textId="77777777" w:rsidR="008F52C8" w:rsidRPr="0030358C" w:rsidRDefault="008F52C8" w:rsidP="008F52C8">
      <w:pPr>
        <w:rPr>
          <w:rFonts w:ascii="Arial" w:hAnsi="Arial" w:cs="Arial"/>
          <w:b/>
          <w:bCs/>
          <w:sz w:val="22"/>
          <w:szCs w:val="22"/>
          <w:lang w:eastAsia="zh-CN"/>
        </w:rPr>
      </w:pPr>
    </w:p>
    <w:p w14:paraId="44CC2785" w14:textId="77777777" w:rsidR="008F52C8" w:rsidRPr="0030358C" w:rsidRDefault="00000000" w:rsidP="008F52C8">
      <w:pPr>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 xml:space="preserve">: </w:t>
      </w:r>
    </w:p>
    <w:p w14:paraId="6714EA3D" w14:textId="77777777" w:rsidR="008F52C8" w:rsidRPr="0030358C" w:rsidRDefault="00000000" w:rsidP="000032A3">
      <w:pPr>
        <w:suppressAutoHyphens/>
        <w:rPr>
          <w:rFonts w:ascii="Arial" w:hAnsi="Arial" w:cs="Arial"/>
          <w:b/>
          <w:bCs/>
          <w:iCs/>
          <w:sz w:val="22"/>
          <w:szCs w:val="22"/>
          <w:lang w:eastAsia="zh-CN"/>
        </w:rPr>
      </w:pPr>
      <w:r w:rsidRPr="0030358C">
        <w:rPr>
          <w:rFonts w:ascii="Arial" w:hAnsi="Arial" w:cs="Arial"/>
          <w:b/>
          <w:bCs/>
          <w:iCs/>
          <w:sz w:val="22"/>
          <w:szCs w:val="22"/>
          <w:lang w:eastAsia="zh-CN"/>
        </w:rPr>
        <w:t>1) Platí pro výpal a sušení hmoty.</w:t>
      </w:r>
    </w:p>
    <w:p w14:paraId="286B0698" w14:textId="77777777" w:rsidR="008F52C8" w:rsidRPr="0030358C" w:rsidRDefault="00000000" w:rsidP="000032A3">
      <w:pPr>
        <w:suppressAutoHyphens/>
        <w:rPr>
          <w:rFonts w:ascii="Arial" w:hAnsi="Arial" w:cs="Arial"/>
          <w:b/>
          <w:bCs/>
          <w:iCs/>
          <w:sz w:val="22"/>
          <w:szCs w:val="22"/>
          <w:lang w:eastAsia="zh-CN"/>
        </w:rPr>
      </w:pPr>
      <w:r w:rsidRPr="0030358C">
        <w:rPr>
          <w:rFonts w:ascii="Arial" w:hAnsi="Arial" w:cs="Arial"/>
          <w:b/>
          <w:bCs/>
          <w:iCs/>
          <w:sz w:val="22"/>
          <w:szCs w:val="22"/>
          <w:lang w:eastAsia="zh-CN"/>
        </w:rPr>
        <w:t>2) Platí pro ostatní operace (manipulace se surovinou, manipulace s výrobkem atd.)</w:t>
      </w:r>
    </w:p>
    <w:p w14:paraId="2CE8C64B" w14:textId="77777777" w:rsidR="008F52C8" w:rsidRPr="0030358C" w:rsidRDefault="00000000" w:rsidP="000032A3">
      <w:pPr>
        <w:suppressAutoHyphens/>
        <w:rPr>
          <w:rFonts w:ascii="Arial" w:hAnsi="Arial" w:cs="Arial"/>
          <w:b/>
          <w:bCs/>
          <w:iCs/>
          <w:sz w:val="22"/>
          <w:szCs w:val="22"/>
          <w:lang w:eastAsia="zh-CN"/>
        </w:rPr>
      </w:pPr>
      <w:r w:rsidRPr="0030358C">
        <w:rPr>
          <w:rFonts w:ascii="Arial" w:hAnsi="Arial" w:cs="Arial"/>
          <w:b/>
          <w:bCs/>
          <w:iCs/>
          <w:sz w:val="22"/>
          <w:szCs w:val="22"/>
          <w:lang w:eastAsia="zh-CN"/>
        </w:rPr>
        <w:t xml:space="preserve">3) Platí při teplotě nižší než </w:t>
      </w:r>
      <w:r w:rsidR="001A3D09" w:rsidRPr="0030358C">
        <w:rPr>
          <w:rFonts w:ascii="Arial" w:hAnsi="Arial" w:cs="Arial"/>
          <w:b/>
          <w:bCs/>
          <w:iCs/>
          <w:sz w:val="22"/>
          <w:szCs w:val="22"/>
          <w:lang w:eastAsia="zh-CN"/>
        </w:rPr>
        <w:t>1300 °C</w:t>
      </w:r>
      <w:r w:rsidRPr="0030358C">
        <w:rPr>
          <w:rFonts w:ascii="Arial" w:hAnsi="Arial" w:cs="Arial"/>
          <w:b/>
          <w:bCs/>
          <w:iCs/>
          <w:sz w:val="22"/>
          <w:szCs w:val="22"/>
          <w:lang w:eastAsia="zh-CN"/>
        </w:rPr>
        <w:t xml:space="preserve"> včetně.</w:t>
      </w:r>
    </w:p>
    <w:p w14:paraId="790BF340" w14:textId="77777777" w:rsidR="008F52C8" w:rsidRPr="0030358C" w:rsidRDefault="00000000" w:rsidP="000032A3">
      <w:pPr>
        <w:suppressAutoHyphens/>
        <w:rPr>
          <w:rFonts w:ascii="Arial" w:hAnsi="Arial" w:cs="Arial"/>
          <w:b/>
          <w:bCs/>
          <w:iCs/>
          <w:sz w:val="22"/>
          <w:szCs w:val="22"/>
          <w:lang w:eastAsia="zh-CN"/>
        </w:rPr>
      </w:pPr>
      <w:r w:rsidRPr="0030358C">
        <w:rPr>
          <w:rFonts w:ascii="Arial" w:hAnsi="Arial" w:cs="Arial"/>
          <w:b/>
          <w:bCs/>
          <w:iCs/>
          <w:sz w:val="22"/>
          <w:szCs w:val="22"/>
          <w:lang w:eastAsia="zh-CN"/>
        </w:rPr>
        <w:t>4) Platí při teplotě vyšší než 1300</w:t>
      </w:r>
      <w:r w:rsidR="001A3D09" w:rsidRPr="0030358C">
        <w:rPr>
          <w:rFonts w:ascii="Arial" w:hAnsi="Arial" w:cs="Arial"/>
          <w:b/>
          <w:bCs/>
          <w:iCs/>
          <w:sz w:val="22"/>
          <w:szCs w:val="22"/>
          <w:lang w:eastAsia="zh-CN"/>
        </w:rPr>
        <w:t xml:space="preserve"> </w:t>
      </w:r>
      <w:r w:rsidRPr="0030358C">
        <w:rPr>
          <w:rFonts w:ascii="Arial" w:hAnsi="Arial" w:cs="Arial"/>
          <w:b/>
          <w:bCs/>
          <w:iCs/>
          <w:sz w:val="22"/>
          <w:szCs w:val="22"/>
          <w:lang w:eastAsia="zh-CN"/>
        </w:rPr>
        <w:t>°C.</w:t>
      </w:r>
    </w:p>
    <w:p w14:paraId="5A7FCD71" w14:textId="77777777" w:rsidR="008F52C8" w:rsidRPr="0030358C" w:rsidRDefault="00000000" w:rsidP="000032A3">
      <w:pPr>
        <w:suppressAutoHyphens/>
        <w:rPr>
          <w:rFonts w:ascii="Arial" w:hAnsi="Arial" w:cs="Arial"/>
          <w:b/>
          <w:bCs/>
          <w:iCs/>
          <w:sz w:val="22"/>
          <w:szCs w:val="22"/>
          <w:lang w:eastAsia="zh-CN"/>
        </w:rPr>
      </w:pPr>
      <w:r w:rsidRPr="0030358C">
        <w:rPr>
          <w:rFonts w:ascii="Arial" w:hAnsi="Arial" w:cs="Arial"/>
          <w:b/>
          <w:bCs/>
          <w:iCs/>
          <w:sz w:val="22"/>
          <w:szCs w:val="22"/>
          <w:lang w:eastAsia="zh-CN"/>
        </w:rPr>
        <w:t>5) Platí pro výpal z hmoty.</w:t>
      </w:r>
    </w:p>
    <w:p w14:paraId="73F9572B" w14:textId="77777777" w:rsidR="008F52C8" w:rsidRPr="0030358C" w:rsidRDefault="008F52C8" w:rsidP="008F52C8">
      <w:pPr>
        <w:rPr>
          <w:rFonts w:ascii="Arial" w:hAnsi="Arial" w:cs="Arial"/>
          <w:b/>
          <w:bCs/>
          <w:sz w:val="22"/>
          <w:szCs w:val="22"/>
          <w:lang w:eastAsia="zh-CN"/>
        </w:rPr>
      </w:pPr>
    </w:p>
    <w:p w14:paraId="3F91F4C6" w14:textId="77777777" w:rsidR="008F52C8" w:rsidRPr="0030358C" w:rsidRDefault="008F52C8" w:rsidP="008F52C8">
      <w:pPr>
        <w:rPr>
          <w:rFonts w:ascii="Arial" w:hAnsi="Arial" w:cs="Arial"/>
          <w:b/>
          <w:bCs/>
          <w:sz w:val="22"/>
          <w:szCs w:val="22"/>
          <w:lang w:eastAsia="zh-CN"/>
        </w:rPr>
      </w:pPr>
    </w:p>
    <w:p w14:paraId="5D6815FC"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4.3.2. Tavení nerostných materiálů v kupolových pecích (kód 5.8.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1758"/>
        <w:gridCol w:w="1758"/>
        <w:gridCol w:w="1759"/>
        <w:gridCol w:w="1400"/>
        <w:gridCol w:w="1711"/>
      </w:tblGrid>
      <w:tr w:rsidR="00E40657" w14:paraId="087171FD" w14:textId="77777777" w:rsidTr="00732453">
        <w:trPr>
          <w:cantSplit/>
          <w:trHeight w:hRule="exact" w:val="341"/>
        </w:trPr>
        <w:tc>
          <w:tcPr>
            <w:tcW w:w="6675" w:type="dxa"/>
            <w:gridSpan w:val="4"/>
            <w:tcBorders>
              <w:top w:val="single" w:sz="2" w:space="0" w:color="000000"/>
              <w:left w:val="single" w:sz="2" w:space="0" w:color="000000"/>
              <w:bottom w:val="single" w:sz="2" w:space="0" w:color="000000"/>
            </w:tcBorders>
            <w:shd w:val="clear" w:color="auto" w:fill="auto"/>
            <w:vAlign w:val="center"/>
          </w:tcPr>
          <w:p w14:paraId="7D205E60"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711" w:type="dxa"/>
            <w:vMerge w:val="restart"/>
            <w:tcBorders>
              <w:top w:val="single" w:sz="2" w:space="0" w:color="000000"/>
              <w:left w:val="single" w:sz="2" w:space="0" w:color="000000"/>
              <w:right w:val="single" w:sz="2" w:space="0" w:color="000000"/>
            </w:tcBorders>
            <w:shd w:val="clear" w:color="auto" w:fill="auto"/>
            <w:vAlign w:val="center"/>
          </w:tcPr>
          <w:p w14:paraId="5DD1966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4C843EFE"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48874B5F" w14:textId="77777777" w:rsidTr="00732453">
        <w:trPr>
          <w:cantSplit/>
          <w:trHeight w:hRule="exact" w:val="331"/>
        </w:trPr>
        <w:tc>
          <w:tcPr>
            <w:tcW w:w="1758" w:type="dxa"/>
            <w:tcBorders>
              <w:top w:val="single" w:sz="2" w:space="0" w:color="000000"/>
              <w:left w:val="single" w:sz="2" w:space="0" w:color="000000"/>
              <w:bottom w:val="single" w:sz="2" w:space="0" w:color="000000"/>
            </w:tcBorders>
            <w:shd w:val="clear" w:color="auto" w:fill="auto"/>
            <w:vAlign w:val="center"/>
          </w:tcPr>
          <w:p w14:paraId="032EB6F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758" w:type="dxa"/>
            <w:tcBorders>
              <w:top w:val="single" w:sz="2" w:space="0" w:color="000000"/>
              <w:left w:val="single" w:sz="2" w:space="0" w:color="000000"/>
              <w:bottom w:val="single" w:sz="2" w:space="0" w:color="000000"/>
            </w:tcBorders>
            <w:shd w:val="clear" w:color="auto" w:fill="auto"/>
            <w:vAlign w:val="center"/>
          </w:tcPr>
          <w:p w14:paraId="322E53E9"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759" w:type="dxa"/>
            <w:tcBorders>
              <w:top w:val="single" w:sz="2" w:space="0" w:color="000000"/>
              <w:left w:val="single" w:sz="2" w:space="0" w:color="000000"/>
              <w:bottom w:val="single" w:sz="2" w:space="0" w:color="000000"/>
            </w:tcBorders>
            <w:shd w:val="clear" w:color="auto" w:fill="auto"/>
            <w:vAlign w:val="center"/>
          </w:tcPr>
          <w:p w14:paraId="3655E93D"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HF</w:t>
            </w:r>
          </w:p>
        </w:tc>
        <w:tc>
          <w:tcPr>
            <w:tcW w:w="1400" w:type="dxa"/>
            <w:tcBorders>
              <w:top w:val="single" w:sz="2" w:space="0" w:color="000000"/>
              <w:left w:val="single" w:sz="2" w:space="0" w:color="000000"/>
              <w:bottom w:val="single" w:sz="2" w:space="0" w:color="000000"/>
            </w:tcBorders>
            <w:shd w:val="clear" w:color="auto" w:fill="auto"/>
            <w:vAlign w:val="center"/>
          </w:tcPr>
          <w:p w14:paraId="18E1A09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HCl</w:t>
            </w:r>
          </w:p>
        </w:tc>
        <w:tc>
          <w:tcPr>
            <w:tcW w:w="1711" w:type="dxa"/>
            <w:vMerge/>
            <w:tcBorders>
              <w:left w:val="single" w:sz="2" w:space="0" w:color="000000"/>
              <w:bottom w:val="single" w:sz="2" w:space="0" w:color="000000"/>
              <w:right w:val="single" w:sz="2" w:space="0" w:color="000000"/>
            </w:tcBorders>
            <w:shd w:val="clear" w:color="auto" w:fill="auto"/>
          </w:tcPr>
          <w:p w14:paraId="22DB0CD0" w14:textId="77777777" w:rsidR="008F52C8" w:rsidRPr="0030358C" w:rsidRDefault="008F52C8" w:rsidP="00732453">
            <w:pPr>
              <w:widowControl w:val="0"/>
              <w:autoSpaceDE w:val="0"/>
              <w:snapToGrid w:val="0"/>
              <w:jc w:val="both"/>
              <w:rPr>
                <w:rFonts w:ascii="Arial" w:hAnsi="Arial" w:cs="Arial"/>
                <w:b/>
                <w:bCs/>
                <w:sz w:val="22"/>
                <w:szCs w:val="22"/>
                <w:lang w:eastAsia="zh-CN"/>
              </w:rPr>
            </w:pPr>
          </w:p>
        </w:tc>
      </w:tr>
      <w:tr w:rsidR="00E40657" w14:paraId="14DD8DE6" w14:textId="77777777" w:rsidTr="00732453">
        <w:trPr>
          <w:trHeight w:hRule="exact" w:val="580"/>
        </w:trPr>
        <w:tc>
          <w:tcPr>
            <w:tcW w:w="1758" w:type="dxa"/>
            <w:tcBorders>
              <w:top w:val="single" w:sz="2" w:space="0" w:color="000000"/>
              <w:left w:val="single" w:sz="2" w:space="0" w:color="000000"/>
              <w:bottom w:val="single" w:sz="2" w:space="0" w:color="000000"/>
            </w:tcBorders>
            <w:shd w:val="clear" w:color="auto" w:fill="auto"/>
            <w:vAlign w:val="center"/>
          </w:tcPr>
          <w:p w14:paraId="0963641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758" w:type="dxa"/>
            <w:tcBorders>
              <w:top w:val="single" w:sz="2" w:space="0" w:color="000000"/>
              <w:left w:val="single" w:sz="2" w:space="0" w:color="000000"/>
              <w:bottom w:val="single" w:sz="2" w:space="0" w:color="000000"/>
            </w:tcBorders>
            <w:shd w:val="clear" w:color="auto" w:fill="auto"/>
            <w:vAlign w:val="center"/>
          </w:tcPr>
          <w:p w14:paraId="450475E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2500</w:t>
            </w:r>
          </w:p>
        </w:tc>
        <w:tc>
          <w:tcPr>
            <w:tcW w:w="1759" w:type="dxa"/>
            <w:tcBorders>
              <w:top w:val="single" w:sz="2" w:space="0" w:color="000000"/>
              <w:left w:val="single" w:sz="2" w:space="0" w:color="000000"/>
              <w:bottom w:val="single" w:sz="2" w:space="0" w:color="000000"/>
            </w:tcBorders>
            <w:shd w:val="clear" w:color="auto" w:fill="auto"/>
            <w:vAlign w:val="center"/>
          </w:tcPr>
          <w:p w14:paraId="572B7EF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10</w:t>
            </w:r>
          </w:p>
        </w:tc>
        <w:tc>
          <w:tcPr>
            <w:tcW w:w="1400" w:type="dxa"/>
            <w:tcBorders>
              <w:top w:val="single" w:sz="2" w:space="0" w:color="000000"/>
              <w:left w:val="single" w:sz="2" w:space="0" w:color="000000"/>
              <w:bottom w:val="single" w:sz="2" w:space="0" w:color="000000"/>
            </w:tcBorders>
            <w:shd w:val="clear" w:color="auto" w:fill="auto"/>
            <w:vAlign w:val="center"/>
          </w:tcPr>
          <w:p w14:paraId="3AB3EE4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7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C9EED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12995C77" w14:textId="77777777" w:rsidR="008F52C8" w:rsidRPr="0030358C" w:rsidRDefault="008F52C8" w:rsidP="008F52C8">
      <w:pPr>
        <w:rPr>
          <w:rFonts w:ascii="Arial" w:hAnsi="Arial" w:cs="Arial"/>
          <w:b/>
          <w:bCs/>
          <w:sz w:val="22"/>
          <w:szCs w:val="22"/>
          <w:lang w:eastAsia="zh-CN"/>
        </w:rPr>
      </w:pPr>
    </w:p>
    <w:p w14:paraId="207D05A4" w14:textId="77777777" w:rsidR="008F52C8" w:rsidRPr="0030358C" w:rsidRDefault="008F52C8" w:rsidP="008F52C8">
      <w:pPr>
        <w:rPr>
          <w:rFonts w:ascii="Arial" w:hAnsi="Arial" w:cs="Arial"/>
          <w:b/>
          <w:bCs/>
          <w:sz w:val="22"/>
          <w:szCs w:val="22"/>
          <w:lang w:eastAsia="zh-CN"/>
        </w:rPr>
      </w:pPr>
    </w:p>
    <w:p w14:paraId="774E3832" w14:textId="77777777" w:rsidR="0052793F" w:rsidRPr="0030358C" w:rsidRDefault="0052793F" w:rsidP="008F52C8">
      <w:pPr>
        <w:rPr>
          <w:rFonts w:ascii="Arial" w:hAnsi="Arial" w:cs="Arial"/>
          <w:b/>
          <w:bCs/>
          <w:sz w:val="22"/>
          <w:szCs w:val="22"/>
          <w:lang w:eastAsia="zh-CN"/>
        </w:rPr>
      </w:pPr>
    </w:p>
    <w:p w14:paraId="0ECECB48"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4.3.3. Výroba kompozitních nerostných vláken s použitím organických pojiv (kód 5.9.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2945"/>
        <w:gridCol w:w="2947"/>
        <w:gridCol w:w="3497"/>
      </w:tblGrid>
      <w:tr w:rsidR="00E40657" w14:paraId="6880F107" w14:textId="77777777" w:rsidTr="00732453">
        <w:trPr>
          <w:cantSplit/>
          <w:trHeight w:hRule="exact" w:val="341"/>
        </w:trPr>
        <w:tc>
          <w:tcPr>
            <w:tcW w:w="5892" w:type="dxa"/>
            <w:gridSpan w:val="2"/>
            <w:tcBorders>
              <w:top w:val="single" w:sz="2" w:space="0" w:color="000000"/>
              <w:left w:val="single" w:sz="2" w:space="0" w:color="000000"/>
              <w:bottom w:val="single" w:sz="2" w:space="0" w:color="000000"/>
            </w:tcBorders>
            <w:shd w:val="clear" w:color="auto" w:fill="auto"/>
            <w:vAlign w:val="center"/>
          </w:tcPr>
          <w:p w14:paraId="2E593909"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497" w:type="dxa"/>
            <w:vMerge w:val="restart"/>
            <w:tcBorders>
              <w:top w:val="single" w:sz="2" w:space="0" w:color="000000"/>
              <w:left w:val="single" w:sz="2" w:space="0" w:color="000000"/>
              <w:right w:val="single" w:sz="2" w:space="0" w:color="000000"/>
            </w:tcBorders>
            <w:shd w:val="clear" w:color="auto" w:fill="auto"/>
            <w:vAlign w:val="center"/>
          </w:tcPr>
          <w:p w14:paraId="2FEDEABB"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5552E751"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6107B862" w14:textId="77777777" w:rsidTr="00732453">
        <w:trPr>
          <w:cantSplit/>
          <w:trHeight w:hRule="exact" w:val="331"/>
        </w:trPr>
        <w:tc>
          <w:tcPr>
            <w:tcW w:w="2945" w:type="dxa"/>
            <w:tcBorders>
              <w:top w:val="single" w:sz="2" w:space="0" w:color="000000"/>
              <w:left w:val="single" w:sz="2" w:space="0" w:color="000000"/>
              <w:bottom w:val="single" w:sz="2" w:space="0" w:color="000000"/>
            </w:tcBorders>
            <w:shd w:val="clear" w:color="auto" w:fill="auto"/>
            <w:vAlign w:val="center"/>
          </w:tcPr>
          <w:p w14:paraId="35AB9B3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947" w:type="dxa"/>
            <w:tcBorders>
              <w:top w:val="single" w:sz="2" w:space="0" w:color="000000"/>
              <w:left w:val="single" w:sz="2" w:space="0" w:color="000000"/>
              <w:bottom w:val="single" w:sz="2" w:space="0" w:color="000000"/>
            </w:tcBorders>
            <w:shd w:val="clear" w:color="auto" w:fill="auto"/>
            <w:vAlign w:val="center"/>
          </w:tcPr>
          <w:p w14:paraId="136F837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3497" w:type="dxa"/>
            <w:vMerge/>
            <w:tcBorders>
              <w:left w:val="single" w:sz="2" w:space="0" w:color="000000"/>
              <w:bottom w:val="single" w:sz="2" w:space="0" w:color="000000"/>
              <w:right w:val="single" w:sz="2" w:space="0" w:color="000000"/>
            </w:tcBorders>
            <w:shd w:val="clear" w:color="auto" w:fill="auto"/>
          </w:tcPr>
          <w:p w14:paraId="38138CA7" w14:textId="77777777" w:rsidR="008F52C8" w:rsidRPr="0030358C" w:rsidRDefault="008F52C8" w:rsidP="00732453">
            <w:pPr>
              <w:widowControl w:val="0"/>
              <w:autoSpaceDE w:val="0"/>
              <w:snapToGrid w:val="0"/>
              <w:jc w:val="both"/>
              <w:rPr>
                <w:rFonts w:ascii="Arial" w:hAnsi="Arial" w:cs="Arial"/>
                <w:b/>
                <w:bCs/>
                <w:sz w:val="22"/>
                <w:szCs w:val="22"/>
                <w:lang w:eastAsia="zh-CN"/>
              </w:rPr>
            </w:pPr>
          </w:p>
        </w:tc>
      </w:tr>
      <w:tr w:rsidR="00E40657" w14:paraId="092F4BED" w14:textId="77777777" w:rsidTr="00732453">
        <w:trPr>
          <w:trHeight w:hRule="exact" w:val="340"/>
        </w:trPr>
        <w:tc>
          <w:tcPr>
            <w:tcW w:w="2945" w:type="dxa"/>
            <w:tcBorders>
              <w:top w:val="single" w:sz="2" w:space="0" w:color="000000"/>
              <w:left w:val="single" w:sz="2" w:space="0" w:color="000000"/>
              <w:bottom w:val="single" w:sz="2" w:space="0" w:color="000000"/>
            </w:tcBorders>
            <w:shd w:val="clear" w:color="auto" w:fill="auto"/>
            <w:vAlign w:val="center"/>
          </w:tcPr>
          <w:p w14:paraId="0039800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2947" w:type="dxa"/>
            <w:tcBorders>
              <w:top w:val="single" w:sz="2" w:space="0" w:color="000000"/>
              <w:left w:val="single" w:sz="2" w:space="0" w:color="000000"/>
              <w:bottom w:val="single" w:sz="2" w:space="0" w:color="000000"/>
            </w:tcBorders>
            <w:shd w:val="clear" w:color="auto" w:fill="auto"/>
            <w:vAlign w:val="center"/>
          </w:tcPr>
          <w:p w14:paraId="38F0C8F5"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34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5A3EFE"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768078AB" w14:textId="77777777" w:rsidR="008F52C8" w:rsidRPr="0030358C" w:rsidRDefault="008F52C8" w:rsidP="008F52C8">
      <w:pPr>
        <w:rPr>
          <w:rFonts w:ascii="Arial" w:hAnsi="Arial" w:cs="Arial"/>
          <w:b/>
          <w:bCs/>
          <w:sz w:val="22"/>
          <w:szCs w:val="22"/>
          <w:lang w:eastAsia="zh-CN"/>
        </w:rPr>
      </w:pPr>
    </w:p>
    <w:p w14:paraId="39A23374" w14:textId="77777777" w:rsidR="008F52C8" w:rsidRPr="0030358C" w:rsidRDefault="008F52C8" w:rsidP="008F52C8">
      <w:pPr>
        <w:rPr>
          <w:rFonts w:ascii="Arial" w:hAnsi="Arial" w:cs="Arial"/>
          <w:b/>
          <w:bCs/>
          <w:sz w:val="22"/>
          <w:szCs w:val="22"/>
          <w:lang w:eastAsia="zh-CN"/>
        </w:rPr>
      </w:pPr>
    </w:p>
    <w:p w14:paraId="1E9CC262"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4.4. Výroba keramických výrobků</w:t>
      </w:r>
    </w:p>
    <w:p w14:paraId="7ED9E9E3" w14:textId="77777777" w:rsidR="008F52C8" w:rsidRPr="0030358C" w:rsidRDefault="008F52C8" w:rsidP="008F52C8">
      <w:pPr>
        <w:rPr>
          <w:rFonts w:ascii="Arial" w:hAnsi="Arial" w:cs="Arial"/>
          <w:b/>
          <w:bCs/>
          <w:sz w:val="22"/>
          <w:szCs w:val="22"/>
          <w:lang w:eastAsia="zh-CN"/>
        </w:rPr>
      </w:pPr>
    </w:p>
    <w:p w14:paraId="08EEA3D4" w14:textId="77777777" w:rsidR="008F52C8" w:rsidRPr="0030358C" w:rsidRDefault="00000000" w:rsidP="008F52C8">
      <w:pPr>
        <w:keepNext/>
        <w:numPr>
          <w:ilvl w:val="2"/>
          <w:numId w:val="0"/>
        </w:numPr>
        <w:tabs>
          <w:tab w:val="num" w:pos="0"/>
        </w:tab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4.4.1. Výroba keramických výrobků, zejména krytinových tašek, cihel, žáruvzdorných tvárnic, obkládaček, kameniny nebo porcelánu o projektované kapacitě větší než 75 t/den (kód 5.10. dle přílohy č. 2 zákona)</w:t>
      </w:r>
    </w:p>
    <w:tbl>
      <w:tblPr>
        <w:tblW w:w="0" w:type="auto"/>
        <w:tblInd w:w="-15" w:type="dxa"/>
        <w:tblLayout w:type="fixed"/>
        <w:tblLook w:val="0000" w:firstRow="0" w:lastRow="0" w:firstColumn="0" w:lastColumn="0" w:noHBand="0" w:noVBand="0"/>
      </w:tblPr>
      <w:tblGrid>
        <w:gridCol w:w="1459"/>
        <w:gridCol w:w="1459"/>
        <w:gridCol w:w="1462"/>
        <w:gridCol w:w="1458"/>
        <w:gridCol w:w="1466"/>
        <w:gridCol w:w="2296"/>
      </w:tblGrid>
      <w:tr w:rsidR="00E40657" w14:paraId="405B1E04" w14:textId="77777777" w:rsidTr="00732453">
        <w:trPr>
          <w:cantSplit/>
          <w:trHeight w:hRule="exact" w:val="340"/>
        </w:trPr>
        <w:tc>
          <w:tcPr>
            <w:tcW w:w="7304" w:type="dxa"/>
            <w:gridSpan w:val="5"/>
            <w:tcBorders>
              <w:top w:val="single" w:sz="4" w:space="0" w:color="000000"/>
              <w:left w:val="single" w:sz="4" w:space="0" w:color="000000"/>
              <w:bottom w:val="single" w:sz="4" w:space="0" w:color="000000"/>
            </w:tcBorders>
            <w:shd w:val="clear" w:color="auto" w:fill="auto"/>
            <w:vAlign w:val="center"/>
          </w:tcPr>
          <w:p w14:paraId="460FA0F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2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9E9F8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32D70F38" w14:textId="77777777" w:rsidTr="00732453">
        <w:trPr>
          <w:cantSplit/>
          <w:trHeight w:hRule="exact" w:val="340"/>
        </w:trPr>
        <w:tc>
          <w:tcPr>
            <w:tcW w:w="1459" w:type="dxa"/>
            <w:tcBorders>
              <w:left w:val="single" w:sz="4" w:space="0" w:color="000000"/>
              <w:bottom w:val="single" w:sz="4" w:space="0" w:color="000000"/>
            </w:tcBorders>
            <w:shd w:val="clear" w:color="auto" w:fill="auto"/>
            <w:vAlign w:val="center"/>
          </w:tcPr>
          <w:p w14:paraId="029B51BA" w14:textId="77777777" w:rsidR="008F52C8" w:rsidRPr="0030358C" w:rsidRDefault="00000000" w:rsidP="00732453">
            <w:pPr>
              <w:snapToGrid w:val="0"/>
              <w:spacing w:line="240" w:lineRule="atLeast"/>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459" w:type="dxa"/>
            <w:tcBorders>
              <w:left w:val="single" w:sz="4" w:space="0" w:color="000000"/>
              <w:bottom w:val="single" w:sz="4" w:space="0" w:color="000000"/>
            </w:tcBorders>
            <w:shd w:val="clear" w:color="auto" w:fill="auto"/>
            <w:vAlign w:val="center"/>
          </w:tcPr>
          <w:p w14:paraId="1B9B10FB" w14:textId="77777777" w:rsidR="008F52C8" w:rsidRPr="0030358C" w:rsidRDefault="00000000" w:rsidP="00732453">
            <w:pPr>
              <w:snapToGrid w:val="0"/>
              <w:spacing w:line="240" w:lineRule="atLeast"/>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462" w:type="dxa"/>
            <w:tcBorders>
              <w:left w:val="single" w:sz="4" w:space="0" w:color="000000"/>
              <w:bottom w:val="single" w:sz="4" w:space="0" w:color="000000"/>
            </w:tcBorders>
            <w:shd w:val="clear" w:color="auto" w:fill="auto"/>
            <w:vAlign w:val="center"/>
          </w:tcPr>
          <w:p w14:paraId="26E740CF" w14:textId="77777777" w:rsidR="008F52C8" w:rsidRPr="0030358C" w:rsidRDefault="00000000" w:rsidP="00732453">
            <w:pPr>
              <w:snapToGrid w:val="0"/>
              <w:spacing w:line="240" w:lineRule="atLeast"/>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458" w:type="dxa"/>
            <w:tcBorders>
              <w:left w:val="single" w:sz="4" w:space="0" w:color="000000"/>
              <w:bottom w:val="single" w:sz="4" w:space="0" w:color="000000"/>
            </w:tcBorders>
            <w:shd w:val="clear" w:color="auto" w:fill="auto"/>
            <w:vAlign w:val="center"/>
          </w:tcPr>
          <w:p w14:paraId="10AE0497" w14:textId="77777777" w:rsidR="008F52C8" w:rsidRPr="0030358C" w:rsidRDefault="00000000" w:rsidP="00732453">
            <w:pPr>
              <w:snapToGrid w:val="0"/>
              <w:spacing w:line="240" w:lineRule="atLeast"/>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466" w:type="dxa"/>
            <w:tcBorders>
              <w:left w:val="single" w:sz="4" w:space="0" w:color="000000"/>
              <w:bottom w:val="single" w:sz="4" w:space="0" w:color="000000"/>
            </w:tcBorders>
            <w:shd w:val="clear" w:color="auto" w:fill="auto"/>
            <w:vAlign w:val="center"/>
          </w:tcPr>
          <w:p w14:paraId="7EF2E1F4" w14:textId="77777777" w:rsidR="008F52C8" w:rsidRPr="0030358C" w:rsidRDefault="00000000" w:rsidP="00732453">
            <w:pPr>
              <w:snapToGrid w:val="0"/>
              <w:spacing w:line="240" w:lineRule="atLeast"/>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22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D34A52" w14:textId="77777777" w:rsidR="008F52C8" w:rsidRPr="0030358C" w:rsidRDefault="008F52C8" w:rsidP="00732453">
            <w:pPr>
              <w:snapToGrid w:val="0"/>
              <w:rPr>
                <w:rFonts w:ascii="Arial" w:hAnsi="Arial" w:cs="Arial"/>
                <w:b/>
                <w:bCs/>
                <w:sz w:val="22"/>
                <w:szCs w:val="22"/>
                <w:lang w:eastAsia="zh-CN"/>
              </w:rPr>
            </w:pPr>
          </w:p>
        </w:tc>
      </w:tr>
      <w:tr w:rsidR="00E40657" w14:paraId="45782713" w14:textId="77777777" w:rsidTr="00732453">
        <w:trPr>
          <w:trHeight w:hRule="exact" w:val="672"/>
        </w:trPr>
        <w:tc>
          <w:tcPr>
            <w:tcW w:w="1459" w:type="dxa"/>
            <w:tcBorders>
              <w:left w:val="single" w:sz="4" w:space="0" w:color="000000"/>
              <w:bottom w:val="single" w:sz="4" w:space="0" w:color="000000"/>
            </w:tcBorders>
            <w:shd w:val="clear" w:color="auto" w:fill="auto"/>
            <w:vAlign w:val="center"/>
          </w:tcPr>
          <w:p w14:paraId="7F6FB29A" w14:textId="77777777" w:rsidR="008F52C8" w:rsidRPr="0030358C" w:rsidRDefault="00000000" w:rsidP="00732453">
            <w:pPr>
              <w:snapToGrid w:val="0"/>
              <w:spacing w:before="40" w:line="240" w:lineRule="atLeast"/>
              <w:jc w:val="center"/>
              <w:rPr>
                <w:rFonts w:ascii="Arial" w:hAnsi="Arial" w:cs="Arial"/>
                <w:b/>
                <w:bCs/>
                <w:sz w:val="22"/>
                <w:szCs w:val="22"/>
                <w:vertAlign w:val="superscript"/>
                <w:lang w:eastAsia="zh-CN"/>
              </w:rPr>
            </w:pPr>
            <w:r w:rsidRPr="0030358C">
              <w:rPr>
                <w:rFonts w:ascii="Arial" w:hAnsi="Arial" w:cs="Arial"/>
                <w:b/>
                <w:bCs/>
                <w:sz w:val="22"/>
                <w:szCs w:val="22"/>
                <w:lang w:eastAsia="zh-CN"/>
              </w:rPr>
              <w:t>75</w:t>
            </w:r>
          </w:p>
        </w:tc>
        <w:tc>
          <w:tcPr>
            <w:tcW w:w="1459" w:type="dxa"/>
            <w:tcBorders>
              <w:left w:val="single" w:sz="4" w:space="0" w:color="000000"/>
              <w:bottom w:val="single" w:sz="4" w:space="0" w:color="000000"/>
            </w:tcBorders>
            <w:shd w:val="clear" w:color="auto" w:fill="auto"/>
            <w:vAlign w:val="center"/>
          </w:tcPr>
          <w:p w14:paraId="7B23C749" w14:textId="77777777" w:rsidR="008F52C8" w:rsidRPr="0030358C" w:rsidRDefault="00000000" w:rsidP="00732453">
            <w:pPr>
              <w:snapToGrid w:val="0"/>
              <w:spacing w:before="40" w:line="240" w:lineRule="atLeast"/>
              <w:jc w:val="center"/>
              <w:rPr>
                <w:rFonts w:ascii="Arial" w:hAnsi="Arial" w:cs="Arial"/>
                <w:b/>
                <w:bCs/>
                <w:sz w:val="22"/>
                <w:szCs w:val="22"/>
                <w:vertAlign w:val="superscript"/>
                <w:lang w:eastAsia="zh-CN"/>
              </w:rPr>
            </w:pPr>
            <w:r w:rsidRPr="0030358C">
              <w:rPr>
                <w:rFonts w:ascii="Arial" w:hAnsi="Arial" w:cs="Arial"/>
                <w:b/>
                <w:bCs/>
                <w:sz w:val="22"/>
                <w:szCs w:val="22"/>
                <w:lang w:eastAsia="zh-CN"/>
              </w:rPr>
              <w:t>1500</w:t>
            </w:r>
          </w:p>
        </w:tc>
        <w:tc>
          <w:tcPr>
            <w:tcW w:w="1462" w:type="dxa"/>
            <w:tcBorders>
              <w:left w:val="single" w:sz="4" w:space="0" w:color="000000"/>
              <w:bottom w:val="single" w:sz="4" w:space="0" w:color="000000"/>
            </w:tcBorders>
            <w:shd w:val="clear" w:color="auto" w:fill="auto"/>
            <w:vAlign w:val="center"/>
          </w:tcPr>
          <w:p w14:paraId="26A139C7" w14:textId="77777777" w:rsidR="008F52C8" w:rsidRPr="0030358C" w:rsidRDefault="00000000" w:rsidP="00732453">
            <w:pPr>
              <w:snapToGrid w:val="0"/>
              <w:spacing w:before="40" w:line="240" w:lineRule="atLeast"/>
              <w:jc w:val="center"/>
              <w:rPr>
                <w:rFonts w:ascii="Arial" w:hAnsi="Arial" w:cs="Arial"/>
                <w:b/>
                <w:bCs/>
                <w:sz w:val="22"/>
                <w:szCs w:val="22"/>
                <w:lang w:eastAsia="zh-CN"/>
              </w:rPr>
            </w:pPr>
            <w:r w:rsidRPr="0030358C">
              <w:rPr>
                <w:rFonts w:ascii="Arial" w:hAnsi="Arial" w:cs="Arial"/>
                <w:b/>
                <w:bCs/>
                <w:sz w:val="22"/>
                <w:szCs w:val="22"/>
                <w:lang w:eastAsia="zh-CN"/>
              </w:rPr>
              <w:t>500</w:t>
            </w:r>
          </w:p>
        </w:tc>
        <w:tc>
          <w:tcPr>
            <w:tcW w:w="1458" w:type="dxa"/>
            <w:tcBorders>
              <w:left w:val="single" w:sz="4" w:space="0" w:color="000000"/>
              <w:bottom w:val="single" w:sz="4" w:space="0" w:color="000000"/>
            </w:tcBorders>
            <w:shd w:val="clear" w:color="auto" w:fill="auto"/>
            <w:vAlign w:val="center"/>
          </w:tcPr>
          <w:p w14:paraId="12323D52" w14:textId="77777777" w:rsidR="008F52C8" w:rsidRPr="0030358C" w:rsidRDefault="00000000" w:rsidP="00732453">
            <w:pPr>
              <w:snapToGrid w:val="0"/>
              <w:spacing w:before="40" w:line="240" w:lineRule="atLeast"/>
              <w:jc w:val="center"/>
              <w:rPr>
                <w:rFonts w:ascii="Arial" w:hAnsi="Arial" w:cs="Arial"/>
                <w:b/>
                <w:bCs/>
                <w:sz w:val="22"/>
                <w:szCs w:val="22"/>
                <w:lang w:eastAsia="zh-CN"/>
              </w:rPr>
            </w:pPr>
            <w:r w:rsidRPr="0030358C">
              <w:rPr>
                <w:rFonts w:ascii="Arial" w:hAnsi="Arial" w:cs="Arial"/>
                <w:b/>
                <w:bCs/>
                <w:sz w:val="22"/>
                <w:szCs w:val="22"/>
                <w:lang w:eastAsia="zh-CN"/>
              </w:rPr>
              <w:t>800</w:t>
            </w:r>
          </w:p>
        </w:tc>
        <w:tc>
          <w:tcPr>
            <w:tcW w:w="1466" w:type="dxa"/>
            <w:tcBorders>
              <w:left w:val="single" w:sz="4" w:space="0" w:color="000000"/>
              <w:bottom w:val="single" w:sz="4" w:space="0" w:color="000000"/>
            </w:tcBorders>
            <w:shd w:val="clear" w:color="auto" w:fill="auto"/>
            <w:vAlign w:val="center"/>
          </w:tcPr>
          <w:p w14:paraId="2C6724D8" w14:textId="77777777" w:rsidR="008F52C8" w:rsidRPr="0030358C" w:rsidRDefault="00000000" w:rsidP="00732453">
            <w:pPr>
              <w:snapToGrid w:val="0"/>
              <w:spacing w:before="40" w:line="240" w:lineRule="atLeast"/>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2296" w:type="dxa"/>
            <w:tcBorders>
              <w:left w:val="single" w:sz="4" w:space="0" w:color="000000"/>
              <w:bottom w:val="single" w:sz="4" w:space="0" w:color="000000"/>
              <w:right w:val="single" w:sz="4" w:space="0" w:color="000000"/>
            </w:tcBorders>
            <w:shd w:val="clear" w:color="auto" w:fill="auto"/>
            <w:vAlign w:val="center"/>
          </w:tcPr>
          <w:p w14:paraId="0BFD32D6" w14:textId="77777777" w:rsidR="008F52C8" w:rsidRPr="0030358C" w:rsidRDefault="008F52C8" w:rsidP="00732453">
            <w:pPr>
              <w:snapToGrid w:val="0"/>
              <w:jc w:val="center"/>
              <w:rPr>
                <w:rFonts w:ascii="Arial" w:hAnsi="Arial" w:cs="Arial"/>
                <w:b/>
                <w:bCs/>
                <w:sz w:val="22"/>
                <w:szCs w:val="22"/>
                <w:lang w:eastAsia="zh-CN"/>
              </w:rPr>
            </w:pPr>
          </w:p>
          <w:p w14:paraId="0B93F05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2D7FEC34" w14:textId="77777777" w:rsidR="008F52C8" w:rsidRPr="0030358C" w:rsidRDefault="008F52C8" w:rsidP="008F52C8">
      <w:pPr>
        <w:spacing w:before="60"/>
        <w:ind w:left="720"/>
        <w:rPr>
          <w:rFonts w:ascii="Arial" w:hAnsi="Arial" w:cs="Arial"/>
          <w:b/>
          <w:bCs/>
          <w:iCs/>
          <w:sz w:val="22"/>
          <w:szCs w:val="22"/>
          <w:lang w:eastAsia="zh-CN"/>
        </w:rPr>
      </w:pPr>
    </w:p>
    <w:p w14:paraId="1F955ABD" w14:textId="77777777" w:rsidR="008F52C8" w:rsidRPr="0030358C" w:rsidRDefault="00000000" w:rsidP="008F52C8">
      <w:pPr>
        <w:spacing w:before="60"/>
        <w:jc w:val="both"/>
        <w:rPr>
          <w:rFonts w:ascii="Arial" w:hAnsi="Arial" w:cs="Arial"/>
          <w:b/>
          <w:bCs/>
          <w:sz w:val="22"/>
          <w:szCs w:val="22"/>
          <w:lang w:eastAsia="zh-CN"/>
        </w:rPr>
      </w:pPr>
      <w:r w:rsidRPr="0030358C">
        <w:rPr>
          <w:rFonts w:ascii="Arial" w:hAnsi="Arial" w:cs="Arial"/>
          <w:b/>
          <w:bCs/>
          <w:sz w:val="22"/>
          <w:szCs w:val="22"/>
          <w:lang w:eastAsia="zh-CN"/>
        </w:rPr>
        <w:t>4.5. Kamenolomy, povrchové doly paliv nebo jiných nerostných surovin, zpracování kamene, paliv nebo jiných nerostných surovin (především těžba, vrtání, odstřel, bagrování, třídění, drcení a doprava), výroba nebo zpracování umělého kamene, ušlechtilá kamenická výroba, výroba stavebních hmot nebo betonu nebo recyklační linky stavebních hmot, o celkové projektované kapacitě 25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za den a více. (kód 5.11. dle přílohy č. 2 zákona)</w:t>
      </w:r>
    </w:p>
    <w:p w14:paraId="3FC6C1F4" w14:textId="77777777" w:rsidR="008F52C8" w:rsidRPr="0030358C" w:rsidRDefault="008F52C8" w:rsidP="008F52C8">
      <w:pPr>
        <w:widowControl w:val="0"/>
        <w:numPr>
          <w:ilvl w:val="0"/>
          <w:numId w:val="73"/>
        </w:numPr>
        <w:suppressAutoHyphens/>
        <w:autoSpaceDE w:val="0"/>
        <w:jc w:val="both"/>
        <w:rPr>
          <w:rFonts w:ascii="Arial" w:hAnsi="Arial" w:cs="Arial"/>
          <w:b/>
          <w:bCs/>
          <w:sz w:val="22"/>
          <w:szCs w:val="22"/>
          <w:lang w:eastAsia="zh-CN"/>
        </w:rPr>
      </w:pPr>
    </w:p>
    <w:p w14:paraId="470B7772" w14:textId="77777777" w:rsidR="008F52C8" w:rsidRPr="0030358C" w:rsidRDefault="00000000" w:rsidP="008F52C8">
      <w:pPr>
        <w:widowControl w:val="0"/>
        <w:numPr>
          <w:ilvl w:val="0"/>
          <w:numId w:val="73"/>
        </w:numPr>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1DF22709" w14:textId="77777777" w:rsidR="008F52C8" w:rsidRPr="0030358C" w:rsidRDefault="00000000" w:rsidP="008F52C8">
      <w:pPr>
        <w:widowControl w:val="0"/>
        <w:numPr>
          <w:ilvl w:val="0"/>
          <w:numId w:val="73"/>
        </w:numPr>
        <w:suppressAutoHyphens/>
        <w:autoSpaceDE w:val="0"/>
        <w:jc w:val="both"/>
        <w:rPr>
          <w:rFonts w:ascii="Arial" w:hAnsi="Arial" w:cs="Arial"/>
          <w:b/>
          <w:bCs/>
          <w:sz w:val="22"/>
          <w:szCs w:val="22"/>
          <w:lang w:eastAsia="zh-CN"/>
        </w:rPr>
      </w:pPr>
      <w:r w:rsidRPr="0030358C">
        <w:rPr>
          <w:rFonts w:ascii="Arial" w:hAnsi="Arial" w:cs="Arial"/>
          <w:b/>
          <w:bCs/>
          <w:sz w:val="22"/>
          <w:szCs w:val="22"/>
          <w:lang w:eastAsia="zh-CN"/>
        </w:rPr>
        <w:t>1. Musí být snižovány emise tuhých znečišťujících látek na všech technologických uzlech včetně skladování a přepravy materiálu, kde dochází k emisím tuhých znečišťujících látek do ovzduší. Lze použít například:</w:t>
      </w:r>
    </w:p>
    <w:p w14:paraId="6DD036D8" w14:textId="77777777" w:rsidR="008F52C8" w:rsidRPr="0030358C" w:rsidRDefault="00000000" w:rsidP="008F52C8">
      <w:pPr>
        <w:widowControl w:val="0"/>
        <w:numPr>
          <w:ilvl w:val="0"/>
          <w:numId w:val="178"/>
        </w:numPr>
        <w:tabs>
          <w:tab w:val="left" w:pos="567"/>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zakrytování třídících a drtících zařízení a všech dopravních cest,</w:t>
      </w:r>
    </w:p>
    <w:p w14:paraId="67D4ED9C" w14:textId="77777777" w:rsidR="008F52C8" w:rsidRPr="0030358C" w:rsidRDefault="00000000" w:rsidP="008F52C8">
      <w:pPr>
        <w:widowControl w:val="0"/>
        <w:numPr>
          <w:ilvl w:val="0"/>
          <w:numId w:val="178"/>
        </w:numPr>
        <w:tabs>
          <w:tab w:val="left" w:pos="567"/>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 xml:space="preserve">instalaci zařízení k omezování </w:t>
      </w:r>
      <w:r w:rsidR="0058795B" w:rsidRPr="0030358C">
        <w:rPr>
          <w:rFonts w:ascii="Arial" w:hAnsi="Arial" w:cs="Arial"/>
          <w:b/>
          <w:bCs/>
          <w:sz w:val="22"/>
          <w:szCs w:val="22"/>
          <w:lang w:eastAsia="zh-CN"/>
        </w:rPr>
        <w:t>emisí – odprašovací</w:t>
      </w:r>
      <w:r w:rsidRPr="0030358C">
        <w:rPr>
          <w:rFonts w:ascii="Arial" w:hAnsi="Arial" w:cs="Arial"/>
          <w:b/>
          <w:bCs/>
          <w:sz w:val="22"/>
          <w:szCs w:val="22"/>
          <w:lang w:eastAsia="zh-CN"/>
        </w:rPr>
        <w:t>, mlžící, pěnové, skrápěcí zařízení,</w:t>
      </w:r>
    </w:p>
    <w:p w14:paraId="6EAC5E4C" w14:textId="77777777" w:rsidR="008F52C8" w:rsidRPr="0030358C" w:rsidRDefault="00000000" w:rsidP="008F52C8">
      <w:pPr>
        <w:widowControl w:val="0"/>
        <w:numPr>
          <w:ilvl w:val="0"/>
          <w:numId w:val="178"/>
        </w:numPr>
        <w:tabs>
          <w:tab w:val="left" w:pos="567"/>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 xml:space="preserve">opatření pro skladování prašných </w:t>
      </w:r>
      <w:r w:rsidR="0058795B" w:rsidRPr="0030358C">
        <w:rPr>
          <w:rFonts w:ascii="Arial" w:hAnsi="Arial" w:cs="Arial"/>
          <w:b/>
          <w:bCs/>
          <w:sz w:val="22"/>
          <w:szCs w:val="22"/>
          <w:lang w:eastAsia="zh-CN"/>
        </w:rPr>
        <w:t>materiálů – uzavřené</w:t>
      </w:r>
      <w:r w:rsidRPr="0030358C">
        <w:rPr>
          <w:rFonts w:ascii="Arial" w:hAnsi="Arial" w:cs="Arial"/>
          <w:b/>
          <w:bCs/>
          <w:sz w:val="22"/>
          <w:szCs w:val="22"/>
          <w:lang w:eastAsia="zh-CN"/>
        </w:rPr>
        <w:t xml:space="preserve"> skladovací prostory, umisťování venkovních skládek na závětrnou stranu, jejich skrápění a budování zástěn,</w:t>
      </w:r>
    </w:p>
    <w:p w14:paraId="65AA87A3" w14:textId="77777777" w:rsidR="008F52C8" w:rsidRPr="0030358C" w:rsidRDefault="00000000" w:rsidP="008F52C8">
      <w:pPr>
        <w:widowControl w:val="0"/>
        <w:numPr>
          <w:ilvl w:val="0"/>
          <w:numId w:val="178"/>
        </w:numPr>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 xml:space="preserve">opatření pro přepravu </w:t>
      </w:r>
      <w:r w:rsidR="0058795B" w:rsidRPr="0030358C">
        <w:rPr>
          <w:rFonts w:ascii="Arial" w:hAnsi="Arial" w:cs="Arial"/>
          <w:b/>
          <w:bCs/>
          <w:sz w:val="22"/>
          <w:szCs w:val="22"/>
          <w:lang w:eastAsia="zh-CN"/>
        </w:rPr>
        <w:t>materiálů – pravidelná</w:t>
      </w:r>
      <w:r w:rsidRPr="0030358C">
        <w:rPr>
          <w:rFonts w:ascii="Arial" w:hAnsi="Arial" w:cs="Arial"/>
          <w:b/>
          <w:bCs/>
          <w:sz w:val="22"/>
          <w:szCs w:val="22"/>
          <w:lang w:eastAsia="zh-CN"/>
        </w:rPr>
        <w:t xml:space="preserve"> očista a skrápění komunikací a manipulačních ploch, omezení rychlosti pohybu vozidel v areálu zdroje, zakrývání nákladních prostorů expedujících dopravních prostředků.</w:t>
      </w:r>
    </w:p>
    <w:p w14:paraId="5A226622" w14:textId="77777777" w:rsidR="008F52C8" w:rsidRPr="0030358C" w:rsidRDefault="008F52C8" w:rsidP="008F52C8">
      <w:pPr>
        <w:widowControl w:val="0"/>
        <w:tabs>
          <w:tab w:val="left" w:pos="567"/>
        </w:tabs>
        <w:autoSpaceDE w:val="0"/>
        <w:jc w:val="both"/>
        <w:rPr>
          <w:rFonts w:ascii="Arial" w:hAnsi="Arial" w:cs="Arial"/>
          <w:b/>
          <w:bCs/>
          <w:sz w:val="22"/>
          <w:szCs w:val="22"/>
          <w:lang w:eastAsia="zh-CN"/>
        </w:rPr>
      </w:pPr>
    </w:p>
    <w:p w14:paraId="74B51218"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 xml:space="preserve">2. Při těžbě a zpracování kameniva s obsahem azbestových vláken dodržovat kromě výše uvedených podmínek následující postupy: </w:t>
      </w:r>
    </w:p>
    <w:p w14:paraId="61842A90"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používání pouze takových drtících linek, které umožňují instalaci odprašovacích zařízení,</w:t>
      </w:r>
    </w:p>
    <w:p w14:paraId="2661BC4B"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vrtací zařízení pro přípravu odstřelu musí být vybaveno zařízením pro odsátí a odloučení vrtaného prachu a toto zařízení musí být během vrtacích prací v provozu,</w:t>
      </w:r>
    </w:p>
    <w:p w14:paraId="0E8144E4"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na dopravních pásech může být dopravováno pouze skrápěné kamenivo, na volných (nezakrytých a neodsávaných) výsypkách z dopravních pásů musí být dodržována maximální výška volného pádu skrápěného kameniva 2 metry a u frakce 0/2 mm výška 1 metr,</w:t>
      </w:r>
    </w:p>
    <w:p w14:paraId="103CA8C9"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prašné úsypy z pásových dopravníků a technologických zařízení nesmí být vraceny zpět do procesu drcení a třídění kameniva,</w:t>
      </w:r>
    </w:p>
    <w:p w14:paraId="0223E537"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t>frakce 0/2 mm musí být skladována v silech, popřípadě boxech uzavřených minimálně ze třech stran,</w:t>
      </w:r>
    </w:p>
    <w:p w14:paraId="361D1951" w14:textId="77777777" w:rsidR="008F52C8" w:rsidRPr="0030358C" w:rsidRDefault="00000000" w:rsidP="008F52C8">
      <w:pPr>
        <w:widowControl w:val="0"/>
        <w:numPr>
          <w:ilvl w:val="0"/>
          <w:numId w:val="177"/>
        </w:numPr>
        <w:tabs>
          <w:tab w:val="clear" w:pos="720"/>
          <w:tab w:val="num" w:pos="993"/>
        </w:tabs>
        <w:suppressAutoHyphens/>
        <w:autoSpaceDE w:val="0"/>
        <w:ind w:left="567" w:hanging="567"/>
        <w:jc w:val="both"/>
        <w:rPr>
          <w:rFonts w:ascii="Arial" w:hAnsi="Arial" w:cs="Arial"/>
          <w:b/>
          <w:bCs/>
          <w:sz w:val="22"/>
          <w:szCs w:val="22"/>
          <w:lang w:eastAsia="zh-CN"/>
        </w:rPr>
      </w:pPr>
      <w:r w:rsidRPr="0030358C">
        <w:rPr>
          <w:rFonts w:ascii="Arial" w:hAnsi="Arial" w:cs="Arial"/>
          <w:b/>
          <w:bCs/>
          <w:sz w:val="22"/>
          <w:szCs w:val="22"/>
          <w:lang w:eastAsia="zh-CN"/>
        </w:rPr>
        <w:lastRenderedPageBreak/>
        <w:t>nákladní automobily vyjíždějící z areálu kamenolomu musí být před odjezdem očištěny tlakovou vodou nebo otřesem (roštové pásy, štěrková lože).</w:t>
      </w:r>
    </w:p>
    <w:p w14:paraId="156103F5" w14:textId="77777777" w:rsidR="008F52C8" w:rsidRPr="0030358C" w:rsidRDefault="008F52C8" w:rsidP="008F52C8">
      <w:pPr>
        <w:widowControl w:val="0"/>
        <w:autoSpaceDE w:val="0"/>
        <w:jc w:val="both"/>
        <w:rPr>
          <w:rFonts w:ascii="Arial" w:hAnsi="Arial" w:cs="Arial"/>
          <w:b/>
          <w:bCs/>
          <w:sz w:val="22"/>
          <w:szCs w:val="22"/>
          <w:lang w:eastAsia="zh-CN"/>
        </w:rPr>
      </w:pPr>
    </w:p>
    <w:p w14:paraId="45E19C14"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Provozovatel stacionárního zdroje zjišťuje úroveň znečišťování podle § 6 odst. 1 písm. a) zákona výpočtem. Tímto ustanovením není dotčena povinnost provádět zjišťování úrovně znečišťování měřením, pokud je tak stanoveno v povolení provozu.</w:t>
      </w:r>
    </w:p>
    <w:p w14:paraId="7B2D8F71" w14:textId="77777777" w:rsidR="008F52C8" w:rsidRPr="0030358C" w:rsidRDefault="008F52C8" w:rsidP="008F52C8">
      <w:pPr>
        <w:widowControl w:val="0"/>
        <w:autoSpaceDE w:val="0"/>
        <w:ind w:left="284"/>
        <w:jc w:val="both"/>
        <w:rPr>
          <w:rFonts w:ascii="Arial" w:hAnsi="Arial" w:cs="Arial"/>
          <w:b/>
          <w:bCs/>
          <w:sz w:val="22"/>
          <w:szCs w:val="22"/>
          <w:lang w:eastAsia="zh-CN"/>
        </w:rPr>
      </w:pPr>
    </w:p>
    <w:p w14:paraId="1DE4DCA3" w14:textId="77777777" w:rsidR="008F52C8" w:rsidRPr="0030358C" w:rsidRDefault="008F52C8" w:rsidP="008F52C8">
      <w:pPr>
        <w:rPr>
          <w:rFonts w:ascii="Arial" w:hAnsi="Arial" w:cs="Arial"/>
          <w:b/>
          <w:bCs/>
          <w:sz w:val="22"/>
          <w:szCs w:val="22"/>
          <w:lang w:eastAsia="zh-CN"/>
        </w:rPr>
      </w:pPr>
    </w:p>
    <w:p w14:paraId="6FF112FB" w14:textId="77777777" w:rsidR="008F52C8" w:rsidRPr="0030358C" w:rsidRDefault="00000000" w:rsidP="008F52C8">
      <w:pPr>
        <w:keepNext/>
        <w:numPr>
          <w:ilvl w:val="1"/>
          <w:numId w:val="0"/>
        </w:numPr>
        <w:tabs>
          <w:tab w:val="num" w:pos="0"/>
        </w:tabs>
        <w:suppressAutoHyphens/>
        <w:spacing w:before="60"/>
        <w:ind w:left="426" w:hanging="426"/>
        <w:jc w:val="both"/>
        <w:outlineLvl w:val="2"/>
        <w:rPr>
          <w:rFonts w:ascii="Arial" w:hAnsi="Arial" w:cs="Arial"/>
          <w:b/>
          <w:bCs/>
          <w:sz w:val="22"/>
          <w:szCs w:val="22"/>
          <w:lang w:eastAsia="zh-CN"/>
        </w:rPr>
      </w:pPr>
      <w:r w:rsidRPr="0030358C">
        <w:rPr>
          <w:rFonts w:ascii="Arial" w:hAnsi="Arial" w:cs="Arial"/>
          <w:b/>
          <w:bCs/>
          <w:sz w:val="22"/>
          <w:szCs w:val="22"/>
          <w:lang w:eastAsia="zh-CN"/>
        </w:rPr>
        <w:t>4.6. Obalovny živičných směsí, mísírny živic, recyklace živičných povrchů anebo zpracování nebo nakládání s živicemi s výjimkou konečného nanášení na vozovku (kód 5.14. dle přílohy č. 2 zákona)</w:t>
      </w:r>
    </w:p>
    <w:tbl>
      <w:tblPr>
        <w:tblW w:w="0" w:type="auto"/>
        <w:tblInd w:w="-15" w:type="dxa"/>
        <w:tblLayout w:type="fixed"/>
        <w:tblCellMar>
          <w:left w:w="70" w:type="dxa"/>
          <w:right w:w="70" w:type="dxa"/>
        </w:tblCellMar>
        <w:tblLook w:val="0000" w:firstRow="0" w:lastRow="0" w:firstColumn="0" w:lastColumn="0" w:noHBand="0" w:noVBand="0"/>
      </w:tblPr>
      <w:tblGrid>
        <w:gridCol w:w="1907"/>
        <w:gridCol w:w="1906"/>
        <w:gridCol w:w="1842"/>
        <w:gridCol w:w="1707"/>
        <w:gridCol w:w="2162"/>
      </w:tblGrid>
      <w:tr w:rsidR="00E40657" w14:paraId="102E60FB" w14:textId="77777777" w:rsidTr="00732453">
        <w:trPr>
          <w:cantSplit/>
          <w:trHeight w:val="270"/>
        </w:trPr>
        <w:tc>
          <w:tcPr>
            <w:tcW w:w="5655" w:type="dxa"/>
            <w:gridSpan w:val="3"/>
            <w:tcBorders>
              <w:top w:val="single" w:sz="4" w:space="0" w:color="000000"/>
              <w:left w:val="single" w:sz="4" w:space="0" w:color="000000"/>
              <w:bottom w:val="single" w:sz="4" w:space="0" w:color="000000"/>
            </w:tcBorders>
            <w:shd w:val="clear" w:color="auto" w:fill="auto"/>
          </w:tcPr>
          <w:p w14:paraId="0E72291D"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707" w:type="dxa"/>
            <w:vMerge w:val="restart"/>
            <w:tcBorders>
              <w:top w:val="single" w:sz="4" w:space="0" w:color="000000"/>
              <w:left w:val="single" w:sz="4" w:space="0" w:color="000000"/>
              <w:bottom w:val="single" w:sz="4" w:space="0" w:color="000000"/>
            </w:tcBorders>
            <w:shd w:val="clear" w:color="auto" w:fill="auto"/>
          </w:tcPr>
          <w:p w14:paraId="4C9FEFD0"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2R</w:t>
            </w:r>
            <w:r w:rsidRPr="0030358C">
              <w:rPr>
                <w:rFonts w:ascii="Arial" w:hAnsi="Arial" w:cs="Arial"/>
                <w:b/>
                <w:bCs/>
                <w:sz w:val="22"/>
                <w:szCs w:val="22"/>
                <w:lang w:eastAsia="zh-CN"/>
              </w:rPr>
              <w:t xml:space="preserve"> [%]</w:t>
            </w:r>
          </w:p>
        </w:tc>
        <w:tc>
          <w:tcPr>
            <w:tcW w:w="21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BFD3D5" w14:textId="77777777" w:rsidR="008F52C8" w:rsidRPr="0030358C" w:rsidRDefault="00000000" w:rsidP="00732453">
            <w:pPr>
              <w:keepNext/>
              <w:keepLines/>
              <w:snapToGrid w:val="0"/>
              <w:jc w:val="center"/>
              <w:rPr>
                <w:rFonts w:ascii="Arial" w:hAnsi="Arial" w:cs="Arial"/>
                <w:b/>
                <w:bCs/>
                <w:sz w:val="22"/>
                <w:szCs w:val="22"/>
                <w:lang w:eastAsia="cs-CZ"/>
              </w:rPr>
            </w:pPr>
            <w:r w:rsidRPr="0030358C">
              <w:rPr>
                <w:rFonts w:ascii="Arial" w:hAnsi="Arial" w:cs="Arial"/>
                <w:b/>
                <w:bCs/>
                <w:sz w:val="22"/>
                <w:szCs w:val="22"/>
                <w:lang w:eastAsia="cs-CZ"/>
              </w:rPr>
              <w:t>Vztažné podmínky</w:t>
            </w:r>
          </w:p>
        </w:tc>
      </w:tr>
      <w:tr w:rsidR="00E40657" w14:paraId="3338828C" w14:textId="77777777" w:rsidTr="00732453">
        <w:trPr>
          <w:cantSplit/>
          <w:trHeight w:val="270"/>
        </w:trPr>
        <w:tc>
          <w:tcPr>
            <w:tcW w:w="1907" w:type="dxa"/>
            <w:tcBorders>
              <w:top w:val="single" w:sz="4" w:space="0" w:color="000000"/>
              <w:left w:val="single" w:sz="4" w:space="0" w:color="000000"/>
              <w:bottom w:val="single" w:sz="4" w:space="0" w:color="000000"/>
            </w:tcBorders>
            <w:shd w:val="clear" w:color="auto" w:fill="auto"/>
          </w:tcPr>
          <w:p w14:paraId="5E4B456A"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906" w:type="dxa"/>
            <w:tcBorders>
              <w:top w:val="single" w:sz="4" w:space="0" w:color="000000"/>
              <w:left w:val="single" w:sz="4" w:space="0" w:color="000000"/>
              <w:bottom w:val="single" w:sz="4" w:space="0" w:color="000000"/>
            </w:tcBorders>
            <w:shd w:val="clear" w:color="auto" w:fill="auto"/>
          </w:tcPr>
          <w:p w14:paraId="08B2D13F" w14:textId="77777777" w:rsidR="008F52C8" w:rsidRPr="0030358C" w:rsidRDefault="00000000" w:rsidP="00732453">
            <w:pPr>
              <w:keepNext/>
              <w:keepLines/>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842" w:type="dxa"/>
            <w:tcBorders>
              <w:top w:val="single" w:sz="4" w:space="0" w:color="000000"/>
              <w:left w:val="single" w:sz="4" w:space="0" w:color="000000"/>
              <w:bottom w:val="single" w:sz="4" w:space="0" w:color="000000"/>
            </w:tcBorders>
            <w:shd w:val="clear" w:color="auto" w:fill="auto"/>
          </w:tcPr>
          <w:p w14:paraId="4F121A47"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707" w:type="dxa"/>
            <w:vMerge/>
            <w:tcBorders>
              <w:top w:val="single" w:sz="4" w:space="0" w:color="000000"/>
              <w:left w:val="single" w:sz="4" w:space="0" w:color="000000"/>
              <w:bottom w:val="single" w:sz="4" w:space="0" w:color="000000"/>
            </w:tcBorders>
            <w:shd w:val="clear" w:color="auto" w:fill="auto"/>
          </w:tcPr>
          <w:p w14:paraId="0486FF12" w14:textId="77777777" w:rsidR="008F52C8" w:rsidRPr="0030358C" w:rsidRDefault="008F52C8" w:rsidP="00732453">
            <w:pPr>
              <w:keepNext/>
              <w:keepLines/>
              <w:snapToGrid w:val="0"/>
              <w:jc w:val="center"/>
              <w:rPr>
                <w:rFonts w:ascii="Arial" w:hAnsi="Arial" w:cs="Arial"/>
                <w:b/>
                <w:bCs/>
                <w:sz w:val="22"/>
                <w:szCs w:val="22"/>
                <w:lang w:eastAsia="zh-CN"/>
              </w:rPr>
            </w:pPr>
          </w:p>
        </w:tc>
        <w:tc>
          <w:tcPr>
            <w:tcW w:w="2162" w:type="dxa"/>
            <w:vMerge/>
            <w:tcBorders>
              <w:top w:val="single" w:sz="4" w:space="0" w:color="000000"/>
              <w:left w:val="single" w:sz="4" w:space="0" w:color="000000"/>
              <w:bottom w:val="single" w:sz="4" w:space="0" w:color="000000"/>
              <w:right w:val="single" w:sz="4" w:space="0" w:color="000000"/>
            </w:tcBorders>
            <w:shd w:val="clear" w:color="auto" w:fill="auto"/>
          </w:tcPr>
          <w:p w14:paraId="49F410E2" w14:textId="77777777" w:rsidR="008F52C8" w:rsidRPr="0030358C" w:rsidRDefault="008F52C8" w:rsidP="00732453">
            <w:pPr>
              <w:keepNext/>
              <w:keepLines/>
              <w:snapToGrid w:val="0"/>
              <w:jc w:val="center"/>
              <w:rPr>
                <w:rFonts w:ascii="Arial" w:hAnsi="Arial" w:cs="Arial"/>
                <w:b/>
                <w:bCs/>
                <w:sz w:val="22"/>
                <w:szCs w:val="22"/>
                <w:lang w:eastAsia="zh-CN"/>
              </w:rPr>
            </w:pPr>
          </w:p>
        </w:tc>
      </w:tr>
      <w:tr w:rsidR="00E40657" w14:paraId="292B13A9" w14:textId="77777777" w:rsidTr="00732453">
        <w:trPr>
          <w:trHeight w:val="285"/>
        </w:trPr>
        <w:tc>
          <w:tcPr>
            <w:tcW w:w="1907" w:type="dxa"/>
            <w:tcBorders>
              <w:top w:val="single" w:sz="4" w:space="0" w:color="000000"/>
              <w:left w:val="single" w:sz="4" w:space="0" w:color="000000"/>
              <w:bottom w:val="single" w:sz="4" w:space="0" w:color="000000"/>
            </w:tcBorders>
            <w:shd w:val="clear" w:color="auto" w:fill="auto"/>
          </w:tcPr>
          <w:p w14:paraId="19F50389"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1906" w:type="dxa"/>
            <w:tcBorders>
              <w:top w:val="single" w:sz="4" w:space="0" w:color="000000"/>
              <w:left w:val="single" w:sz="4" w:space="0" w:color="000000"/>
              <w:bottom w:val="single" w:sz="4" w:space="0" w:color="000000"/>
            </w:tcBorders>
            <w:shd w:val="clear" w:color="auto" w:fill="auto"/>
          </w:tcPr>
          <w:p w14:paraId="67956DF7"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400</w:t>
            </w:r>
          </w:p>
        </w:tc>
        <w:tc>
          <w:tcPr>
            <w:tcW w:w="1842" w:type="dxa"/>
            <w:tcBorders>
              <w:top w:val="single" w:sz="4" w:space="0" w:color="000000"/>
              <w:left w:val="single" w:sz="4" w:space="0" w:color="000000"/>
              <w:bottom w:val="single" w:sz="4" w:space="0" w:color="000000"/>
            </w:tcBorders>
            <w:shd w:val="clear" w:color="auto" w:fill="auto"/>
          </w:tcPr>
          <w:p w14:paraId="6AA89CB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600</w:t>
            </w:r>
          </w:p>
        </w:tc>
        <w:tc>
          <w:tcPr>
            <w:tcW w:w="1707" w:type="dxa"/>
            <w:tcBorders>
              <w:top w:val="single" w:sz="4" w:space="0" w:color="000000"/>
              <w:left w:val="single" w:sz="4" w:space="0" w:color="000000"/>
              <w:bottom w:val="single" w:sz="4" w:space="0" w:color="000000"/>
            </w:tcBorders>
            <w:shd w:val="clear" w:color="auto" w:fill="auto"/>
          </w:tcPr>
          <w:p w14:paraId="6190AEE2"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17</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691F9DC"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749E10B6" w14:textId="77777777" w:rsidR="0058795B" w:rsidRPr="0030358C" w:rsidRDefault="00000000" w:rsidP="008F52C8">
      <w:pPr>
        <w:spacing w:before="60"/>
        <w:rPr>
          <w:rFonts w:ascii="Arial" w:hAnsi="Arial" w:cs="Arial"/>
          <w:b/>
          <w:bCs/>
          <w:iCs/>
          <w:sz w:val="22"/>
          <w:szCs w:val="22"/>
          <w:lang w:eastAsia="zh-CN"/>
        </w:rPr>
      </w:pPr>
      <w:r w:rsidRPr="0030358C">
        <w:rPr>
          <w:rFonts w:ascii="Arial" w:hAnsi="Arial" w:cs="Arial"/>
          <w:b/>
          <w:bCs/>
          <w:sz w:val="22"/>
          <w:szCs w:val="22"/>
          <w:lang w:eastAsia="zh-CN"/>
        </w:rPr>
        <w:t>Vysvětlivka</w:t>
      </w:r>
      <w:r w:rsidRPr="0030358C">
        <w:rPr>
          <w:rFonts w:ascii="Arial" w:hAnsi="Arial" w:cs="Arial"/>
          <w:b/>
          <w:bCs/>
          <w:iCs/>
          <w:sz w:val="22"/>
          <w:szCs w:val="22"/>
          <w:lang w:eastAsia="zh-CN"/>
        </w:rPr>
        <w:t xml:space="preserve">: </w:t>
      </w:r>
    </w:p>
    <w:p w14:paraId="6EF3F98B" w14:textId="77777777" w:rsidR="008F52C8" w:rsidRPr="0030358C" w:rsidRDefault="00000000" w:rsidP="008F52C8">
      <w:pPr>
        <w:spacing w:before="60"/>
        <w:rPr>
          <w:rFonts w:ascii="Arial" w:hAnsi="Arial" w:cs="Arial"/>
          <w:b/>
          <w:bCs/>
          <w:i/>
          <w:sz w:val="22"/>
          <w:szCs w:val="22"/>
          <w:lang w:eastAsia="zh-CN"/>
        </w:rPr>
      </w:pPr>
      <w:r w:rsidRPr="0030358C">
        <w:rPr>
          <w:rFonts w:ascii="Arial" w:hAnsi="Arial" w:cs="Arial"/>
          <w:b/>
          <w:bCs/>
          <w:iCs/>
          <w:sz w:val="22"/>
          <w:szCs w:val="22"/>
          <w:lang w:eastAsia="zh-CN"/>
        </w:rPr>
        <w:t>1) Platí pouze pro obalovny.</w:t>
      </w:r>
    </w:p>
    <w:p w14:paraId="20B94B33" w14:textId="77777777" w:rsidR="008F52C8" w:rsidRPr="0030358C" w:rsidRDefault="008F52C8" w:rsidP="008F52C8">
      <w:pPr>
        <w:rPr>
          <w:rFonts w:ascii="Arial" w:hAnsi="Arial" w:cs="Arial"/>
          <w:b/>
          <w:bCs/>
          <w:i/>
          <w:sz w:val="22"/>
          <w:szCs w:val="22"/>
          <w:lang w:eastAsia="zh-CN"/>
        </w:rPr>
      </w:pPr>
    </w:p>
    <w:p w14:paraId="7F86A72F"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Technická podmínka provozu platná do 31. 12. 2025:</w:t>
      </w:r>
    </w:p>
    <w:p w14:paraId="6BC8B719"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Za účelem předcházení emisím znečišťujících látek obtěžujících zápachem a emisím tuhých znečišťujících látek využívat opatření ke snižování emisí těchto látek např. zakrytování všech přepravních cest a dopravníků horké směsi, odsávání odpadních plynů ze zásobníků asfaltu a z míchačky směsi do zařízení k omezování emisí pachových látek, zaplachtování přepravních vozidel, opatření pro skladování prašných materiálů apod. Tato technická podmínka bude u mobilních recyklačních zařízení pro asfaltové směsi použita adekvátně dle technických a organizačních možností daného zařízení.</w:t>
      </w:r>
    </w:p>
    <w:p w14:paraId="0E253232" w14:textId="77777777" w:rsidR="00B623A4" w:rsidRPr="0030358C" w:rsidRDefault="00B623A4" w:rsidP="00B623A4">
      <w:pPr>
        <w:spacing w:before="60"/>
        <w:rPr>
          <w:rFonts w:ascii="Arial" w:hAnsi="Arial" w:cs="Arial"/>
          <w:b/>
          <w:bCs/>
          <w:sz w:val="22"/>
          <w:szCs w:val="22"/>
          <w:lang w:eastAsia="zh-CN"/>
        </w:rPr>
      </w:pPr>
    </w:p>
    <w:p w14:paraId="4403623C"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Technické podmínky provozu platné od 1. 1. 2026:</w:t>
      </w:r>
    </w:p>
    <w:p w14:paraId="50DC68DE"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 xml:space="preserve">Za účelem předcházení emisím znečišťujících látek obtěžujících zápachem a emisím tuhých znečišťujících látek, využívat opatření ke snižování emisí těchto látek např. zakrytování všech přepravních cest a dopravníků horké směsi a přesypů z nich, odsávání odpadních plynů ze zásobníků asfaltu a z míchačky směsi do zařízení k omezování emisí pachových látek, zaplachtování a zakrytování přepravních vozidel, realizovat opatření k omezení emisí ze skladování prašných materiálů (např. navážet prané kamenivo, skladování  sypké frakce v zastřešených kójích a na zpevněných čistitelných površích) apod. </w:t>
      </w:r>
    </w:p>
    <w:p w14:paraId="32AFFB05"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Materiál kameniva při procesech sušení se nesmí přímo vsypávat do spalovacího prostoru bez předehřátí.</w:t>
      </w:r>
    </w:p>
    <w:p w14:paraId="243DB7A6"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U zásobníku asfaltu musí být emise odváděny řízeným způsobem a svedeny do zařízení ke snižování emisí s účinností odpovídající alespoň filtru s aktivním uhlím.</w:t>
      </w:r>
    </w:p>
    <w:p w14:paraId="6EBB240F"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Musí být provedeno stavební uzavření prostor (např. vrata nebo pásové závěsy na vjezdech a výjezdech), tam, kde je to možné, zejména u zařízení k nakládce a překládce vozidel, případně jiná opatření proti úletu prachu, a především pachových látek.</w:t>
      </w:r>
    </w:p>
    <w:p w14:paraId="1C633B9A"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Tam, kde nelze technologické procesy a uzly uzavřít a odsávat, využívat vodní skrápěcí zařízení, rozprašování nebo mlžné stěny.</w:t>
      </w:r>
    </w:p>
    <w:p w14:paraId="25F24901"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 xml:space="preserve">Pro manipulaci s látkami, které vyžadují zvýšení teploty (např. asfalt), je nezbytné jejich skladování v uzavřených nádobách a následné použití uzavřeného systému (např. potrubí) pro jejich přepravu. Ostatní látky, které jsou za běžných podmínek tekuté, nemusí být vždy skladovány v uzavřených systémech. Pro dodávky uvedených materiálů je nutné zajistit, aby znečištěný vzduch vytlačovaný ze zásobníků při jejich </w:t>
      </w:r>
      <w:r w:rsidRPr="0030358C">
        <w:rPr>
          <w:rFonts w:ascii="Arial" w:hAnsi="Arial" w:cs="Arial"/>
          <w:b/>
          <w:bCs/>
          <w:sz w:val="22"/>
          <w:szCs w:val="22"/>
          <w:lang w:eastAsia="zh-CN"/>
        </w:rPr>
        <w:lastRenderedPageBreak/>
        <w:t>plnění nebyl vypouštěn volně do ovzduší. Místo toho musí být využit zpětný odvod par nebo jiný systém na omezení pachových látek (např. vodní zámek s předepsanou výměnou), pokud je jím autocisterna vybavena.</w:t>
      </w:r>
    </w:p>
    <w:p w14:paraId="5AE77ED5" w14:textId="77777777" w:rsidR="00B623A4" w:rsidRPr="0030358C" w:rsidRDefault="00000000" w:rsidP="00B623A4">
      <w:pPr>
        <w:spacing w:before="60"/>
        <w:rPr>
          <w:rFonts w:ascii="Arial" w:hAnsi="Arial" w:cs="Arial"/>
          <w:b/>
          <w:bCs/>
          <w:sz w:val="22"/>
          <w:szCs w:val="22"/>
          <w:lang w:eastAsia="zh-CN"/>
        </w:rPr>
      </w:pPr>
      <w:r w:rsidRPr="0030358C">
        <w:rPr>
          <w:rFonts w:ascii="Arial" w:hAnsi="Arial" w:cs="Arial"/>
          <w:b/>
          <w:bCs/>
          <w:sz w:val="22"/>
          <w:szCs w:val="22"/>
          <w:lang w:eastAsia="zh-CN"/>
        </w:rPr>
        <w:t>Tyto technické podmínky budou u mobilních recyklačních zařízení pro asfaltové směsi použity adekvátně dle technických a organizačních možností daného zařízení.</w:t>
      </w:r>
    </w:p>
    <w:p w14:paraId="7DF9988D" w14:textId="77777777" w:rsidR="008F52C8" w:rsidRPr="0030358C" w:rsidRDefault="008F52C8" w:rsidP="008F52C8">
      <w:pPr>
        <w:spacing w:before="60"/>
        <w:rPr>
          <w:rFonts w:ascii="Arial" w:hAnsi="Arial" w:cs="Arial"/>
          <w:b/>
          <w:bCs/>
          <w:sz w:val="22"/>
          <w:szCs w:val="22"/>
          <w:lang w:eastAsia="zh-CN"/>
        </w:rPr>
      </w:pPr>
    </w:p>
    <w:p w14:paraId="6B5E5DFE"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 CHEMICKÝ PRŮMYSL</w:t>
      </w:r>
    </w:p>
    <w:p w14:paraId="1E48D462" w14:textId="77777777" w:rsidR="008F52C8" w:rsidRPr="0030358C" w:rsidRDefault="008F52C8" w:rsidP="008F52C8">
      <w:pPr>
        <w:spacing w:before="60"/>
        <w:rPr>
          <w:rFonts w:ascii="Arial" w:hAnsi="Arial" w:cs="Arial"/>
          <w:b/>
          <w:bCs/>
          <w:sz w:val="22"/>
          <w:szCs w:val="22"/>
          <w:lang w:eastAsia="zh-CN"/>
        </w:rPr>
      </w:pPr>
    </w:p>
    <w:p w14:paraId="6B0877DC"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5.1. Výroba a zpracování organických látek a výrobků s jejich obsahem</w:t>
      </w:r>
    </w:p>
    <w:p w14:paraId="3EEB1EF8" w14:textId="77777777" w:rsidR="008F52C8" w:rsidRPr="0030358C" w:rsidRDefault="008F52C8" w:rsidP="008F52C8">
      <w:pPr>
        <w:spacing w:before="60"/>
        <w:rPr>
          <w:rFonts w:ascii="Arial" w:hAnsi="Arial" w:cs="Arial"/>
          <w:b/>
          <w:bCs/>
          <w:sz w:val="22"/>
          <w:szCs w:val="22"/>
          <w:lang w:eastAsia="zh-CN"/>
        </w:rPr>
      </w:pPr>
    </w:p>
    <w:p w14:paraId="5D0FE73C"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5.1.1. Výroba 1,2-dichlorethanu a vinylchloridu (kód 6.1. dle přílohy č. 2 zákona)</w:t>
      </w:r>
    </w:p>
    <w:tbl>
      <w:tblPr>
        <w:tblW w:w="0" w:type="auto"/>
        <w:tblInd w:w="-15" w:type="dxa"/>
        <w:tblLayout w:type="fixed"/>
        <w:tblLook w:val="0000" w:firstRow="0" w:lastRow="0" w:firstColumn="0" w:lastColumn="0" w:noHBand="0" w:noVBand="0"/>
      </w:tblPr>
      <w:tblGrid>
        <w:gridCol w:w="2739"/>
        <w:gridCol w:w="2192"/>
        <w:gridCol w:w="2046"/>
        <w:gridCol w:w="2623"/>
      </w:tblGrid>
      <w:tr w:rsidR="00E40657" w14:paraId="23813DF8" w14:textId="77777777" w:rsidTr="00732453">
        <w:trPr>
          <w:cantSplit/>
          <w:trHeight w:hRule="exact" w:val="340"/>
        </w:trPr>
        <w:tc>
          <w:tcPr>
            <w:tcW w:w="6977" w:type="dxa"/>
            <w:gridSpan w:val="3"/>
            <w:tcBorders>
              <w:top w:val="single" w:sz="4" w:space="0" w:color="000000"/>
              <w:left w:val="single" w:sz="4" w:space="0" w:color="000000"/>
              <w:bottom w:val="single" w:sz="4" w:space="0" w:color="000000"/>
            </w:tcBorders>
            <w:shd w:val="clear" w:color="auto" w:fill="auto"/>
          </w:tcPr>
          <w:p w14:paraId="4626CC27"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6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72C876"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3A753B03" w14:textId="77777777" w:rsidTr="00732453">
        <w:trPr>
          <w:cantSplit/>
          <w:trHeight w:hRule="exact" w:val="340"/>
        </w:trPr>
        <w:tc>
          <w:tcPr>
            <w:tcW w:w="2739" w:type="dxa"/>
            <w:tcBorders>
              <w:top w:val="single" w:sz="4" w:space="0" w:color="000000"/>
              <w:left w:val="single" w:sz="4" w:space="0" w:color="000000"/>
              <w:bottom w:val="single" w:sz="4" w:space="0" w:color="000000"/>
            </w:tcBorders>
            <w:shd w:val="clear" w:color="auto" w:fill="auto"/>
            <w:vAlign w:val="center"/>
          </w:tcPr>
          <w:p w14:paraId="30332A89" w14:textId="77777777" w:rsidR="008F52C8" w:rsidRPr="0030358C" w:rsidRDefault="008F52C8" w:rsidP="00732453">
            <w:pPr>
              <w:snapToGrid w:val="0"/>
              <w:spacing w:before="60"/>
              <w:jc w:val="center"/>
              <w:rPr>
                <w:rFonts w:ascii="Arial" w:hAnsi="Arial" w:cs="Arial"/>
                <w:b/>
                <w:bCs/>
                <w:sz w:val="22"/>
                <w:szCs w:val="22"/>
                <w:lang w:eastAsia="zh-CN"/>
              </w:rPr>
            </w:pPr>
          </w:p>
        </w:tc>
        <w:tc>
          <w:tcPr>
            <w:tcW w:w="2192" w:type="dxa"/>
            <w:tcBorders>
              <w:top w:val="single" w:sz="4" w:space="0" w:color="000000"/>
              <w:left w:val="single" w:sz="4" w:space="0" w:color="000000"/>
              <w:bottom w:val="single" w:sz="4" w:space="0" w:color="000000"/>
            </w:tcBorders>
            <w:shd w:val="clear" w:color="auto" w:fill="auto"/>
          </w:tcPr>
          <w:p w14:paraId="35F3A2A3"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1,2-dichlorethan</w:t>
            </w:r>
          </w:p>
        </w:tc>
        <w:tc>
          <w:tcPr>
            <w:tcW w:w="2046" w:type="dxa"/>
            <w:tcBorders>
              <w:top w:val="single" w:sz="4" w:space="0" w:color="000000"/>
              <w:left w:val="single" w:sz="4" w:space="0" w:color="000000"/>
              <w:bottom w:val="single" w:sz="4" w:space="0" w:color="000000"/>
            </w:tcBorders>
            <w:shd w:val="clear" w:color="auto" w:fill="auto"/>
            <w:vAlign w:val="center"/>
          </w:tcPr>
          <w:p w14:paraId="5EB30B06"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vinylchlorid</w:t>
            </w:r>
          </w:p>
        </w:tc>
        <w:tc>
          <w:tcPr>
            <w:tcW w:w="26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BACDC8" w14:textId="77777777" w:rsidR="008F52C8" w:rsidRPr="0030358C" w:rsidRDefault="008F52C8" w:rsidP="00732453">
            <w:pPr>
              <w:snapToGrid w:val="0"/>
              <w:rPr>
                <w:rFonts w:ascii="Arial" w:hAnsi="Arial" w:cs="Arial"/>
                <w:b/>
                <w:bCs/>
                <w:sz w:val="22"/>
                <w:szCs w:val="22"/>
                <w:lang w:eastAsia="zh-CN"/>
              </w:rPr>
            </w:pPr>
          </w:p>
        </w:tc>
      </w:tr>
      <w:tr w:rsidR="00E40657" w14:paraId="5EE796A4" w14:textId="77777777" w:rsidTr="00732453">
        <w:trPr>
          <w:cantSplit/>
          <w:trHeight w:hRule="exact" w:val="340"/>
        </w:trPr>
        <w:tc>
          <w:tcPr>
            <w:tcW w:w="9600" w:type="dxa"/>
            <w:gridSpan w:val="4"/>
            <w:tcBorders>
              <w:top w:val="single" w:sz="4" w:space="0" w:color="000000"/>
              <w:left w:val="single" w:sz="4" w:space="0" w:color="000000"/>
              <w:bottom w:val="single" w:sz="4" w:space="0" w:color="000000"/>
              <w:right w:val="single" w:sz="4" w:space="0" w:color="000000"/>
            </w:tcBorders>
            <w:shd w:val="clear" w:color="auto" w:fill="auto"/>
          </w:tcPr>
          <w:p w14:paraId="3E65B543"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Výroba 1,2-dichlorethanu</w:t>
            </w:r>
          </w:p>
        </w:tc>
      </w:tr>
      <w:tr w:rsidR="00E40657" w14:paraId="5B2C3E93" w14:textId="77777777" w:rsidTr="00732453">
        <w:trPr>
          <w:cantSplit/>
          <w:trHeight w:hRule="exact" w:val="340"/>
        </w:trPr>
        <w:tc>
          <w:tcPr>
            <w:tcW w:w="2739" w:type="dxa"/>
            <w:tcBorders>
              <w:top w:val="single" w:sz="4" w:space="0" w:color="000000"/>
              <w:left w:val="single" w:sz="4" w:space="0" w:color="000000"/>
              <w:bottom w:val="single" w:sz="4" w:space="0" w:color="000000"/>
            </w:tcBorders>
            <w:shd w:val="clear" w:color="auto" w:fill="auto"/>
            <w:vAlign w:val="center"/>
          </w:tcPr>
          <w:p w14:paraId="758B0078" w14:textId="77777777" w:rsidR="008F52C8" w:rsidRPr="0030358C" w:rsidRDefault="008F52C8" w:rsidP="00732453">
            <w:pPr>
              <w:snapToGrid w:val="0"/>
              <w:jc w:val="center"/>
              <w:rPr>
                <w:rFonts w:ascii="Arial" w:hAnsi="Arial" w:cs="Arial"/>
                <w:b/>
                <w:bCs/>
                <w:sz w:val="22"/>
                <w:szCs w:val="22"/>
                <w:lang w:eastAsia="zh-CN"/>
              </w:rPr>
            </w:pPr>
          </w:p>
        </w:tc>
        <w:tc>
          <w:tcPr>
            <w:tcW w:w="2192" w:type="dxa"/>
            <w:tcBorders>
              <w:top w:val="single" w:sz="4" w:space="0" w:color="000000"/>
              <w:left w:val="single" w:sz="4" w:space="0" w:color="000000"/>
              <w:bottom w:val="single" w:sz="4" w:space="0" w:color="000000"/>
            </w:tcBorders>
            <w:shd w:val="clear" w:color="auto" w:fill="auto"/>
          </w:tcPr>
          <w:p w14:paraId="709DF53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w:t>
            </w:r>
          </w:p>
        </w:tc>
        <w:tc>
          <w:tcPr>
            <w:tcW w:w="2046" w:type="dxa"/>
            <w:tcBorders>
              <w:top w:val="single" w:sz="4" w:space="0" w:color="000000"/>
              <w:left w:val="single" w:sz="4" w:space="0" w:color="000000"/>
              <w:bottom w:val="single" w:sz="4" w:space="0" w:color="000000"/>
            </w:tcBorders>
            <w:shd w:val="clear" w:color="auto" w:fill="auto"/>
            <w:vAlign w:val="center"/>
          </w:tcPr>
          <w:p w14:paraId="76D49E3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7559D"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C</w:t>
            </w:r>
          </w:p>
        </w:tc>
      </w:tr>
      <w:tr w:rsidR="00E40657" w14:paraId="2A3C7290" w14:textId="77777777" w:rsidTr="00732453">
        <w:trPr>
          <w:cantSplit/>
          <w:trHeight w:hRule="exact" w:val="340"/>
        </w:trPr>
        <w:tc>
          <w:tcPr>
            <w:tcW w:w="9600" w:type="dxa"/>
            <w:gridSpan w:val="4"/>
            <w:tcBorders>
              <w:top w:val="single" w:sz="4" w:space="0" w:color="000000"/>
              <w:left w:val="single" w:sz="4" w:space="0" w:color="000000"/>
              <w:bottom w:val="single" w:sz="4" w:space="0" w:color="000000"/>
              <w:right w:val="single" w:sz="4" w:space="0" w:color="000000"/>
            </w:tcBorders>
            <w:shd w:val="clear" w:color="auto" w:fill="auto"/>
          </w:tcPr>
          <w:p w14:paraId="4B6985BD" w14:textId="77777777" w:rsidR="008F52C8" w:rsidRPr="0030358C" w:rsidRDefault="00000000" w:rsidP="00732453">
            <w:pPr>
              <w:snapToGrid w:val="0"/>
              <w:rPr>
                <w:rFonts w:ascii="Arial" w:hAnsi="Arial" w:cs="Arial"/>
                <w:b/>
                <w:bCs/>
                <w:sz w:val="22"/>
                <w:szCs w:val="22"/>
                <w:lang w:eastAsia="zh-CN"/>
              </w:rPr>
            </w:pPr>
            <w:r w:rsidRPr="0030358C">
              <w:rPr>
                <w:rFonts w:ascii="Arial" w:hAnsi="Arial" w:cs="Arial"/>
                <w:b/>
                <w:bCs/>
                <w:sz w:val="22"/>
                <w:szCs w:val="22"/>
                <w:lang w:eastAsia="zh-CN"/>
              </w:rPr>
              <w:t>Výroba vinylchloridu</w:t>
            </w:r>
          </w:p>
        </w:tc>
      </w:tr>
      <w:tr w:rsidR="00E40657" w14:paraId="547A6634" w14:textId="77777777" w:rsidTr="00732453">
        <w:trPr>
          <w:cantSplit/>
          <w:trHeight w:hRule="exact" w:val="340"/>
        </w:trPr>
        <w:tc>
          <w:tcPr>
            <w:tcW w:w="2739" w:type="dxa"/>
            <w:tcBorders>
              <w:top w:val="single" w:sz="4" w:space="0" w:color="000000"/>
              <w:left w:val="single" w:sz="4" w:space="0" w:color="000000"/>
              <w:bottom w:val="single" w:sz="4" w:space="0" w:color="000000"/>
            </w:tcBorders>
            <w:shd w:val="clear" w:color="auto" w:fill="auto"/>
            <w:vAlign w:val="center"/>
          </w:tcPr>
          <w:p w14:paraId="6C03BC0D" w14:textId="77777777" w:rsidR="008F52C8" w:rsidRPr="0030358C" w:rsidRDefault="008F52C8" w:rsidP="00732453">
            <w:pPr>
              <w:snapToGrid w:val="0"/>
              <w:jc w:val="center"/>
              <w:rPr>
                <w:rFonts w:ascii="Arial" w:hAnsi="Arial" w:cs="Arial"/>
                <w:b/>
                <w:bCs/>
                <w:sz w:val="22"/>
                <w:szCs w:val="22"/>
                <w:lang w:eastAsia="zh-CN"/>
              </w:rPr>
            </w:pPr>
          </w:p>
        </w:tc>
        <w:tc>
          <w:tcPr>
            <w:tcW w:w="2192" w:type="dxa"/>
            <w:tcBorders>
              <w:top w:val="single" w:sz="4" w:space="0" w:color="000000"/>
              <w:left w:val="single" w:sz="4" w:space="0" w:color="000000"/>
              <w:bottom w:val="single" w:sz="4" w:space="0" w:color="000000"/>
            </w:tcBorders>
            <w:shd w:val="clear" w:color="auto" w:fill="auto"/>
            <w:vAlign w:val="center"/>
          </w:tcPr>
          <w:p w14:paraId="6652325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w:t>
            </w:r>
          </w:p>
        </w:tc>
        <w:tc>
          <w:tcPr>
            <w:tcW w:w="2046" w:type="dxa"/>
            <w:tcBorders>
              <w:top w:val="single" w:sz="4" w:space="0" w:color="000000"/>
              <w:left w:val="single" w:sz="4" w:space="0" w:color="000000"/>
              <w:bottom w:val="single" w:sz="4" w:space="0" w:color="000000"/>
            </w:tcBorders>
            <w:shd w:val="clear" w:color="auto" w:fill="auto"/>
            <w:vAlign w:val="center"/>
          </w:tcPr>
          <w:p w14:paraId="7A61F19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w:t>
            </w:r>
          </w:p>
        </w:tc>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D503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76AFC323" w14:textId="77777777" w:rsidR="008F52C8" w:rsidRPr="0030358C" w:rsidRDefault="008F52C8" w:rsidP="008F52C8">
      <w:pPr>
        <w:rPr>
          <w:rFonts w:ascii="Arial" w:hAnsi="Arial" w:cs="Arial"/>
          <w:b/>
          <w:bCs/>
          <w:sz w:val="22"/>
          <w:szCs w:val="22"/>
          <w:lang w:eastAsia="zh-CN"/>
        </w:rPr>
      </w:pPr>
    </w:p>
    <w:p w14:paraId="4FDE0548" w14:textId="77777777" w:rsidR="008F52C8" w:rsidRPr="0030358C" w:rsidRDefault="008F52C8" w:rsidP="008F52C8">
      <w:pPr>
        <w:rPr>
          <w:rFonts w:ascii="Arial" w:hAnsi="Arial" w:cs="Arial"/>
          <w:b/>
          <w:bCs/>
          <w:sz w:val="22"/>
          <w:szCs w:val="22"/>
          <w:lang w:eastAsia="zh-CN"/>
        </w:rPr>
      </w:pPr>
    </w:p>
    <w:p w14:paraId="137D86D5"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5.1.2. Výroba polymerů na bázi polyakrylonitrilu (kód 6.3. dle přílohy č. 2 zákona)</w:t>
      </w:r>
    </w:p>
    <w:tbl>
      <w:tblPr>
        <w:tblW w:w="0" w:type="auto"/>
        <w:tblInd w:w="-15" w:type="dxa"/>
        <w:tblLayout w:type="fixed"/>
        <w:tblLook w:val="0000" w:firstRow="0" w:lastRow="0" w:firstColumn="0" w:lastColumn="0" w:noHBand="0" w:noVBand="0"/>
      </w:tblPr>
      <w:tblGrid>
        <w:gridCol w:w="5420"/>
        <w:gridCol w:w="1966"/>
        <w:gridCol w:w="2214"/>
      </w:tblGrid>
      <w:tr w:rsidR="00E40657" w14:paraId="2E274CD7" w14:textId="77777777" w:rsidTr="00732453">
        <w:trPr>
          <w:cantSplit/>
          <w:trHeight w:hRule="exact" w:val="346"/>
        </w:trPr>
        <w:tc>
          <w:tcPr>
            <w:tcW w:w="7386" w:type="dxa"/>
            <w:gridSpan w:val="2"/>
            <w:tcBorders>
              <w:top w:val="single" w:sz="4" w:space="0" w:color="000000"/>
              <w:left w:val="single" w:sz="4" w:space="0" w:color="000000"/>
              <w:bottom w:val="single" w:sz="4" w:space="0" w:color="000000"/>
            </w:tcBorders>
            <w:shd w:val="clear" w:color="auto" w:fill="auto"/>
            <w:vAlign w:val="center"/>
          </w:tcPr>
          <w:p w14:paraId="51AA4D87"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 pro akrylonitril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6D1E12"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9683B06" w14:textId="77777777" w:rsidTr="00732453">
        <w:trPr>
          <w:cantSplit/>
          <w:trHeight w:hRule="exact" w:val="340"/>
        </w:trPr>
        <w:tc>
          <w:tcPr>
            <w:tcW w:w="5420" w:type="dxa"/>
            <w:tcBorders>
              <w:left w:val="single" w:sz="4" w:space="0" w:color="000000"/>
              <w:bottom w:val="single" w:sz="2" w:space="0" w:color="000000"/>
            </w:tcBorders>
            <w:shd w:val="clear" w:color="auto" w:fill="auto"/>
            <w:vAlign w:val="center"/>
          </w:tcPr>
          <w:p w14:paraId="34BBA5B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za zařízením na snižování emisí</w:t>
            </w:r>
          </w:p>
        </w:tc>
        <w:tc>
          <w:tcPr>
            <w:tcW w:w="1966" w:type="dxa"/>
            <w:tcBorders>
              <w:left w:val="single" w:sz="4" w:space="0" w:color="000000"/>
              <w:bottom w:val="single" w:sz="2" w:space="0" w:color="000000"/>
            </w:tcBorders>
            <w:shd w:val="clear" w:color="auto" w:fill="auto"/>
            <w:vAlign w:val="center"/>
          </w:tcPr>
          <w:p w14:paraId="1DD0BCD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ze sušáren</w:t>
            </w:r>
          </w:p>
        </w:tc>
        <w:tc>
          <w:tcPr>
            <w:tcW w:w="22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849E8" w14:textId="77777777" w:rsidR="008F52C8" w:rsidRPr="0030358C" w:rsidRDefault="008F52C8" w:rsidP="00732453">
            <w:pPr>
              <w:snapToGrid w:val="0"/>
              <w:rPr>
                <w:rFonts w:ascii="Arial" w:hAnsi="Arial" w:cs="Arial"/>
                <w:b/>
                <w:bCs/>
                <w:sz w:val="22"/>
                <w:szCs w:val="22"/>
                <w:lang w:eastAsia="zh-CN"/>
              </w:rPr>
            </w:pPr>
          </w:p>
        </w:tc>
      </w:tr>
      <w:tr w:rsidR="00E40657" w14:paraId="4F504A99" w14:textId="77777777" w:rsidTr="00732453">
        <w:trPr>
          <w:cantSplit/>
          <w:trHeight w:hRule="exact" w:val="698"/>
        </w:trPr>
        <w:tc>
          <w:tcPr>
            <w:tcW w:w="5420" w:type="dxa"/>
            <w:tcBorders>
              <w:top w:val="single" w:sz="2" w:space="0" w:color="000000"/>
              <w:left w:val="single" w:sz="2" w:space="0" w:color="000000"/>
              <w:bottom w:val="single" w:sz="2" w:space="0" w:color="000000"/>
            </w:tcBorders>
            <w:shd w:val="clear" w:color="auto" w:fill="auto"/>
            <w:vAlign w:val="center"/>
          </w:tcPr>
          <w:p w14:paraId="3EAD24D4"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 xml:space="preserve"> 0,2</w:t>
            </w:r>
            <w:r w:rsidRPr="0030358C">
              <w:rPr>
                <w:rFonts w:ascii="Arial" w:hAnsi="Arial" w:cs="Arial"/>
                <w:b/>
                <w:bCs/>
                <w:sz w:val="22"/>
                <w:szCs w:val="22"/>
                <w:vertAlign w:val="superscript"/>
                <w:lang w:eastAsia="zh-CN"/>
              </w:rPr>
              <w:t>1), 2)</w:t>
            </w:r>
            <w:r w:rsidRPr="0030358C">
              <w:rPr>
                <w:rFonts w:ascii="Arial" w:hAnsi="Arial" w:cs="Arial"/>
                <w:b/>
                <w:bCs/>
                <w:sz w:val="22"/>
                <w:szCs w:val="22"/>
                <w:lang w:eastAsia="zh-CN"/>
              </w:rPr>
              <w:t xml:space="preserve"> </w:t>
            </w:r>
          </w:p>
          <w:p w14:paraId="136AB614" w14:textId="77777777" w:rsidR="008F52C8" w:rsidRPr="0030358C" w:rsidRDefault="00000000" w:rsidP="00732453">
            <w:pPr>
              <w:snapToGrid w:val="0"/>
              <w:spacing w:before="6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5</w:t>
            </w:r>
            <w:r w:rsidRPr="0030358C">
              <w:rPr>
                <w:rFonts w:ascii="Arial" w:hAnsi="Arial" w:cs="Arial"/>
                <w:b/>
                <w:bCs/>
                <w:sz w:val="22"/>
                <w:szCs w:val="22"/>
                <w:vertAlign w:val="superscript"/>
                <w:lang w:eastAsia="zh-CN"/>
              </w:rPr>
              <w:t>2), 3)</w:t>
            </w:r>
          </w:p>
        </w:tc>
        <w:tc>
          <w:tcPr>
            <w:tcW w:w="1966" w:type="dxa"/>
            <w:tcBorders>
              <w:top w:val="single" w:sz="2" w:space="0" w:color="000000"/>
              <w:left w:val="single" w:sz="2" w:space="0" w:color="000000"/>
              <w:bottom w:val="single" w:sz="2" w:space="0" w:color="000000"/>
            </w:tcBorders>
            <w:shd w:val="clear" w:color="auto" w:fill="auto"/>
            <w:vAlign w:val="center"/>
          </w:tcPr>
          <w:p w14:paraId="7FD7E7AA"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214" w:type="dxa"/>
            <w:vMerge w:val="restart"/>
            <w:tcBorders>
              <w:top w:val="single" w:sz="4" w:space="0" w:color="000000"/>
              <w:left w:val="single" w:sz="2" w:space="0" w:color="000000"/>
              <w:bottom w:val="single" w:sz="4" w:space="0" w:color="000000"/>
              <w:right w:val="single" w:sz="4" w:space="0" w:color="000000"/>
            </w:tcBorders>
            <w:shd w:val="clear" w:color="auto" w:fill="auto"/>
            <w:vAlign w:val="center"/>
          </w:tcPr>
          <w:p w14:paraId="18DF7320"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C</w:t>
            </w:r>
          </w:p>
        </w:tc>
      </w:tr>
      <w:tr w:rsidR="00E40657" w14:paraId="7B047A10" w14:textId="77777777" w:rsidTr="00732453">
        <w:trPr>
          <w:cantSplit/>
          <w:trHeight w:hRule="exact" w:val="340"/>
        </w:trPr>
        <w:tc>
          <w:tcPr>
            <w:tcW w:w="5420" w:type="dxa"/>
            <w:tcBorders>
              <w:top w:val="single" w:sz="2" w:space="0" w:color="000000"/>
              <w:left w:val="single" w:sz="2" w:space="0" w:color="000000"/>
              <w:bottom w:val="single" w:sz="2" w:space="0" w:color="000000"/>
            </w:tcBorders>
            <w:shd w:val="clear" w:color="auto" w:fill="auto"/>
            <w:vAlign w:val="center"/>
          </w:tcPr>
          <w:p w14:paraId="564A9D5B" w14:textId="77777777" w:rsidR="008F52C8" w:rsidRPr="0030358C" w:rsidRDefault="00000000" w:rsidP="00732453">
            <w:pPr>
              <w:snapToGrid w:val="0"/>
              <w:spacing w:before="6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4)</w:t>
            </w:r>
          </w:p>
        </w:tc>
        <w:tc>
          <w:tcPr>
            <w:tcW w:w="1966" w:type="dxa"/>
            <w:tcBorders>
              <w:top w:val="single" w:sz="2" w:space="0" w:color="000000"/>
              <w:left w:val="single" w:sz="2" w:space="0" w:color="000000"/>
              <w:bottom w:val="single" w:sz="2" w:space="0" w:color="000000"/>
            </w:tcBorders>
            <w:shd w:val="clear" w:color="auto" w:fill="auto"/>
            <w:vAlign w:val="center"/>
          </w:tcPr>
          <w:p w14:paraId="07839ABB" w14:textId="77777777" w:rsidR="008F52C8" w:rsidRPr="0030358C" w:rsidRDefault="00000000" w:rsidP="00732453">
            <w:pPr>
              <w:snapToGrid w:val="0"/>
              <w:spacing w:before="60"/>
              <w:jc w:val="center"/>
              <w:rPr>
                <w:rFonts w:ascii="Arial" w:hAnsi="Arial" w:cs="Arial"/>
                <w:b/>
                <w:bCs/>
                <w:sz w:val="22"/>
                <w:szCs w:val="22"/>
                <w:vertAlign w:val="superscript"/>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4)</w:t>
            </w:r>
          </w:p>
        </w:tc>
        <w:tc>
          <w:tcPr>
            <w:tcW w:w="2214" w:type="dxa"/>
            <w:vMerge/>
            <w:tcBorders>
              <w:top w:val="single" w:sz="4" w:space="0" w:color="000000"/>
              <w:left w:val="single" w:sz="2" w:space="0" w:color="000000"/>
              <w:bottom w:val="single" w:sz="4" w:space="0" w:color="000000"/>
              <w:right w:val="single" w:sz="4" w:space="0" w:color="000000"/>
            </w:tcBorders>
            <w:shd w:val="clear" w:color="auto" w:fill="auto"/>
            <w:vAlign w:val="center"/>
          </w:tcPr>
          <w:p w14:paraId="5ED3B646" w14:textId="77777777" w:rsidR="008F52C8" w:rsidRPr="0030358C" w:rsidRDefault="008F52C8" w:rsidP="00732453">
            <w:pPr>
              <w:snapToGrid w:val="0"/>
              <w:rPr>
                <w:rFonts w:ascii="Arial" w:hAnsi="Arial" w:cs="Arial"/>
                <w:b/>
                <w:bCs/>
                <w:sz w:val="22"/>
                <w:szCs w:val="22"/>
                <w:lang w:eastAsia="zh-CN"/>
              </w:rPr>
            </w:pPr>
          </w:p>
        </w:tc>
      </w:tr>
      <w:tr w:rsidR="00E40657" w14:paraId="4EF0F657" w14:textId="77777777" w:rsidTr="00732453">
        <w:trPr>
          <w:cantSplit/>
          <w:trHeight w:hRule="exact" w:val="726"/>
        </w:trPr>
        <w:tc>
          <w:tcPr>
            <w:tcW w:w="5420" w:type="dxa"/>
            <w:tcBorders>
              <w:top w:val="single" w:sz="2" w:space="0" w:color="000000"/>
              <w:left w:val="single" w:sz="4" w:space="0" w:color="000000"/>
              <w:bottom w:val="single" w:sz="4" w:space="0" w:color="000000"/>
            </w:tcBorders>
            <w:shd w:val="clear" w:color="auto" w:fill="auto"/>
            <w:vAlign w:val="center"/>
          </w:tcPr>
          <w:p w14:paraId="75CBA175" w14:textId="77777777" w:rsidR="008F52C8" w:rsidRPr="0030358C" w:rsidRDefault="00000000" w:rsidP="00732453">
            <w:pPr>
              <w:snapToGrid w:val="0"/>
              <w:spacing w:before="6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10</w:t>
            </w:r>
            <w:r w:rsidRPr="0030358C">
              <w:rPr>
                <w:rFonts w:ascii="Arial" w:hAnsi="Arial" w:cs="Arial"/>
                <w:b/>
                <w:bCs/>
                <w:sz w:val="22"/>
                <w:szCs w:val="22"/>
                <w:vertAlign w:val="superscript"/>
                <w:lang w:eastAsia="zh-CN"/>
              </w:rPr>
              <w:t>5), 6)</w:t>
            </w:r>
          </w:p>
          <w:p w14:paraId="1FFE0A34" w14:textId="77777777" w:rsidR="008F52C8" w:rsidRPr="0030358C" w:rsidRDefault="00000000" w:rsidP="00732453">
            <w:pPr>
              <w:snapToGrid w:val="0"/>
              <w:spacing w:before="6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35</w:t>
            </w:r>
            <w:r w:rsidRPr="0030358C">
              <w:rPr>
                <w:rFonts w:ascii="Arial" w:hAnsi="Arial" w:cs="Arial"/>
                <w:b/>
                <w:bCs/>
                <w:sz w:val="22"/>
                <w:szCs w:val="22"/>
                <w:vertAlign w:val="superscript"/>
                <w:lang w:eastAsia="zh-CN"/>
              </w:rPr>
              <w:t>7), 5)</w:t>
            </w:r>
          </w:p>
        </w:tc>
        <w:tc>
          <w:tcPr>
            <w:tcW w:w="1966" w:type="dxa"/>
            <w:tcBorders>
              <w:top w:val="single" w:sz="2" w:space="0" w:color="000000"/>
              <w:left w:val="single" w:sz="4" w:space="0" w:color="000000"/>
              <w:bottom w:val="single" w:sz="4" w:space="0" w:color="000000"/>
            </w:tcBorders>
            <w:shd w:val="clear" w:color="auto" w:fill="auto"/>
            <w:vAlign w:val="center"/>
          </w:tcPr>
          <w:p w14:paraId="6FDA3ABD" w14:textId="77777777" w:rsidR="008F52C8" w:rsidRPr="0030358C" w:rsidRDefault="00000000" w:rsidP="00732453">
            <w:pPr>
              <w:snapToGrid w:val="0"/>
              <w:spacing w:before="60"/>
              <w:jc w:val="center"/>
              <w:rPr>
                <w:rFonts w:ascii="Arial" w:hAnsi="Arial" w:cs="Arial"/>
                <w:b/>
                <w:bCs/>
                <w:sz w:val="22"/>
                <w:szCs w:val="22"/>
                <w:vertAlign w:val="superscript"/>
                <w:lang w:eastAsia="zh-CN"/>
              </w:rPr>
            </w:pPr>
            <w:r w:rsidRPr="0030358C">
              <w:rPr>
                <w:rFonts w:ascii="Arial" w:hAnsi="Arial" w:cs="Arial"/>
                <w:b/>
                <w:bCs/>
                <w:sz w:val="22"/>
                <w:szCs w:val="22"/>
                <w:lang w:eastAsia="zh-CN"/>
              </w:rPr>
              <w:t>25</w:t>
            </w:r>
            <w:r w:rsidRPr="0030358C">
              <w:rPr>
                <w:rFonts w:ascii="Arial" w:hAnsi="Arial" w:cs="Arial"/>
                <w:b/>
                <w:bCs/>
                <w:sz w:val="22"/>
                <w:szCs w:val="22"/>
                <w:vertAlign w:val="superscript"/>
                <w:lang w:eastAsia="zh-CN"/>
              </w:rPr>
              <w:t>8)</w:t>
            </w:r>
          </w:p>
        </w:tc>
        <w:tc>
          <w:tcPr>
            <w:tcW w:w="22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0C5A4D" w14:textId="77777777" w:rsidR="008F52C8" w:rsidRPr="0030358C" w:rsidRDefault="008F52C8" w:rsidP="00732453">
            <w:pPr>
              <w:snapToGrid w:val="0"/>
              <w:rPr>
                <w:rFonts w:ascii="Arial" w:hAnsi="Arial" w:cs="Arial"/>
                <w:b/>
                <w:bCs/>
                <w:sz w:val="22"/>
                <w:szCs w:val="22"/>
                <w:lang w:eastAsia="zh-CN"/>
              </w:rPr>
            </w:pPr>
          </w:p>
        </w:tc>
      </w:tr>
    </w:tbl>
    <w:p w14:paraId="0D27548E" w14:textId="77777777" w:rsidR="008F52C8" w:rsidRPr="0030358C" w:rsidRDefault="00000000" w:rsidP="008F52C8">
      <w:pPr>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38E3831C" w14:textId="77777777" w:rsidR="008F52C8" w:rsidRPr="0030358C" w:rsidRDefault="00000000" w:rsidP="008F52C8">
      <w:pPr>
        <w:tabs>
          <w:tab w:val="left" w:pos="284"/>
          <w:tab w:val="left" w:pos="576"/>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1)</w:t>
      </w:r>
      <w:r w:rsidRPr="0030358C">
        <w:rPr>
          <w:rFonts w:ascii="Arial" w:hAnsi="Arial" w:cs="Arial"/>
          <w:b/>
          <w:bCs/>
          <w:iCs/>
          <w:sz w:val="22"/>
          <w:szCs w:val="22"/>
          <w:lang w:eastAsia="zh-CN"/>
        </w:rPr>
        <w:tab/>
        <w:t>Platí pro zařízení na snižování emisí spalováním.</w:t>
      </w:r>
    </w:p>
    <w:p w14:paraId="0B299381" w14:textId="77777777" w:rsidR="008F52C8" w:rsidRPr="0030358C" w:rsidRDefault="00000000" w:rsidP="008F52C8">
      <w:pPr>
        <w:tabs>
          <w:tab w:val="left" w:pos="284"/>
          <w:tab w:val="left" w:pos="576"/>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2)</w:t>
      </w:r>
      <w:r w:rsidRPr="0030358C">
        <w:rPr>
          <w:rFonts w:ascii="Arial" w:hAnsi="Arial" w:cs="Arial"/>
          <w:b/>
          <w:bCs/>
          <w:iCs/>
          <w:sz w:val="22"/>
          <w:szCs w:val="22"/>
          <w:lang w:eastAsia="zh-CN"/>
        </w:rPr>
        <w:tab/>
        <w:t>Platí pro výrobu vláken.</w:t>
      </w:r>
    </w:p>
    <w:p w14:paraId="550C7688" w14:textId="77777777" w:rsidR="008F52C8" w:rsidRPr="0030358C" w:rsidRDefault="00000000" w:rsidP="008F52C8">
      <w:pPr>
        <w:tabs>
          <w:tab w:val="left" w:pos="284"/>
          <w:tab w:val="left" w:pos="50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3)</w:t>
      </w:r>
      <w:r w:rsidRPr="0030358C">
        <w:rPr>
          <w:rFonts w:ascii="Arial" w:hAnsi="Arial" w:cs="Arial"/>
          <w:b/>
          <w:bCs/>
          <w:iCs/>
          <w:sz w:val="22"/>
          <w:szCs w:val="22"/>
          <w:lang w:eastAsia="zh-CN"/>
        </w:rPr>
        <w:tab/>
        <w:t>Platí na výstupu z ostatních zařízení na snižování emisí.</w:t>
      </w:r>
    </w:p>
    <w:p w14:paraId="5A2C21DC" w14:textId="77777777" w:rsidR="008F52C8" w:rsidRPr="0030358C" w:rsidRDefault="00000000" w:rsidP="008F52C8">
      <w:pPr>
        <w:tabs>
          <w:tab w:val="left" w:pos="284"/>
          <w:tab w:val="left" w:pos="50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4)</w:t>
      </w:r>
      <w:r w:rsidRPr="0030358C">
        <w:rPr>
          <w:rFonts w:ascii="Arial" w:hAnsi="Arial" w:cs="Arial"/>
          <w:b/>
          <w:bCs/>
          <w:iCs/>
          <w:sz w:val="22"/>
          <w:szCs w:val="22"/>
          <w:lang w:eastAsia="zh-CN"/>
        </w:rPr>
        <w:tab/>
        <w:t>Platí pro výrobu a zpracování ACN polymerů.</w:t>
      </w:r>
    </w:p>
    <w:p w14:paraId="6A1BE8AF" w14:textId="77777777" w:rsidR="008F52C8" w:rsidRPr="0030358C" w:rsidRDefault="00000000" w:rsidP="008F52C8">
      <w:pPr>
        <w:tabs>
          <w:tab w:val="left" w:pos="284"/>
          <w:tab w:val="left" w:pos="50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5)</w:t>
      </w:r>
      <w:r w:rsidRPr="0030358C">
        <w:rPr>
          <w:rFonts w:ascii="Arial" w:hAnsi="Arial" w:cs="Arial"/>
          <w:b/>
          <w:bCs/>
          <w:iCs/>
          <w:sz w:val="22"/>
          <w:szCs w:val="22"/>
          <w:lang w:eastAsia="zh-CN"/>
        </w:rPr>
        <w:tab/>
        <w:t>Platí u spřádání vláken.</w:t>
      </w:r>
    </w:p>
    <w:p w14:paraId="4BBA73C4" w14:textId="77777777" w:rsidR="008F52C8" w:rsidRPr="0030358C" w:rsidRDefault="00000000" w:rsidP="008F52C8">
      <w:pPr>
        <w:tabs>
          <w:tab w:val="left" w:pos="284"/>
          <w:tab w:val="left" w:pos="50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6)</w:t>
      </w:r>
      <w:r w:rsidRPr="0030358C">
        <w:rPr>
          <w:rFonts w:ascii="Arial" w:hAnsi="Arial" w:cs="Arial"/>
          <w:b/>
          <w:bCs/>
          <w:iCs/>
          <w:sz w:val="22"/>
          <w:szCs w:val="22"/>
          <w:lang w:eastAsia="zh-CN"/>
        </w:rPr>
        <w:tab/>
        <w:t>Platí při mokrém procesu zvlákňování.</w:t>
      </w:r>
    </w:p>
    <w:p w14:paraId="4AF7F926" w14:textId="77777777" w:rsidR="008F52C8" w:rsidRPr="0030358C" w:rsidRDefault="00000000" w:rsidP="008F52C8">
      <w:pPr>
        <w:tabs>
          <w:tab w:val="left" w:pos="284"/>
          <w:tab w:val="left" w:pos="50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7)</w:t>
      </w:r>
      <w:r w:rsidRPr="0030358C">
        <w:rPr>
          <w:rFonts w:ascii="Arial" w:hAnsi="Arial" w:cs="Arial"/>
          <w:b/>
          <w:bCs/>
          <w:iCs/>
          <w:sz w:val="22"/>
          <w:szCs w:val="22"/>
          <w:lang w:eastAsia="zh-CN"/>
        </w:rPr>
        <w:tab/>
        <w:t>Platí při suchém procesu zvlákňování.</w:t>
      </w:r>
    </w:p>
    <w:p w14:paraId="261E0391" w14:textId="77777777" w:rsidR="008F52C8" w:rsidRPr="0030358C" w:rsidRDefault="00000000" w:rsidP="008F52C8">
      <w:pPr>
        <w:jc w:val="both"/>
        <w:rPr>
          <w:rFonts w:ascii="Arial" w:hAnsi="Arial" w:cs="Arial"/>
          <w:b/>
          <w:bCs/>
          <w:iCs/>
          <w:sz w:val="22"/>
          <w:szCs w:val="22"/>
          <w:lang w:eastAsia="zh-CN"/>
        </w:rPr>
      </w:pPr>
      <w:r w:rsidRPr="0030358C">
        <w:rPr>
          <w:rFonts w:ascii="Arial" w:hAnsi="Arial" w:cs="Arial"/>
          <w:b/>
          <w:bCs/>
          <w:iCs/>
          <w:sz w:val="22"/>
          <w:szCs w:val="22"/>
          <w:lang w:eastAsia="zh-CN"/>
        </w:rPr>
        <w:t>8) Platí pro výrobu ABS polymerů (hmot).</w:t>
      </w:r>
    </w:p>
    <w:p w14:paraId="687BA691" w14:textId="77777777" w:rsidR="008F52C8" w:rsidRPr="0030358C" w:rsidRDefault="008F52C8" w:rsidP="008F52C8">
      <w:pPr>
        <w:jc w:val="both"/>
        <w:rPr>
          <w:rFonts w:ascii="Arial" w:hAnsi="Arial" w:cs="Arial"/>
          <w:b/>
          <w:bCs/>
          <w:sz w:val="22"/>
          <w:szCs w:val="22"/>
          <w:lang w:eastAsia="zh-CN"/>
        </w:rPr>
      </w:pPr>
    </w:p>
    <w:p w14:paraId="6AB20128"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49E35EBB"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 xml:space="preserve">Odvádění všech plynů s obsahem akrylonitrilu při spřádání vláken, plynů z reaktorů, sběrných nádob na suspenze a propíracích filtrů, které obsahují akrylonitril a butadien do zařízení k omezování emisí </w:t>
      </w:r>
    </w:p>
    <w:p w14:paraId="32B607CC" w14:textId="77777777" w:rsidR="008F52C8" w:rsidRPr="0030358C" w:rsidRDefault="008F52C8" w:rsidP="008F52C8">
      <w:pPr>
        <w:keepNext/>
        <w:keepLines/>
        <w:jc w:val="both"/>
        <w:rPr>
          <w:rFonts w:ascii="Arial" w:hAnsi="Arial" w:cs="Arial"/>
          <w:b/>
          <w:bCs/>
          <w:sz w:val="22"/>
          <w:szCs w:val="22"/>
          <w:lang w:eastAsia="zh-CN"/>
        </w:rPr>
      </w:pPr>
    </w:p>
    <w:p w14:paraId="0C55EB1D"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5.1.3. Výroba polyvinylchloridu (kód 6.4. dle přílohy č. 2 zákona)</w:t>
      </w:r>
    </w:p>
    <w:tbl>
      <w:tblPr>
        <w:tblW w:w="0" w:type="auto"/>
        <w:tblInd w:w="-15" w:type="dxa"/>
        <w:tblLayout w:type="fixed"/>
        <w:tblLook w:val="0000" w:firstRow="0" w:lastRow="0" w:firstColumn="0" w:lastColumn="0" w:noHBand="0" w:noVBand="0"/>
      </w:tblPr>
      <w:tblGrid>
        <w:gridCol w:w="4969"/>
        <w:gridCol w:w="2599"/>
        <w:gridCol w:w="2032"/>
      </w:tblGrid>
      <w:tr w:rsidR="00E40657" w14:paraId="5179C3EF" w14:textId="77777777" w:rsidTr="00732453">
        <w:trPr>
          <w:cantSplit/>
          <w:trHeight w:hRule="exact" w:val="495"/>
        </w:trPr>
        <w:tc>
          <w:tcPr>
            <w:tcW w:w="4969" w:type="dxa"/>
            <w:tcBorders>
              <w:top w:val="single" w:sz="4" w:space="0" w:color="000000"/>
              <w:left w:val="single" w:sz="4" w:space="0" w:color="000000"/>
              <w:bottom w:val="single" w:sz="4" w:space="0" w:color="000000"/>
            </w:tcBorders>
            <w:shd w:val="clear" w:color="auto" w:fill="auto"/>
            <w:vAlign w:val="center"/>
          </w:tcPr>
          <w:p w14:paraId="57296E62"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599" w:type="dxa"/>
            <w:vMerge w:val="restart"/>
            <w:tcBorders>
              <w:top w:val="single" w:sz="4" w:space="0" w:color="000000"/>
              <w:left w:val="single" w:sz="4" w:space="0" w:color="000000"/>
              <w:bottom w:val="single" w:sz="4" w:space="0" w:color="000000"/>
            </w:tcBorders>
            <w:shd w:val="clear" w:color="auto" w:fill="auto"/>
            <w:vAlign w:val="center"/>
          </w:tcPr>
          <w:p w14:paraId="6B7C7DF1"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 [g/t]</w:t>
            </w: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F86650"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3DEF5EF" w14:textId="77777777" w:rsidTr="00732453">
        <w:trPr>
          <w:cantSplit/>
          <w:trHeight w:hRule="exact" w:val="340"/>
        </w:trPr>
        <w:tc>
          <w:tcPr>
            <w:tcW w:w="4969" w:type="dxa"/>
            <w:tcBorders>
              <w:top w:val="single" w:sz="4" w:space="0" w:color="000000"/>
              <w:left w:val="single" w:sz="4" w:space="0" w:color="000000"/>
              <w:bottom w:val="single" w:sz="4" w:space="0" w:color="000000"/>
            </w:tcBorders>
            <w:shd w:val="clear" w:color="auto" w:fill="auto"/>
            <w:vAlign w:val="center"/>
          </w:tcPr>
          <w:p w14:paraId="475E7C7E"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Vinylchlorid</w:t>
            </w:r>
          </w:p>
        </w:tc>
        <w:tc>
          <w:tcPr>
            <w:tcW w:w="2599" w:type="dxa"/>
            <w:vMerge/>
            <w:tcBorders>
              <w:top w:val="single" w:sz="4" w:space="0" w:color="000000"/>
              <w:left w:val="single" w:sz="4" w:space="0" w:color="000000"/>
              <w:bottom w:val="single" w:sz="4" w:space="0" w:color="000000"/>
            </w:tcBorders>
            <w:shd w:val="clear" w:color="auto" w:fill="auto"/>
            <w:vAlign w:val="center"/>
          </w:tcPr>
          <w:p w14:paraId="0EDAD15B" w14:textId="77777777" w:rsidR="008F52C8" w:rsidRPr="0030358C" w:rsidRDefault="008F52C8" w:rsidP="00732453">
            <w:pPr>
              <w:snapToGrid w:val="0"/>
              <w:rPr>
                <w:rFonts w:ascii="Arial" w:hAnsi="Arial" w:cs="Arial"/>
                <w:b/>
                <w:bCs/>
                <w:sz w:val="22"/>
                <w:szCs w:val="22"/>
                <w:lang w:eastAsia="zh-CN"/>
              </w:rPr>
            </w:pPr>
          </w:p>
        </w:tc>
        <w:tc>
          <w:tcPr>
            <w:tcW w:w="20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E52E4" w14:textId="77777777" w:rsidR="008F52C8" w:rsidRPr="0030358C" w:rsidRDefault="008F52C8" w:rsidP="00732453">
            <w:pPr>
              <w:snapToGrid w:val="0"/>
              <w:rPr>
                <w:rFonts w:ascii="Arial" w:hAnsi="Arial" w:cs="Arial"/>
                <w:b/>
                <w:bCs/>
                <w:sz w:val="22"/>
                <w:szCs w:val="22"/>
                <w:lang w:eastAsia="zh-CN"/>
              </w:rPr>
            </w:pPr>
          </w:p>
        </w:tc>
      </w:tr>
      <w:tr w:rsidR="00E40657" w14:paraId="2D92A7A9" w14:textId="77777777" w:rsidTr="00732453">
        <w:trPr>
          <w:cantSplit/>
          <w:trHeight w:hRule="exact" w:val="642"/>
        </w:trPr>
        <w:tc>
          <w:tcPr>
            <w:tcW w:w="4969" w:type="dxa"/>
            <w:tcBorders>
              <w:top w:val="single" w:sz="4" w:space="0" w:color="000000"/>
              <w:left w:val="single" w:sz="4" w:space="0" w:color="000000"/>
              <w:bottom w:val="single" w:sz="4" w:space="0" w:color="000000"/>
            </w:tcBorders>
            <w:shd w:val="clear" w:color="auto" w:fill="auto"/>
            <w:vAlign w:val="center"/>
          </w:tcPr>
          <w:p w14:paraId="1B8D841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5</w:t>
            </w:r>
          </w:p>
        </w:tc>
        <w:tc>
          <w:tcPr>
            <w:tcW w:w="2599" w:type="dxa"/>
            <w:tcBorders>
              <w:top w:val="single" w:sz="4" w:space="0" w:color="000000"/>
              <w:left w:val="single" w:sz="4" w:space="0" w:color="000000"/>
              <w:bottom w:val="single" w:sz="4" w:space="0" w:color="000000"/>
            </w:tcBorders>
            <w:shd w:val="clear" w:color="auto" w:fill="auto"/>
            <w:vAlign w:val="center"/>
          </w:tcPr>
          <w:p w14:paraId="1F11AEB7"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1)</w:t>
            </w:r>
          </w:p>
          <w:p w14:paraId="04687116"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100</w:t>
            </w:r>
            <w:r w:rsidRPr="0030358C">
              <w:rPr>
                <w:rFonts w:ascii="Arial" w:hAnsi="Arial" w:cs="Arial"/>
                <w:b/>
                <w:bCs/>
                <w:sz w:val="22"/>
                <w:szCs w:val="22"/>
                <w:vertAlign w:val="superscript"/>
                <w:lang w:eastAsia="zh-CN"/>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6FAD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6E36BAC9" w14:textId="77777777" w:rsidR="008F52C8" w:rsidRPr="0030358C" w:rsidRDefault="00000000" w:rsidP="008F52C8">
      <w:pPr>
        <w:widowControl w:val="0"/>
        <w:autoSpaceDE w:val="0"/>
        <w:jc w:val="both"/>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44A89A4B" w14:textId="77777777" w:rsidR="008F52C8" w:rsidRPr="0030358C" w:rsidRDefault="00000000" w:rsidP="008F52C8">
      <w:pPr>
        <w:widowControl w:val="0"/>
        <w:tabs>
          <w:tab w:val="left" w:pos="284"/>
        </w:tabs>
        <w:autoSpaceDE w:val="0"/>
        <w:spacing w:line="276" w:lineRule="auto"/>
        <w:jc w:val="both"/>
        <w:rPr>
          <w:rFonts w:ascii="Arial" w:hAnsi="Arial" w:cs="Arial"/>
          <w:b/>
          <w:bCs/>
          <w:iCs/>
          <w:sz w:val="22"/>
          <w:szCs w:val="22"/>
          <w:lang w:eastAsia="zh-CN"/>
        </w:rPr>
      </w:pPr>
      <w:r w:rsidRPr="0030358C">
        <w:rPr>
          <w:rFonts w:ascii="Arial" w:hAnsi="Arial" w:cs="Arial"/>
          <w:b/>
          <w:bCs/>
          <w:iCs/>
          <w:sz w:val="22"/>
          <w:szCs w:val="22"/>
          <w:lang w:eastAsia="zh-CN"/>
        </w:rPr>
        <w:t>1)</w:t>
      </w:r>
      <w:r w:rsidRPr="0030358C">
        <w:rPr>
          <w:rFonts w:ascii="Arial" w:hAnsi="Arial" w:cs="Arial"/>
          <w:b/>
          <w:bCs/>
          <w:iCs/>
          <w:sz w:val="22"/>
          <w:szCs w:val="22"/>
          <w:lang w:eastAsia="zh-CN"/>
        </w:rPr>
        <w:tab/>
        <w:t>Platí pro vinylchlorid u hotového výrobku na jednotku PVC.</w:t>
      </w:r>
    </w:p>
    <w:p w14:paraId="13341108" w14:textId="77777777" w:rsidR="008F52C8" w:rsidRPr="0030358C" w:rsidRDefault="00000000" w:rsidP="008F52C8">
      <w:pPr>
        <w:widowControl w:val="0"/>
        <w:tabs>
          <w:tab w:val="left" w:pos="284"/>
        </w:tabs>
        <w:autoSpaceDE w:val="0"/>
        <w:spacing w:line="276" w:lineRule="auto"/>
        <w:jc w:val="both"/>
        <w:rPr>
          <w:rFonts w:ascii="Arial" w:hAnsi="Arial" w:cs="Arial"/>
          <w:b/>
          <w:bCs/>
          <w:iCs/>
          <w:sz w:val="22"/>
          <w:szCs w:val="22"/>
          <w:lang w:eastAsia="zh-CN"/>
        </w:rPr>
      </w:pPr>
      <w:r w:rsidRPr="0030358C">
        <w:rPr>
          <w:rFonts w:ascii="Arial" w:hAnsi="Arial" w:cs="Arial"/>
          <w:b/>
          <w:bCs/>
          <w:iCs/>
          <w:sz w:val="22"/>
          <w:szCs w:val="22"/>
          <w:lang w:eastAsia="zh-CN"/>
        </w:rPr>
        <w:t>2)</w:t>
      </w:r>
      <w:r w:rsidRPr="0030358C">
        <w:rPr>
          <w:rFonts w:ascii="Arial" w:hAnsi="Arial" w:cs="Arial"/>
          <w:b/>
          <w:bCs/>
          <w:iCs/>
          <w:sz w:val="22"/>
          <w:szCs w:val="22"/>
          <w:lang w:eastAsia="zh-CN"/>
        </w:rPr>
        <w:tab/>
        <w:t>Platí pro zbytkový obsah vinylchloridu v místě přechodu z uzavřeného systému na úpravu nebo na sušení v otevřeném systému v měsíčním průměru, v suspenzi polymeru na jednotku PVC.</w:t>
      </w:r>
    </w:p>
    <w:p w14:paraId="4F7E14F4" w14:textId="77777777" w:rsidR="008F52C8" w:rsidRPr="0030358C" w:rsidRDefault="008F52C8" w:rsidP="008F52C8">
      <w:pPr>
        <w:rPr>
          <w:rFonts w:ascii="Arial" w:hAnsi="Arial" w:cs="Arial"/>
          <w:b/>
          <w:bCs/>
          <w:sz w:val="22"/>
          <w:szCs w:val="22"/>
          <w:lang w:eastAsia="zh-CN"/>
        </w:rPr>
      </w:pPr>
    </w:p>
    <w:p w14:paraId="32F6C58F" w14:textId="77777777" w:rsidR="008F52C8" w:rsidRPr="0030358C" w:rsidRDefault="008F52C8" w:rsidP="008F52C8">
      <w:pPr>
        <w:rPr>
          <w:rFonts w:ascii="Arial" w:hAnsi="Arial" w:cs="Arial"/>
          <w:b/>
          <w:bCs/>
          <w:sz w:val="22"/>
          <w:szCs w:val="22"/>
          <w:lang w:eastAsia="zh-CN"/>
        </w:rPr>
      </w:pPr>
    </w:p>
    <w:p w14:paraId="4005CE86" w14:textId="77777777" w:rsidR="008F52C8" w:rsidRPr="0030358C" w:rsidRDefault="00000000" w:rsidP="008F52C8">
      <w:pPr>
        <w:autoSpaceDE w:val="0"/>
        <w:jc w:val="both"/>
        <w:rPr>
          <w:rFonts w:ascii="Arial" w:hAnsi="Arial" w:cs="Arial"/>
          <w:b/>
          <w:bCs/>
          <w:color w:val="000000"/>
          <w:sz w:val="22"/>
          <w:szCs w:val="22"/>
          <w:lang w:eastAsia="zh-CN"/>
        </w:rPr>
      </w:pPr>
      <w:r w:rsidRPr="0030358C">
        <w:rPr>
          <w:rFonts w:ascii="Arial" w:hAnsi="Arial" w:cs="Arial"/>
          <w:b/>
          <w:bCs/>
          <w:color w:val="000000"/>
          <w:sz w:val="22"/>
          <w:szCs w:val="22"/>
          <w:lang w:eastAsia="zh-CN"/>
        </w:rPr>
        <w:t>5.1.4.</w:t>
      </w:r>
      <w:r w:rsidRPr="0030358C">
        <w:rPr>
          <w:rFonts w:ascii="Arial" w:eastAsia="EUAlbertina" w:hAnsi="Arial" w:cs="Arial"/>
          <w:b/>
          <w:bCs/>
          <w:color w:val="000000"/>
          <w:sz w:val="22"/>
          <w:szCs w:val="22"/>
          <w:lang w:eastAsia="zh-CN"/>
        </w:rPr>
        <w:t xml:space="preserve"> </w:t>
      </w:r>
      <w:r w:rsidRPr="0030358C">
        <w:rPr>
          <w:rFonts w:ascii="Arial" w:hAnsi="Arial" w:cs="Arial"/>
          <w:b/>
          <w:bCs/>
          <w:color w:val="000000"/>
          <w:sz w:val="22"/>
          <w:szCs w:val="22"/>
          <w:lang w:eastAsia="zh-CN"/>
        </w:rPr>
        <w:t>Výroba nebo zpracování syntetických polymerů a kompozitů, s výjimkou výroby syntetických polymerů a kompozitů uvedených pod jiným kódem, o celkové projektované kapacitě vyšší než 100 t za rok nebo s celkovou projektovanou spotřebou</w:t>
      </w:r>
      <w:r w:rsidRPr="0030358C">
        <w:rPr>
          <w:rFonts w:ascii="Arial" w:hAnsi="Arial" w:cs="Arial"/>
          <w:b/>
          <w:bCs/>
          <w:color w:val="000000"/>
          <w:sz w:val="22"/>
          <w:szCs w:val="22"/>
          <w:vertAlign w:val="superscript"/>
          <w:lang w:eastAsia="zh-CN"/>
        </w:rPr>
        <w:t>5)</w:t>
      </w:r>
      <w:r w:rsidRPr="0030358C">
        <w:rPr>
          <w:rFonts w:ascii="Arial" w:hAnsi="Arial" w:cs="Arial"/>
          <w:b/>
          <w:bCs/>
          <w:color w:val="000000"/>
          <w:sz w:val="22"/>
          <w:szCs w:val="22"/>
          <w:lang w:eastAsia="zh-CN"/>
        </w:rPr>
        <w:t xml:space="preserve"> organických rozpouštědel 0,6 t za rok nebo větší; řezání syntetických polymerů laserem nebo odporovým drátem o celkové projektované kapacitě vyšší než 10 tun za rok. (kód 6.5. dle přílohy č. 2 zákona)</w:t>
      </w:r>
    </w:p>
    <w:tbl>
      <w:tblPr>
        <w:tblW w:w="10209" w:type="dxa"/>
        <w:tblInd w:w="-6" w:type="dxa"/>
        <w:tblLayout w:type="fixed"/>
        <w:tblCellMar>
          <w:left w:w="10" w:type="dxa"/>
          <w:right w:w="10" w:type="dxa"/>
        </w:tblCellMar>
        <w:tblLook w:val="0000" w:firstRow="0" w:lastRow="0" w:firstColumn="0" w:lastColumn="0" w:noHBand="0" w:noVBand="0"/>
      </w:tblPr>
      <w:tblGrid>
        <w:gridCol w:w="2130"/>
        <w:gridCol w:w="2409"/>
        <w:gridCol w:w="2268"/>
        <w:gridCol w:w="3402"/>
      </w:tblGrid>
      <w:tr w:rsidR="00E40657" w14:paraId="21805010" w14:textId="77777777" w:rsidTr="00732453">
        <w:trPr>
          <w:cantSplit/>
          <w:trHeight w:hRule="exact" w:val="341"/>
        </w:trPr>
        <w:tc>
          <w:tcPr>
            <w:tcW w:w="6807" w:type="dxa"/>
            <w:gridSpan w:val="3"/>
            <w:tcBorders>
              <w:top w:val="single" w:sz="2" w:space="0" w:color="000000"/>
              <w:left w:val="single" w:sz="2" w:space="0" w:color="000000"/>
              <w:bottom w:val="single" w:sz="2" w:space="0" w:color="000000"/>
            </w:tcBorders>
          </w:tcPr>
          <w:p w14:paraId="39D0C0C6"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402" w:type="dxa"/>
            <w:vMerge w:val="restart"/>
            <w:tcBorders>
              <w:top w:val="single" w:sz="2" w:space="0" w:color="000000"/>
              <w:left w:val="single" w:sz="2" w:space="0" w:color="000000"/>
              <w:right w:val="single" w:sz="2" w:space="0" w:color="000000"/>
            </w:tcBorders>
            <w:shd w:val="clear" w:color="auto" w:fill="auto"/>
            <w:vAlign w:val="center"/>
          </w:tcPr>
          <w:p w14:paraId="18803A75"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0A4F5BC5" w14:textId="77777777" w:rsidR="008F52C8" w:rsidRPr="0030358C" w:rsidRDefault="00000000" w:rsidP="00732453">
            <w:pPr>
              <w:widowControl w:val="0"/>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1B3EB254" w14:textId="77777777" w:rsidTr="00732453">
        <w:trPr>
          <w:cantSplit/>
          <w:trHeight w:hRule="exact" w:val="331"/>
        </w:trPr>
        <w:tc>
          <w:tcPr>
            <w:tcW w:w="2130" w:type="dxa"/>
            <w:tcBorders>
              <w:top w:val="single" w:sz="2" w:space="0" w:color="000000"/>
              <w:left w:val="single" w:sz="2" w:space="0" w:color="000000"/>
              <w:bottom w:val="single" w:sz="2" w:space="0" w:color="000000"/>
            </w:tcBorders>
          </w:tcPr>
          <w:p w14:paraId="528C31D4"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409" w:type="dxa"/>
            <w:tcBorders>
              <w:top w:val="single" w:sz="2" w:space="0" w:color="000000"/>
              <w:left w:val="single" w:sz="2" w:space="0" w:color="000000"/>
              <w:bottom w:val="single" w:sz="2" w:space="0" w:color="000000"/>
            </w:tcBorders>
            <w:shd w:val="clear" w:color="auto" w:fill="auto"/>
            <w:vAlign w:val="center"/>
          </w:tcPr>
          <w:p w14:paraId="67607EC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2268" w:type="dxa"/>
            <w:tcBorders>
              <w:top w:val="single" w:sz="2" w:space="0" w:color="000000"/>
              <w:left w:val="single" w:sz="2" w:space="0" w:color="000000"/>
              <w:bottom w:val="single" w:sz="2" w:space="0" w:color="000000"/>
            </w:tcBorders>
            <w:shd w:val="clear" w:color="auto" w:fill="auto"/>
            <w:vAlign w:val="center"/>
          </w:tcPr>
          <w:p w14:paraId="7BEDC182" w14:textId="77777777" w:rsidR="008F52C8" w:rsidRPr="0030358C" w:rsidRDefault="00000000" w:rsidP="00732453">
            <w:pPr>
              <w:widowControl w:val="0"/>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NH</w:t>
            </w:r>
            <w:r w:rsidRPr="0030358C">
              <w:rPr>
                <w:rFonts w:ascii="Arial" w:hAnsi="Arial" w:cs="Arial"/>
                <w:b/>
                <w:bCs/>
                <w:sz w:val="22"/>
                <w:szCs w:val="22"/>
                <w:vertAlign w:val="subscript"/>
                <w:lang w:eastAsia="zh-CN"/>
              </w:rPr>
              <w:t>3</w:t>
            </w:r>
          </w:p>
        </w:tc>
        <w:tc>
          <w:tcPr>
            <w:tcW w:w="3402" w:type="dxa"/>
            <w:vMerge/>
            <w:tcBorders>
              <w:left w:val="single" w:sz="2" w:space="0" w:color="000000"/>
              <w:bottom w:val="single" w:sz="2" w:space="0" w:color="000000"/>
              <w:right w:val="single" w:sz="2" w:space="0" w:color="000000"/>
            </w:tcBorders>
            <w:shd w:val="clear" w:color="auto" w:fill="auto"/>
          </w:tcPr>
          <w:p w14:paraId="6B259129" w14:textId="77777777" w:rsidR="008F52C8" w:rsidRPr="0030358C" w:rsidRDefault="008F52C8" w:rsidP="00732453">
            <w:pPr>
              <w:widowControl w:val="0"/>
              <w:autoSpaceDE w:val="0"/>
              <w:snapToGrid w:val="0"/>
              <w:jc w:val="both"/>
              <w:rPr>
                <w:rFonts w:ascii="Arial" w:hAnsi="Arial" w:cs="Arial"/>
                <w:b/>
                <w:bCs/>
                <w:sz w:val="22"/>
                <w:szCs w:val="22"/>
                <w:lang w:eastAsia="zh-CN"/>
              </w:rPr>
            </w:pPr>
          </w:p>
        </w:tc>
      </w:tr>
      <w:tr w:rsidR="00E40657" w14:paraId="60AEDE1A" w14:textId="77777777" w:rsidTr="00732453">
        <w:trPr>
          <w:trHeight w:hRule="exact" w:val="568"/>
        </w:trPr>
        <w:tc>
          <w:tcPr>
            <w:tcW w:w="2130" w:type="dxa"/>
            <w:tcBorders>
              <w:top w:val="single" w:sz="2" w:space="0" w:color="000000"/>
              <w:left w:val="single" w:sz="2" w:space="0" w:color="000000"/>
              <w:bottom w:val="single" w:sz="2" w:space="0" w:color="000000"/>
            </w:tcBorders>
            <w:vAlign w:val="center"/>
          </w:tcPr>
          <w:p w14:paraId="4F4C11AA"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20</w:t>
            </w:r>
            <w:r w:rsidRPr="0030358C">
              <w:rPr>
                <w:rFonts w:ascii="Arial" w:hAnsi="Arial" w:cs="Arial"/>
                <w:b/>
                <w:bCs/>
                <w:sz w:val="22"/>
                <w:szCs w:val="22"/>
                <w:vertAlign w:val="superscript"/>
                <w:lang w:eastAsia="zh-CN"/>
              </w:rPr>
              <w:t>6</w:t>
            </w:r>
          </w:p>
        </w:tc>
        <w:tc>
          <w:tcPr>
            <w:tcW w:w="2409" w:type="dxa"/>
            <w:tcBorders>
              <w:top w:val="single" w:sz="2" w:space="0" w:color="000000"/>
              <w:left w:val="single" w:sz="2" w:space="0" w:color="000000"/>
              <w:bottom w:val="single" w:sz="2" w:space="0" w:color="000000"/>
            </w:tcBorders>
            <w:shd w:val="clear" w:color="auto" w:fill="auto"/>
            <w:vAlign w:val="center"/>
          </w:tcPr>
          <w:p w14:paraId="344E75BC"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85</w:t>
            </w:r>
            <w:r w:rsidRPr="0030358C">
              <w:rPr>
                <w:rFonts w:ascii="Arial" w:hAnsi="Arial" w:cs="Arial"/>
                <w:b/>
                <w:bCs/>
                <w:sz w:val="22"/>
                <w:szCs w:val="22"/>
                <w:vertAlign w:val="superscript"/>
                <w:lang w:eastAsia="zh-CN"/>
              </w:rPr>
              <w:t>2)</w:t>
            </w:r>
          </w:p>
          <w:p w14:paraId="41077202" w14:textId="77777777" w:rsidR="008F52C8" w:rsidRPr="0030358C" w:rsidRDefault="00000000" w:rsidP="00732453">
            <w:pPr>
              <w:widowControl w:val="0"/>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3)</w:t>
            </w:r>
          </w:p>
        </w:tc>
        <w:tc>
          <w:tcPr>
            <w:tcW w:w="2268" w:type="dxa"/>
            <w:tcBorders>
              <w:top w:val="single" w:sz="2" w:space="0" w:color="000000"/>
              <w:left w:val="single" w:sz="2" w:space="0" w:color="000000"/>
              <w:bottom w:val="single" w:sz="2" w:space="0" w:color="000000"/>
            </w:tcBorders>
            <w:shd w:val="clear" w:color="auto" w:fill="auto"/>
            <w:vAlign w:val="center"/>
          </w:tcPr>
          <w:p w14:paraId="55AD7FDB" w14:textId="77777777" w:rsidR="008F52C8" w:rsidRPr="0030358C" w:rsidRDefault="00000000" w:rsidP="00732453">
            <w:pPr>
              <w:widowControl w:val="0"/>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4)</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0ED92F" w14:textId="77777777" w:rsidR="008F52C8" w:rsidRPr="0030358C" w:rsidRDefault="00000000" w:rsidP="00732453">
            <w:pPr>
              <w:widowControl w:val="0"/>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2F8B795E" w14:textId="77777777" w:rsidR="008F52C8" w:rsidRPr="0030358C" w:rsidRDefault="00000000" w:rsidP="008F52C8">
      <w:pPr>
        <w:ind w:left="142" w:hanging="142"/>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14BBD089" w14:textId="77777777" w:rsidR="008F52C8" w:rsidRPr="0030358C" w:rsidRDefault="00000000" w:rsidP="008F52C8">
      <w:pPr>
        <w:spacing w:line="276" w:lineRule="auto"/>
        <w:rPr>
          <w:rFonts w:ascii="Arial" w:hAnsi="Arial" w:cs="Arial"/>
          <w:b/>
          <w:bCs/>
          <w:iCs/>
          <w:sz w:val="22"/>
          <w:szCs w:val="22"/>
          <w:lang w:eastAsia="zh-CN"/>
        </w:rPr>
      </w:pPr>
      <w:r w:rsidRPr="0030358C">
        <w:rPr>
          <w:rFonts w:ascii="Arial" w:hAnsi="Arial" w:cs="Arial"/>
          <w:b/>
          <w:bCs/>
          <w:iCs/>
          <w:sz w:val="22"/>
          <w:szCs w:val="22"/>
          <w:lang w:eastAsia="zh-CN"/>
        </w:rPr>
        <w:t>1) Neplatí pro zpracování kapalných epoxidových pryskyřic přímo v místě jejich konečného použití (např. během stavby budov).</w:t>
      </w:r>
    </w:p>
    <w:p w14:paraId="043BD2E4" w14:textId="77777777" w:rsidR="008F52C8" w:rsidRPr="0030358C" w:rsidRDefault="00000000" w:rsidP="008F52C8">
      <w:pPr>
        <w:spacing w:line="276" w:lineRule="auto"/>
        <w:ind w:left="142" w:hanging="142"/>
        <w:rPr>
          <w:rFonts w:ascii="Arial" w:hAnsi="Arial" w:cs="Arial"/>
          <w:b/>
          <w:bCs/>
          <w:iCs/>
          <w:sz w:val="22"/>
          <w:szCs w:val="22"/>
          <w:lang w:eastAsia="zh-CN"/>
        </w:rPr>
      </w:pPr>
      <w:r w:rsidRPr="0030358C">
        <w:rPr>
          <w:rFonts w:ascii="Arial" w:hAnsi="Arial" w:cs="Arial"/>
          <w:b/>
          <w:bCs/>
          <w:iCs/>
          <w:sz w:val="22"/>
          <w:szCs w:val="22"/>
          <w:lang w:eastAsia="zh-CN"/>
        </w:rPr>
        <w:t>2) Platí pro zpracování kapalných epoxidových pryskyřic s aminy.</w:t>
      </w:r>
    </w:p>
    <w:p w14:paraId="0616345F" w14:textId="77777777" w:rsidR="008F52C8" w:rsidRPr="0030358C" w:rsidRDefault="00000000" w:rsidP="008F52C8">
      <w:pPr>
        <w:spacing w:line="276" w:lineRule="auto"/>
        <w:rPr>
          <w:rFonts w:ascii="Arial" w:hAnsi="Arial" w:cs="Arial"/>
          <w:b/>
          <w:bCs/>
          <w:iCs/>
          <w:sz w:val="22"/>
          <w:szCs w:val="22"/>
          <w:lang w:eastAsia="zh-CN"/>
        </w:rPr>
      </w:pPr>
      <w:r w:rsidRPr="0030358C">
        <w:rPr>
          <w:rFonts w:ascii="Arial" w:hAnsi="Arial" w:cs="Arial"/>
          <w:b/>
          <w:bCs/>
          <w:iCs/>
          <w:sz w:val="22"/>
          <w:szCs w:val="22"/>
          <w:lang w:eastAsia="zh-CN"/>
        </w:rPr>
        <w:t>3) Platí pro zařízení na výrobu polyuretanových dílců, stavebnin s použitím polyuretanu, nevztahuje se na polyuretan nadouvaný uhlovodíkem (např. pentan).</w:t>
      </w:r>
    </w:p>
    <w:p w14:paraId="1CE3D530" w14:textId="77777777" w:rsidR="008F52C8" w:rsidRPr="0030358C" w:rsidRDefault="00000000" w:rsidP="008F52C8">
      <w:pPr>
        <w:spacing w:line="276" w:lineRule="auto"/>
        <w:rPr>
          <w:rFonts w:ascii="Arial" w:hAnsi="Arial" w:cs="Arial"/>
          <w:b/>
          <w:bCs/>
          <w:iCs/>
          <w:sz w:val="22"/>
          <w:szCs w:val="22"/>
          <w:lang w:eastAsia="zh-CN"/>
        </w:rPr>
      </w:pPr>
      <w:r w:rsidRPr="0030358C">
        <w:rPr>
          <w:rFonts w:ascii="Arial" w:hAnsi="Arial" w:cs="Arial"/>
          <w:b/>
          <w:bCs/>
          <w:iCs/>
          <w:sz w:val="22"/>
          <w:szCs w:val="22"/>
          <w:lang w:eastAsia="zh-CN"/>
        </w:rPr>
        <w:t>4) Platí pro zařízení na výrobu předmětů tepelnou úpravou s použitím aminoplastů nebo fenoplastů jako např. furanových, močovinoformaldehydových, fenolových nebo xylenových pryskyřic.</w:t>
      </w:r>
    </w:p>
    <w:p w14:paraId="6B766083" w14:textId="77777777" w:rsidR="008F52C8" w:rsidRPr="0030358C" w:rsidRDefault="00000000" w:rsidP="008F52C8">
      <w:pPr>
        <w:spacing w:line="276" w:lineRule="auto"/>
        <w:rPr>
          <w:rFonts w:ascii="Arial" w:hAnsi="Arial" w:cs="Arial"/>
          <w:b/>
          <w:bCs/>
          <w:iCs/>
          <w:sz w:val="22"/>
          <w:szCs w:val="22"/>
          <w:lang w:eastAsia="zh-CN"/>
        </w:rPr>
      </w:pPr>
      <w:r w:rsidRPr="0030358C">
        <w:rPr>
          <w:rFonts w:ascii="Arial" w:hAnsi="Arial" w:cs="Arial"/>
          <w:b/>
          <w:bCs/>
          <w:iCs/>
          <w:sz w:val="22"/>
          <w:szCs w:val="22"/>
          <w:lang w:eastAsia="zh-CN"/>
        </w:rPr>
        <w:t>5) Celková projektovaná spotřeba organických rozpouštědel zahrnuje spotřebu přípravků použitých při vlastní výrobní činnosti a rovněž přípravky užívané např. na čištění procesního zařízení či pracovních prostorů.</w:t>
      </w:r>
    </w:p>
    <w:p w14:paraId="376165C5" w14:textId="77777777" w:rsidR="008F52C8" w:rsidRPr="0030358C" w:rsidRDefault="00000000" w:rsidP="008F52C8">
      <w:pPr>
        <w:spacing w:line="276" w:lineRule="auto"/>
        <w:rPr>
          <w:rFonts w:ascii="Arial" w:hAnsi="Arial" w:cs="Arial"/>
          <w:b/>
          <w:bCs/>
          <w:i/>
          <w:sz w:val="22"/>
          <w:szCs w:val="22"/>
          <w:lang w:eastAsia="zh-CN"/>
        </w:rPr>
      </w:pPr>
      <w:r w:rsidRPr="0030358C">
        <w:rPr>
          <w:rFonts w:ascii="Arial" w:hAnsi="Arial" w:cs="Arial"/>
          <w:b/>
          <w:bCs/>
          <w:iCs/>
          <w:sz w:val="22"/>
          <w:szCs w:val="22"/>
          <w:lang w:eastAsia="zh-CN"/>
        </w:rPr>
        <w:t>6) Platí pro mechanické zpracování odpadů.</w:t>
      </w:r>
    </w:p>
    <w:p w14:paraId="2E8A0ADD" w14:textId="77777777" w:rsidR="008F52C8" w:rsidRPr="0030358C" w:rsidRDefault="008F52C8" w:rsidP="008F52C8">
      <w:pPr>
        <w:tabs>
          <w:tab w:val="left" w:pos="0"/>
        </w:tabs>
        <w:spacing w:before="60"/>
        <w:jc w:val="both"/>
        <w:rPr>
          <w:rFonts w:ascii="Arial" w:hAnsi="Arial" w:cs="Arial"/>
          <w:b/>
          <w:bCs/>
          <w:i/>
          <w:sz w:val="22"/>
          <w:szCs w:val="22"/>
          <w:lang w:eastAsia="zh-CN"/>
        </w:rPr>
      </w:pPr>
    </w:p>
    <w:p w14:paraId="00CF8107" w14:textId="77777777" w:rsidR="008F52C8" w:rsidRPr="0030358C" w:rsidRDefault="00000000" w:rsidP="008F52C8">
      <w:pPr>
        <w:tabs>
          <w:tab w:val="left" w:pos="0"/>
        </w:tabs>
        <w:spacing w:before="60"/>
        <w:jc w:val="both"/>
        <w:rPr>
          <w:rFonts w:ascii="Arial" w:hAnsi="Arial" w:cs="Arial"/>
          <w:b/>
          <w:bCs/>
          <w:sz w:val="22"/>
          <w:szCs w:val="22"/>
          <w:lang w:eastAsia="zh-CN"/>
        </w:rPr>
      </w:pPr>
      <w:bookmarkStart w:id="60" w:name="_Hlk184895225"/>
      <w:r w:rsidRPr="0030358C">
        <w:rPr>
          <w:rFonts w:ascii="Arial" w:hAnsi="Arial" w:cs="Arial"/>
          <w:b/>
          <w:bCs/>
          <w:sz w:val="22"/>
          <w:szCs w:val="22"/>
          <w:lang w:eastAsia="zh-CN"/>
        </w:rPr>
        <w:t>Technická podmínka provozu:</w:t>
      </w:r>
    </w:p>
    <w:p w14:paraId="33959A9F" w14:textId="77777777" w:rsidR="008F52C8" w:rsidRPr="0030358C" w:rsidRDefault="00000000" w:rsidP="008F52C8">
      <w:pPr>
        <w:tabs>
          <w:tab w:val="left" w:pos="0"/>
        </w:tabs>
        <w:spacing w:before="60"/>
        <w:jc w:val="both"/>
        <w:rPr>
          <w:rFonts w:ascii="Arial" w:hAnsi="Arial" w:cs="Arial"/>
          <w:b/>
          <w:bCs/>
          <w:sz w:val="22"/>
          <w:szCs w:val="22"/>
          <w:lang w:eastAsia="zh-CN"/>
        </w:rPr>
      </w:pPr>
      <w:r w:rsidRPr="0030358C">
        <w:rPr>
          <w:rFonts w:ascii="Arial" w:hAnsi="Arial" w:cs="Arial"/>
          <w:b/>
          <w:bCs/>
          <w:sz w:val="22"/>
          <w:szCs w:val="22"/>
          <w:lang w:eastAsia="zh-CN"/>
        </w:rPr>
        <w:t>V případě stacionárních zdrojů emitujících znečišťující látky obtěžující zápachem jsou využívána opatření ke snižování emisí těchto látek. Jedná se např. o koncové technologie pro snižování emisí, jako je termická oxidace, adsorpce na aktivním uhlí, nízkoteplotní kondenzace (vymražování) nebo biofiltrace. Nebo může jít o primární opatření, jako je dodržování doporučené teploty u tepelného zpracování plastů pod bodem termického rozkladu dle bezpečnostních nebo katalogových listů (podle pokynů výrobce nebo dodavatele), přičemž teplota zpracování surovin je automaticky sledována a překročení doporučené teploty je signalizováno zvukovou či světelnou signalizací.</w:t>
      </w:r>
    </w:p>
    <w:bookmarkEnd w:id="60"/>
    <w:p w14:paraId="0D599EA2" w14:textId="77777777" w:rsidR="008F52C8" w:rsidRPr="0030358C" w:rsidRDefault="008F52C8" w:rsidP="008F52C8">
      <w:pPr>
        <w:tabs>
          <w:tab w:val="left" w:pos="0"/>
        </w:tabs>
        <w:spacing w:before="60"/>
        <w:jc w:val="both"/>
        <w:rPr>
          <w:rFonts w:ascii="Arial" w:hAnsi="Arial" w:cs="Arial"/>
          <w:b/>
          <w:bCs/>
          <w:sz w:val="22"/>
          <w:szCs w:val="22"/>
          <w:lang w:eastAsia="zh-CN"/>
        </w:rPr>
      </w:pPr>
    </w:p>
    <w:p w14:paraId="422755CD"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5.1.5. Výroba nebo zpracování viskózy (kód 6.6. dle přílohy č. 2 zákona)</w:t>
      </w:r>
    </w:p>
    <w:tbl>
      <w:tblPr>
        <w:tblW w:w="0" w:type="auto"/>
        <w:tblInd w:w="-15" w:type="dxa"/>
        <w:tblLayout w:type="fixed"/>
        <w:tblLook w:val="0000" w:firstRow="0" w:lastRow="0" w:firstColumn="0" w:lastColumn="0" w:noHBand="0" w:noVBand="0"/>
      </w:tblPr>
      <w:tblGrid>
        <w:gridCol w:w="1934"/>
        <w:gridCol w:w="2548"/>
        <w:gridCol w:w="2542"/>
        <w:gridCol w:w="2576"/>
      </w:tblGrid>
      <w:tr w:rsidR="00E40657" w14:paraId="2A0C48D2" w14:textId="77777777" w:rsidTr="00732453">
        <w:trPr>
          <w:cantSplit/>
          <w:trHeight w:hRule="exact" w:val="389"/>
        </w:trPr>
        <w:tc>
          <w:tcPr>
            <w:tcW w:w="7024" w:type="dxa"/>
            <w:gridSpan w:val="3"/>
            <w:tcBorders>
              <w:top w:val="single" w:sz="4" w:space="0" w:color="000000"/>
              <w:left w:val="single" w:sz="4" w:space="0" w:color="000000"/>
              <w:bottom w:val="single" w:sz="4" w:space="0" w:color="000000"/>
            </w:tcBorders>
            <w:shd w:val="clear" w:color="auto" w:fill="auto"/>
            <w:vAlign w:val="center"/>
          </w:tcPr>
          <w:p w14:paraId="7A136A5B"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E4152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EC2BA94" w14:textId="77777777" w:rsidTr="00732453">
        <w:trPr>
          <w:cantSplit/>
          <w:trHeight w:hRule="exact" w:val="424"/>
        </w:trPr>
        <w:tc>
          <w:tcPr>
            <w:tcW w:w="1934" w:type="dxa"/>
            <w:tcBorders>
              <w:top w:val="single" w:sz="4" w:space="0" w:color="000000"/>
              <w:left w:val="single" w:sz="4" w:space="0" w:color="000000"/>
              <w:bottom w:val="single" w:sz="4" w:space="0" w:color="000000"/>
            </w:tcBorders>
            <w:shd w:val="clear" w:color="auto" w:fill="auto"/>
          </w:tcPr>
          <w:p w14:paraId="345256F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H</w:t>
            </w:r>
            <w:r w:rsidRPr="0030358C">
              <w:rPr>
                <w:rFonts w:ascii="Arial" w:hAnsi="Arial" w:cs="Arial"/>
                <w:b/>
                <w:bCs/>
                <w:sz w:val="22"/>
                <w:szCs w:val="22"/>
                <w:vertAlign w:val="subscript"/>
                <w:lang w:eastAsia="zh-CN"/>
              </w:rPr>
              <w:t>2</w:t>
            </w:r>
            <w:r w:rsidRPr="0030358C">
              <w:rPr>
                <w:rFonts w:ascii="Arial" w:hAnsi="Arial" w:cs="Arial"/>
                <w:b/>
                <w:bCs/>
                <w:sz w:val="22"/>
                <w:szCs w:val="22"/>
                <w:lang w:eastAsia="zh-CN"/>
              </w:rPr>
              <w:t>S</w:t>
            </w:r>
          </w:p>
        </w:tc>
        <w:tc>
          <w:tcPr>
            <w:tcW w:w="2548" w:type="dxa"/>
            <w:tcBorders>
              <w:top w:val="single" w:sz="4" w:space="0" w:color="000000"/>
              <w:left w:val="single" w:sz="4" w:space="0" w:color="000000"/>
              <w:bottom w:val="single" w:sz="4" w:space="0" w:color="000000"/>
            </w:tcBorders>
            <w:shd w:val="clear" w:color="auto" w:fill="auto"/>
            <w:vAlign w:val="center"/>
          </w:tcPr>
          <w:p w14:paraId="55DFF250"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CS</w:t>
            </w:r>
            <w:r w:rsidRPr="0030358C">
              <w:rPr>
                <w:rFonts w:ascii="Arial" w:hAnsi="Arial" w:cs="Arial"/>
                <w:b/>
                <w:bCs/>
                <w:sz w:val="22"/>
                <w:szCs w:val="22"/>
                <w:vertAlign w:val="subscript"/>
                <w:lang w:eastAsia="zh-CN"/>
              </w:rPr>
              <w:t>2</w:t>
            </w:r>
          </w:p>
        </w:tc>
        <w:tc>
          <w:tcPr>
            <w:tcW w:w="2542" w:type="dxa"/>
            <w:tcBorders>
              <w:top w:val="single" w:sz="4" w:space="0" w:color="000000"/>
              <w:left w:val="single" w:sz="4" w:space="0" w:color="000000"/>
              <w:bottom w:val="single" w:sz="4" w:space="0" w:color="000000"/>
            </w:tcBorders>
            <w:shd w:val="clear" w:color="auto" w:fill="auto"/>
            <w:vAlign w:val="center"/>
          </w:tcPr>
          <w:p w14:paraId="0B5FCF1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H</w:t>
            </w:r>
            <w:r w:rsidRPr="0030358C">
              <w:rPr>
                <w:rFonts w:ascii="Arial" w:hAnsi="Arial" w:cs="Arial"/>
                <w:b/>
                <w:bCs/>
                <w:sz w:val="22"/>
                <w:szCs w:val="22"/>
                <w:vertAlign w:val="subscript"/>
                <w:lang w:eastAsia="zh-CN"/>
              </w:rPr>
              <w:t>2</w:t>
            </w:r>
            <w:r w:rsidRPr="0030358C">
              <w:rPr>
                <w:rFonts w:ascii="Arial" w:hAnsi="Arial" w:cs="Arial"/>
                <w:b/>
                <w:bCs/>
                <w:sz w:val="22"/>
                <w:szCs w:val="22"/>
                <w:lang w:eastAsia="zh-CN"/>
              </w:rPr>
              <w:t>S a CS</w:t>
            </w:r>
            <w:r w:rsidRPr="0030358C">
              <w:rPr>
                <w:rFonts w:ascii="Arial" w:hAnsi="Arial" w:cs="Arial"/>
                <w:b/>
                <w:bCs/>
                <w:sz w:val="22"/>
                <w:szCs w:val="22"/>
                <w:vertAlign w:val="subscript"/>
                <w:lang w:eastAsia="zh-CN"/>
              </w:rPr>
              <w:t>2</w:t>
            </w:r>
            <w:r w:rsidRPr="0030358C">
              <w:rPr>
                <w:rFonts w:ascii="Arial" w:hAnsi="Arial" w:cs="Arial"/>
                <w:b/>
                <w:bCs/>
                <w:sz w:val="22"/>
                <w:szCs w:val="22"/>
                <w:lang w:eastAsia="zh-CN"/>
              </w:rPr>
              <w:t xml:space="preserve"> celkem</w:t>
            </w:r>
          </w:p>
        </w:tc>
        <w:tc>
          <w:tcPr>
            <w:tcW w:w="2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977725" w14:textId="77777777" w:rsidR="008F52C8" w:rsidRPr="0030358C" w:rsidRDefault="008F52C8" w:rsidP="00732453">
            <w:pPr>
              <w:snapToGrid w:val="0"/>
              <w:jc w:val="center"/>
              <w:rPr>
                <w:rFonts w:ascii="Arial" w:hAnsi="Arial" w:cs="Arial"/>
                <w:b/>
                <w:bCs/>
                <w:sz w:val="22"/>
                <w:szCs w:val="22"/>
                <w:lang w:eastAsia="zh-CN"/>
              </w:rPr>
            </w:pPr>
          </w:p>
        </w:tc>
      </w:tr>
      <w:tr w:rsidR="00E40657" w14:paraId="6C0523A1" w14:textId="77777777" w:rsidTr="00732453">
        <w:trPr>
          <w:trHeight w:hRule="exact" w:val="724"/>
        </w:trPr>
        <w:tc>
          <w:tcPr>
            <w:tcW w:w="1934" w:type="dxa"/>
            <w:tcBorders>
              <w:top w:val="single" w:sz="4" w:space="0" w:color="000000"/>
              <w:left w:val="single" w:sz="4" w:space="0" w:color="000000"/>
              <w:bottom w:val="single" w:sz="4" w:space="0" w:color="000000"/>
            </w:tcBorders>
            <w:shd w:val="clear" w:color="auto" w:fill="auto"/>
          </w:tcPr>
          <w:p w14:paraId="1F7CAE9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10</w:t>
            </w:r>
          </w:p>
          <w:p w14:paraId="0D427CC6" w14:textId="77777777" w:rsidR="008F52C8" w:rsidRPr="0030358C" w:rsidRDefault="00000000" w:rsidP="00732453">
            <w:pPr>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1)</w:t>
            </w:r>
          </w:p>
        </w:tc>
        <w:tc>
          <w:tcPr>
            <w:tcW w:w="2548" w:type="dxa"/>
            <w:tcBorders>
              <w:top w:val="single" w:sz="4" w:space="0" w:color="000000"/>
              <w:left w:val="single" w:sz="4" w:space="0" w:color="000000"/>
              <w:bottom w:val="single" w:sz="4" w:space="0" w:color="000000"/>
            </w:tcBorders>
            <w:shd w:val="clear" w:color="auto" w:fill="auto"/>
            <w:vAlign w:val="center"/>
          </w:tcPr>
          <w:p w14:paraId="4AB967F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100</w:t>
            </w:r>
          </w:p>
          <w:p w14:paraId="45D60C67" w14:textId="77777777" w:rsidR="008F52C8" w:rsidRPr="0030358C" w:rsidRDefault="00000000" w:rsidP="00732453">
            <w:pPr>
              <w:jc w:val="center"/>
              <w:rPr>
                <w:rFonts w:ascii="Arial" w:hAnsi="Arial" w:cs="Arial"/>
                <w:b/>
                <w:bCs/>
                <w:sz w:val="22"/>
                <w:szCs w:val="22"/>
                <w:vertAlign w:val="superscript"/>
                <w:lang w:eastAsia="zh-CN"/>
              </w:rPr>
            </w:pPr>
            <w:r w:rsidRPr="0030358C">
              <w:rPr>
                <w:rFonts w:ascii="Arial" w:hAnsi="Arial" w:cs="Arial"/>
                <w:b/>
                <w:bCs/>
                <w:sz w:val="22"/>
                <w:szCs w:val="22"/>
                <w:lang w:eastAsia="zh-CN"/>
              </w:rPr>
              <w:t>400</w:t>
            </w:r>
            <w:r w:rsidRPr="0030358C">
              <w:rPr>
                <w:rFonts w:ascii="Arial" w:hAnsi="Arial" w:cs="Arial"/>
                <w:b/>
                <w:bCs/>
                <w:sz w:val="22"/>
                <w:szCs w:val="22"/>
                <w:vertAlign w:val="superscript"/>
                <w:lang w:eastAsia="zh-CN"/>
              </w:rPr>
              <w:t>1)</w:t>
            </w:r>
          </w:p>
        </w:tc>
        <w:tc>
          <w:tcPr>
            <w:tcW w:w="2542" w:type="dxa"/>
            <w:tcBorders>
              <w:top w:val="single" w:sz="4" w:space="0" w:color="000000"/>
              <w:left w:val="single" w:sz="4" w:space="0" w:color="000000"/>
              <w:bottom w:val="single" w:sz="4" w:space="0" w:color="000000"/>
            </w:tcBorders>
            <w:shd w:val="clear" w:color="auto" w:fill="auto"/>
            <w:vAlign w:val="center"/>
          </w:tcPr>
          <w:p w14:paraId="3FA6A28F"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200</w:t>
            </w:r>
            <w:r w:rsidRPr="0030358C">
              <w:rPr>
                <w:rFonts w:ascii="Arial" w:hAnsi="Arial" w:cs="Arial"/>
                <w:b/>
                <w:bCs/>
                <w:sz w:val="22"/>
                <w:szCs w:val="22"/>
                <w:vertAlign w:val="superscript"/>
                <w:lang w:eastAsia="zh-CN"/>
              </w:rPr>
              <w:t>2)</w:t>
            </w:r>
          </w:p>
        </w:tc>
        <w:tc>
          <w:tcPr>
            <w:tcW w:w="2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72B4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1C34BEAB" w14:textId="77777777" w:rsidR="008F52C8" w:rsidRPr="0030358C" w:rsidRDefault="00000000" w:rsidP="008F52C8">
      <w:pPr>
        <w:spacing w:before="85"/>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2E835E3E" w14:textId="77777777" w:rsidR="008F52C8" w:rsidRPr="0030358C" w:rsidRDefault="00000000" w:rsidP="008F52C8">
      <w:pPr>
        <w:spacing w:before="28"/>
        <w:ind w:left="68"/>
        <w:rPr>
          <w:rFonts w:ascii="Arial" w:hAnsi="Arial" w:cs="Arial"/>
          <w:b/>
          <w:bCs/>
          <w:iCs/>
          <w:sz w:val="22"/>
          <w:szCs w:val="22"/>
          <w:lang w:eastAsia="zh-CN"/>
        </w:rPr>
      </w:pPr>
      <w:r w:rsidRPr="0030358C">
        <w:rPr>
          <w:rFonts w:ascii="Arial" w:hAnsi="Arial" w:cs="Arial"/>
          <w:b/>
          <w:bCs/>
          <w:iCs/>
          <w:sz w:val="22"/>
          <w:szCs w:val="22"/>
          <w:lang w:eastAsia="zh-CN"/>
        </w:rPr>
        <w:t>1) Platí pro výrobu kordového hedvábí.</w:t>
      </w:r>
    </w:p>
    <w:p w14:paraId="00C34C3D" w14:textId="77777777" w:rsidR="008F52C8" w:rsidRPr="0030358C" w:rsidRDefault="00000000" w:rsidP="008F52C8">
      <w:pPr>
        <w:ind w:left="68"/>
        <w:rPr>
          <w:rFonts w:ascii="Arial" w:hAnsi="Arial" w:cs="Arial"/>
          <w:b/>
          <w:bCs/>
          <w:iCs/>
          <w:sz w:val="22"/>
          <w:szCs w:val="22"/>
          <w:lang w:eastAsia="zh-CN"/>
        </w:rPr>
      </w:pPr>
      <w:r w:rsidRPr="0030358C">
        <w:rPr>
          <w:rFonts w:ascii="Arial" w:hAnsi="Arial" w:cs="Arial"/>
          <w:b/>
          <w:bCs/>
          <w:iCs/>
          <w:sz w:val="22"/>
          <w:szCs w:val="22"/>
          <w:lang w:eastAsia="zh-CN"/>
        </w:rPr>
        <w:t>2) Platí pro výrobu střiže a textilního hedvábí.</w:t>
      </w:r>
    </w:p>
    <w:p w14:paraId="5F508039" w14:textId="77777777" w:rsidR="008F52C8" w:rsidRPr="0030358C" w:rsidRDefault="008F52C8" w:rsidP="008F52C8">
      <w:pPr>
        <w:tabs>
          <w:tab w:val="left" w:pos="284"/>
        </w:tabs>
        <w:spacing w:before="28"/>
        <w:jc w:val="both"/>
        <w:rPr>
          <w:rFonts w:ascii="Arial" w:hAnsi="Arial" w:cs="Arial"/>
          <w:b/>
          <w:bCs/>
          <w:i/>
          <w:sz w:val="22"/>
          <w:szCs w:val="22"/>
          <w:lang w:eastAsia="zh-CN"/>
        </w:rPr>
      </w:pPr>
    </w:p>
    <w:p w14:paraId="2E53F02A" w14:textId="77777777" w:rsidR="008F52C8" w:rsidRPr="0030358C" w:rsidRDefault="00000000" w:rsidP="008F52C8">
      <w:pPr>
        <w:tabs>
          <w:tab w:val="left" w:pos="284"/>
        </w:tabs>
        <w:spacing w:before="28"/>
        <w:jc w:val="both"/>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653137F3" w14:textId="77777777" w:rsidR="008F52C8" w:rsidRPr="0030358C" w:rsidRDefault="00000000" w:rsidP="000032A3">
      <w:pPr>
        <w:tabs>
          <w:tab w:val="left" w:pos="284"/>
        </w:tabs>
        <w:suppressAutoHyphens/>
        <w:spacing w:before="28"/>
        <w:jc w:val="both"/>
        <w:rPr>
          <w:rFonts w:ascii="Arial" w:hAnsi="Arial" w:cs="Arial"/>
          <w:b/>
          <w:bCs/>
          <w:sz w:val="22"/>
          <w:szCs w:val="22"/>
          <w:lang w:eastAsia="zh-CN"/>
        </w:rPr>
      </w:pPr>
      <w:r w:rsidRPr="0030358C">
        <w:rPr>
          <w:rFonts w:ascii="Arial" w:hAnsi="Arial" w:cs="Arial"/>
          <w:b/>
          <w:bCs/>
          <w:sz w:val="22"/>
          <w:szCs w:val="22"/>
          <w:lang w:eastAsia="zh-CN"/>
        </w:rPr>
        <w:t>1) Měrná výrobní emise sirouhlíku ve výrobě střiže a textilního hedvábí je 200 000 g/t.</w:t>
      </w:r>
    </w:p>
    <w:p w14:paraId="2C3C4410" w14:textId="77777777" w:rsidR="008F52C8" w:rsidRPr="0030358C" w:rsidRDefault="00000000" w:rsidP="000032A3">
      <w:pPr>
        <w:tabs>
          <w:tab w:val="left" w:pos="284"/>
        </w:tabs>
        <w:suppressAutoHyphens/>
        <w:jc w:val="both"/>
        <w:rPr>
          <w:rFonts w:ascii="Arial" w:hAnsi="Arial" w:cs="Arial"/>
          <w:b/>
          <w:bCs/>
          <w:sz w:val="22"/>
          <w:szCs w:val="22"/>
          <w:lang w:eastAsia="zh-CN"/>
        </w:rPr>
      </w:pPr>
      <w:r w:rsidRPr="0030358C">
        <w:rPr>
          <w:rFonts w:ascii="Arial" w:hAnsi="Arial" w:cs="Arial"/>
          <w:b/>
          <w:bCs/>
          <w:sz w:val="22"/>
          <w:szCs w:val="22"/>
          <w:lang w:eastAsia="zh-CN"/>
        </w:rPr>
        <w:t xml:space="preserve">2) Odvádění odpadních plynů z výroby viskózy, přípravy zvlákňovacích lázní a podle technických možností i z ostatních operací do zařízení k omezování emisí, uzavření zvlákňovacích strojů při kontinuálním způsobu zvlákňování, odsávání vznikajících plynů a jejich odvedení do zařízení k omezování emisí, např. do katalytické spalovací jednotky.  </w:t>
      </w:r>
    </w:p>
    <w:p w14:paraId="1F0BEB09" w14:textId="77777777" w:rsidR="008F52C8" w:rsidRPr="0030358C" w:rsidRDefault="008F52C8" w:rsidP="008F52C8">
      <w:pPr>
        <w:spacing w:before="60"/>
        <w:rPr>
          <w:rFonts w:ascii="Arial" w:hAnsi="Arial" w:cs="Arial"/>
          <w:b/>
          <w:bCs/>
          <w:sz w:val="22"/>
          <w:szCs w:val="22"/>
          <w:lang w:eastAsia="zh-CN"/>
        </w:rPr>
      </w:pPr>
    </w:p>
    <w:p w14:paraId="27448E37" w14:textId="77777777" w:rsidR="008F52C8" w:rsidRPr="0030358C" w:rsidRDefault="00000000" w:rsidP="008F52C8">
      <w:pPr>
        <w:keepNext/>
        <w:keepLines/>
        <w:spacing w:before="62" w:after="57"/>
        <w:rPr>
          <w:rFonts w:ascii="Arial" w:hAnsi="Arial" w:cs="Arial"/>
          <w:b/>
          <w:bCs/>
          <w:sz w:val="22"/>
          <w:szCs w:val="22"/>
          <w:lang w:eastAsia="zh-CN"/>
        </w:rPr>
      </w:pPr>
      <w:r w:rsidRPr="0030358C">
        <w:rPr>
          <w:rFonts w:ascii="Arial" w:hAnsi="Arial" w:cs="Arial"/>
          <w:b/>
          <w:bCs/>
          <w:sz w:val="22"/>
          <w:szCs w:val="22"/>
          <w:lang w:eastAsia="zh-CN"/>
        </w:rPr>
        <w:t>5.1.6. Výroba gumárenských pomocných přípravků (kód 6.7. dle přílohy č. 2 zákona)</w:t>
      </w:r>
    </w:p>
    <w:tbl>
      <w:tblPr>
        <w:tblW w:w="0" w:type="auto"/>
        <w:tblInd w:w="-15" w:type="dxa"/>
        <w:tblLayout w:type="fixed"/>
        <w:tblLook w:val="0000" w:firstRow="0" w:lastRow="0" w:firstColumn="0" w:lastColumn="0" w:noHBand="0" w:noVBand="0"/>
      </w:tblPr>
      <w:tblGrid>
        <w:gridCol w:w="2197"/>
        <w:gridCol w:w="2237"/>
        <w:gridCol w:w="2232"/>
        <w:gridCol w:w="2934"/>
      </w:tblGrid>
      <w:tr w:rsidR="00E40657" w14:paraId="5EED1C5E" w14:textId="77777777" w:rsidTr="00732453">
        <w:trPr>
          <w:cantSplit/>
          <w:trHeight w:hRule="exact" w:val="366"/>
        </w:trPr>
        <w:tc>
          <w:tcPr>
            <w:tcW w:w="4434" w:type="dxa"/>
            <w:gridSpan w:val="2"/>
            <w:tcBorders>
              <w:top w:val="single" w:sz="4" w:space="0" w:color="000000"/>
              <w:left w:val="single" w:sz="4" w:space="0" w:color="000000"/>
              <w:bottom w:val="single" w:sz="4" w:space="0" w:color="000000"/>
            </w:tcBorders>
            <w:shd w:val="clear" w:color="auto" w:fill="auto"/>
            <w:vAlign w:val="center"/>
          </w:tcPr>
          <w:p w14:paraId="0C109492"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232" w:type="dxa"/>
            <w:vMerge w:val="restart"/>
            <w:tcBorders>
              <w:top w:val="single" w:sz="4" w:space="0" w:color="000000"/>
              <w:left w:val="single" w:sz="4" w:space="0" w:color="000000"/>
              <w:bottom w:val="single" w:sz="4" w:space="0" w:color="000000"/>
            </w:tcBorders>
            <w:shd w:val="clear" w:color="auto" w:fill="auto"/>
            <w:vAlign w:val="center"/>
          </w:tcPr>
          <w:p w14:paraId="73206E8A"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2R</w:t>
            </w:r>
            <w:r w:rsidRPr="0030358C">
              <w:rPr>
                <w:rFonts w:ascii="Arial" w:hAnsi="Arial" w:cs="Arial"/>
                <w:b/>
                <w:bCs/>
                <w:sz w:val="22"/>
                <w:szCs w:val="22"/>
                <w:lang w:eastAsia="zh-CN"/>
              </w:rPr>
              <w:t xml:space="preserve"> [%]</w:t>
            </w:r>
          </w:p>
        </w:tc>
        <w:tc>
          <w:tcPr>
            <w:tcW w:w="29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3DAB9B"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60E8C3A0" w14:textId="77777777" w:rsidTr="00732453">
        <w:trPr>
          <w:cantSplit/>
          <w:trHeight w:hRule="exact" w:val="366"/>
        </w:trPr>
        <w:tc>
          <w:tcPr>
            <w:tcW w:w="2197" w:type="dxa"/>
            <w:tcBorders>
              <w:top w:val="single" w:sz="4" w:space="0" w:color="000000"/>
              <w:left w:val="single" w:sz="4" w:space="0" w:color="000000"/>
              <w:bottom w:val="single" w:sz="4" w:space="0" w:color="000000"/>
            </w:tcBorders>
            <w:shd w:val="clear" w:color="auto" w:fill="auto"/>
            <w:vAlign w:val="center"/>
          </w:tcPr>
          <w:p w14:paraId="496631CB"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237" w:type="dxa"/>
            <w:tcBorders>
              <w:top w:val="single" w:sz="4" w:space="0" w:color="000000"/>
              <w:left w:val="single" w:sz="4" w:space="0" w:color="000000"/>
              <w:bottom w:val="single" w:sz="4" w:space="0" w:color="000000"/>
            </w:tcBorders>
            <w:shd w:val="clear" w:color="auto" w:fill="auto"/>
            <w:vAlign w:val="center"/>
          </w:tcPr>
          <w:p w14:paraId="709104F2" w14:textId="77777777" w:rsidR="008F52C8" w:rsidRPr="0030358C" w:rsidRDefault="00000000" w:rsidP="00732453">
            <w:pPr>
              <w:keepNext/>
              <w:keepLines/>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2232" w:type="dxa"/>
            <w:vMerge/>
            <w:tcBorders>
              <w:top w:val="single" w:sz="4" w:space="0" w:color="000000"/>
              <w:left w:val="single" w:sz="4" w:space="0" w:color="000000"/>
              <w:bottom w:val="single" w:sz="4" w:space="0" w:color="000000"/>
            </w:tcBorders>
            <w:shd w:val="clear" w:color="auto" w:fill="auto"/>
            <w:vAlign w:val="center"/>
          </w:tcPr>
          <w:p w14:paraId="0677ADB5" w14:textId="77777777" w:rsidR="008F52C8" w:rsidRPr="0030358C" w:rsidRDefault="008F52C8" w:rsidP="00732453">
            <w:pPr>
              <w:keepNext/>
              <w:keepLines/>
              <w:snapToGrid w:val="0"/>
              <w:rPr>
                <w:rFonts w:ascii="Arial" w:hAnsi="Arial" w:cs="Arial"/>
                <w:b/>
                <w:bCs/>
                <w:sz w:val="22"/>
                <w:szCs w:val="22"/>
                <w:lang w:eastAsia="zh-CN"/>
              </w:rPr>
            </w:pPr>
          </w:p>
        </w:tc>
        <w:tc>
          <w:tcPr>
            <w:tcW w:w="29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4F9A8C" w14:textId="77777777" w:rsidR="008F52C8" w:rsidRPr="0030358C" w:rsidRDefault="008F52C8" w:rsidP="00732453">
            <w:pPr>
              <w:keepNext/>
              <w:keepLines/>
              <w:snapToGrid w:val="0"/>
              <w:rPr>
                <w:rFonts w:ascii="Arial" w:hAnsi="Arial" w:cs="Arial"/>
                <w:b/>
                <w:bCs/>
                <w:sz w:val="22"/>
                <w:szCs w:val="22"/>
                <w:lang w:eastAsia="zh-CN"/>
              </w:rPr>
            </w:pPr>
          </w:p>
        </w:tc>
      </w:tr>
      <w:tr w:rsidR="00E40657" w14:paraId="6F10A58E" w14:textId="77777777" w:rsidTr="00732453">
        <w:trPr>
          <w:trHeight w:hRule="exact" w:val="366"/>
        </w:trPr>
        <w:tc>
          <w:tcPr>
            <w:tcW w:w="2197" w:type="dxa"/>
            <w:tcBorders>
              <w:top w:val="single" w:sz="4" w:space="0" w:color="000000"/>
              <w:left w:val="single" w:sz="4" w:space="0" w:color="000000"/>
              <w:bottom w:val="single" w:sz="4" w:space="0" w:color="000000"/>
            </w:tcBorders>
            <w:shd w:val="clear" w:color="auto" w:fill="auto"/>
            <w:vAlign w:val="center"/>
          </w:tcPr>
          <w:p w14:paraId="5CA5B800"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20</w:t>
            </w:r>
          </w:p>
        </w:tc>
        <w:tc>
          <w:tcPr>
            <w:tcW w:w="2237" w:type="dxa"/>
            <w:tcBorders>
              <w:top w:val="single" w:sz="4" w:space="0" w:color="000000"/>
              <w:left w:val="single" w:sz="4" w:space="0" w:color="000000"/>
              <w:bottom w:val="single" w:sz="4" w:space="0" w:color="000000"/>
            </w:tcBorders>
            <w:shd w:val="clear" w:color="auto" w:fill="auto"/>
            <w:vAlign w:val="center"/>
          </w:tcPr>
          <w:p w14:paraId="5C90C0E6"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700</w:t>
            </w:r>
            <w:r w:rsidRPr="0030358C">
              <w:rPr>
                <w:rFonts w:ascii="Arial" w:hAnsi="Arial" w:cs="Arial"/>
                <w:b/>
                <w:bCs/>
                <w:sz w:val="22"/>
                <w:szCs w:val="22"/>
                <w:vertAlign w:val="superscript"/>
                <w:lang w:eastAsia="zh-CN"/>
              </w:rPr>
              <w:t>1),2)</w:t>
            </w:r>
          </w:p>
        </w:tc>
        <w:tc>
          <w:tcPr>
            <w:tcW w:w="2232" w:type="dxa"/>
            <w:tcBorders>
              <w:top w:val="single" w:sz="4" w:space="0" w:color="000000"/>
              <w:left w:val="single" w:sz="4" w:space="0" w:color="000000"/>
              <w:bottom w:val="single" w:sz="4" w:space="0" w:color="000000"/>
            </w:tcBorders>
            <w:shd w:val="clear" w:color="auto" w:fill="auto"/>
            <w:vAlign w:val="center"/>
          </w:tcPr>
          <w:p w14:paraId="38451CC9"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11</w:t>
            </w:r>
            <w:r w:rsidRPr="0030358C">
              <w:rPr>
                <w:rFonts w:ascii="Arial" w:hAnsi="Arial" w:cs="Arial"/>
                <w:b/>
                <w:bCs/>
                <w:sz w:val="22"/>
                <w:szCs w:val="22"/>
                <w:vertAlign w:val="superscript"/>
                <w:lang w:eastAsia="zh-CN"/>
              </w:rPr>
              <w:t>2)</w:t>
            </w:r>
          </w:p>
        </w:tc>
        <w:tc>
          <w:tcPr>
            <w:tcW w:w="2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E0DB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B</w:t>
            </w:r>
          </w:p>
        </w:tc>
      </w:tr>
    </w:tbl>
    <w:p w14:paraId="6CAC1964" w14:textId="77777777" w:rsidR="008F52C8" w:rsidRPr="0030358C" w:rsidRDefault="00000000" w:rsidP="008F52C8">
      <w:pPr>
        <w:keepNext/>
        <w:keepLines/>
        <w:spacing w:before="120"/>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2157053F"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iCs/>
          <w:sz w:val="22"/>
          <w:szCs w:val="22"/>
          <w:lang w:eastAsia="zh-CN"/>
        </w:rPr>
        <w:t xml:space="preserve">1) Platí, pokud jsou odpadní plyny spalovány jiným způsobem než na fléře. </w:t>
      </w:r>
    </w:p>
    <w:p w14:paraId="2270F55D"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iCs/>
          <w:sz w:val="22"/>
          <w:szCs w:val="22"/>
          <w:lang w:eastAsia="zh-CN"/>
        </w:rPr>
        <w:t>2) Neplatí pro technologická zařízení výroby sazí.</w:t>
      </w:r>
    </w:p>
    <w:p w14:paraId="6281C275" w14:textId="77777777" w:rsidR="008F52C8" w:rsidRPr="0030358C" w:rsidRDefault="008F52C8" w:rsidP="008F52C8">
      <w:pPr>
        <w:keepNext/>
        <w:keepLines/>
        <w:jc w:val="both"/>
        <w:rPr>
          <w:rFonts w:ascii="Arial" w:hAnsi="Arial" w:cs="Arial"/>
          <w:b/>
          <w:bCs/>
          <w:i/>
          <w:sz w:val="22"/>
          <w:szCs w:val="22"/>
          <w:lang w:eastAsia="zh-CN"/>
        </w:rPr>
      </w:pPr>
    </w:p>
    <w:p w14:paraId="270DDBE5"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59B9AE6A" w14:textId="77777777" w:rsidR="008F52C8" w:rsidRPr="0030358C" w:rsidRDefault="00000000" w:rsidP="008F52C8">
      <w:pPr>
        <w:keepNext/>
        <w:keepLines/>
        <w:spacing w:after="120"/>
        <w:rPr>
          <w:rFonts w:ascii="Arial" w:hAnsi="Arial" w:cs="Arial"/>
          <w:b/>
          <w:bCs/>
          <w:sz w:val="22"/>
          <w:szCs w:val="22"/>
          <w:lang w:eastAsia="zh-CN"/>
        </w:rPr>
      </w:pPr>
      <w:r w:rsidRPr="0030358C">
        <w:rPr>
          <w:rFonts w:ascii="Arial" w:hAnsi="Arial" w:cs="Arial"/>
          <w:b/>
          <w:bCs/>
          <w:sz w:val="22"/>
          <w:szCs w:val="22"/>
          <w:lang w:eastAsia="zh-CN"/>
        </w:rPr>
        <w:t>Výroba sazí musí být vybavena kontinuálně provozovaným zařízením dodatečného spalování odpadních plynů.</w:t>
      </w:r>
    </w:p>
    <w:p w14:paraId="43650AA0" w14:textId="77777777" w:rsidR="008F52C8" w:rsidRPr="0030358C" w:rsidRDefault="008F52C8" w:rsidP="008F52C8">
      <w:pPr>
        <w:rPr>
          <w:rFonts w:ascii="Arial" w:hAnsi="Arial" w:cs="Arial"/>
          <w:b/>
          <w:bCs/>
          <w:sz w:val="22"/>
          <w:szCs w:val="22"/>
          <w:lang w:eastAsia="zh-CN"/>
        </w:rPr>
      </w:pPr>
    </w:p>
    <w:p w14:paraId="1655681B"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5.1.7. Výroba expandovaného polystyrenu (kód 6.9. dle přílohy č. 2 zákona)</w:t>
      </w:r>
    </w:p>
    <w:p w14:paraId="65878E53" w14:textId="77777777" w:rsidR="008F52C8" w:rsidRPr="0030358C" w:rsidRDefault="008F52C8" w:rsidP="008F52C8">
      <w:pPr>
        <w:keepNext/>
        <w:keepLines/>
        <w:jc w:val="both"/>
        <w:rPr>
          <w:rFonts w:ascii="Arial" w:hAnsi="Arial" w:cs="Arial"/>
          <w:b/>
          <w:bCs/>
          <w:sz w:val="22"/>
          <w:szCs w:val="22"/>
          <w:lang w:eastAsia="zh-CN"/>
        </w:rPr>
      </w:pPr>
    </w:p>
    <w:p w14:paraId="1C6C010A" w14:textId="77777777" w:rsidR="00B623A4" w:rsidRPr="0030358C" w:rsidRDefault="00000000" w:rsidP="00B623A4">
      <w:pPr>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76708BE9" w14:textId="77777777" w:rsidR="00B623A4" w:rsidRPr="0030358C" w:rsidRDefault="00B623A4" w:rsidP="00B623A4">
      <w:pPr>
        <w:rPr>
          <w:rFonts w:ascii="Arial" w:hAnsi="Arial" w:cs="Arial"/>
          <w:b/>
          <w:bCs/>
          <w:sz w:val="22"/>
          <w:szCs w:val="22"/>
          <w:lang w:eastAsia="zh-CN"/>
        </w:rPr>
      </w:pPr>
    </w:p>
    <w:p w14:paraId="56B45B16" w14:textId="77777777" w:rsidR="00B623A4" w:rsidRPr="0030358C" w:rsidRDefault="00000000" w:rsidP="00B623A4">
      <w:pPr>
        <w:rPr>
          <w:rFonts w:ascii="Arial" w:hAnsi="Arial" w:cs="Arial"/>
          <w:b/>
          <w:bCs/>
          <w:sz w:val="22"/>
          <w:szCs w:val="22"/>
          <w:lang w:eastAsia="zh-CN"/>
        </w:rPr>
      </w:pPr>
      <w:r w:rsidRPr="0030358C">
        <w:rPr>
          <w:rFonts w:ascii="Arial" w:hAnsi="Arial" w:cs="Arial"/>
          <w:b/>
          <w:bCs/>
          <w:sz w:val="22"/>
          <w:szCs w:val="22"/>
          <w:lang w:eastAsia="zh-CN"/>
        </w:rPr>
        <w:t>Při výrobě expandovaného polystyrenu používat minimálně 50 % surovin obsahujících nejvýše 6,3 % pentanu.</w:t>
      </w:r>
    </w:p>
    <w:p w14:paraId="60173521" w14:textId="77777777" w:rsidR="008F52C8" w:rsidRPr="0030358C" w:rsidRDefault="008F52C8" w:rsidP="008F52C8">
      <w:pPr>
        <w:rPr>
          <w:rFonts w:ascii="Arial" w:hAnsi="Arial" w:cs="Arial"/>
          <w:b/>
          <w:bCs/>
          <w:sz w:val="22"/>
          <w:szCs w:val="22"/>
          <w:lang w:eastAsia="zh-CN"/>
        </w:rPr>
      </w:pPr>
    </w:p>
    <w:p w14:paraId="755E2088" w14:textId="77777777" w:rsidR="008F52C8" w:rsidRPr="0030358C" w:rsidRDefault="008F52C8" w:rsidP="008F52C8">
      <w:pPr>
        <w:rPr>
          <w:rFonts w:ascii="Arial" w:hAnsi="Arial" w:cs="Arial"/>
          <w:b/>
          <w:bCs/>
          <w:sz w:val="22"/>
          <w:szCs w:val="22"/>
          <w:lang w:eastAsia="zh-CN"/>
        </w:rPr>
      </w:pPr>
    </w:p>
    <w:p w14:paraId="3712F0AD"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5.1.8. Výroba acetylenu mokrou metodou (kód 6.10. dle přílohy č. 2 zákona)</w:t>
      </w:r>
    </w:p>
    <w:tbl>
      <w:tblPr>
        <w:tblW w:w="0" w:type="auto"/>
        <w:tblInd w:w="-15" w:type="dxa"/>
        <w:tblLayout w:type="fixed"/>
        <w:tblLook w:val="0000" w:firstRow="0" w:lastRow="0" w:firstColumn="0" w:lastColumn="0" w:noHBand="0" w:noVBand="0"/>
      </w:tblPr>
      <w:tblGrid>
        <w:gridCol w:w="5451"/>
        <w:gridCol w:w="4149"/>
      </w:tblGrid>
      <w:tr w:rsidR="00E40657" w14:paraId="6B49BFB6" w14:textId="77777777" w:rsidTr="00732453">
        <w:trPr>
          <w:cantSplit/>
          <w:trHeight w:val="238"/>
        </w:trPr>
        <w:tc>
          <w:tcPr>
            <w:tcW w:w="5451" w:type="dxa"/>
            <w:tcBorders>
              <w:top w:val="single" w:sz="4" w:space="0" w:color="000000"/>
              <w:left w:val="single" w:sz="4" w:space="0" w:color="000000"/>
              <w:bottom w:val="single" w:sz="4" w:space="0" w:color="000000"/>
            </w:tcBorders>
            <w:shd w:val="clear" w:color="auto" w:fill="auto"/>
            <w:vAlign w:val="center"/>
          </w:tcPr>
          <w:p w14:paraId="6CA7ECA5"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149" w:type="dxa"/>
            <w:vMerge w:val="restart"/>
            <w:tcBorders>
              <w:top w:val="single" w:sz="4" w:space="0" w:color="000000"/>
              <w:left w:val="single" w:sz="4" w:space="0" w:color="000000"/>
              <w:right w:val="single" w:sz="4" w:space="0" w:color="000000"/>
            </w:tcBorders>
            <w:shd w:val="clear" w:color="auto" w:fill="auto"/>
            <w:vAlign w:val="center"/>
          </w:tcPr>
          <w:p w14:paraId="012E60F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13983DE7" w14:textId="77777777" w:rsidTr="00732453">
        <w:trPr>
          <w:cantSplit/>
          <w:trHeight w:hRule="exact" w:val="473"/>
        </w:trPr>
        <w:tc>
          <w:tcPr>
            <w:tcW w:w="5451" w:type="dxa"/>
            <w:tcBorders>
              <w:top w:val="single" w:sz="4" w:space="0" w:color="000000"/>
              <w:left w:val="single" w:sz="4" w:space="0" w:color="000000"/>
              <w:bottom w:val="single" w:sz="4" w:space="0" w:color="000000"/>
            </w:tcBorders>
            <w:shd w:val="clear" w:color="auto" w:fill="auto"/>
            <w:vAlign w:val="center"/>
          </w:tcPr>
          <w:p w14:paraId="074C91DF"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TOC</w:t>
            </w:r>
          </w:p>
          <w:p w14:paraId="1F84D47B" w14:textId="77777777" w:rsidR="008F52C8" w:rsidRPr="0030358C" w:rsidRDefault="008F52C8" w:rsidP="00732453">
            <w:pPr>
              <w:snapToGrid w:val="0"/>
              <w:spacing w:before="60"/>
              <w:jc w:val="center"/>
              <w:rPr>
                <w:rFonts w:ascii="Arial" w:hAnsi="Arial" w:cs="Arial"/>
                <w:b/>
                <w:bCs/>
                <w:sz w:val="22"/>
                <w:szCs w:val="22"/>
                <w:lang w:eastAsia="zh-CN"/>
              </w:rPr>
            </w:pPr>
          </w:p>
        </w:tc>
        <w:tc>
          <w:tcPr>
            <w:tcW w:w="4149" w:type="dxa"/>
            <w:vMerge/>
            <w:tcBorders>
              <w:left w:val="single" w:sz="4" w:space="0" w:color="000000"/>
              <w:bottom w:val="single" w:sz="4" w:space="0" w:color="000000"/>
              <w:right w:val="single" w:sz="4" w:space="0" w:color="000000"/>
            </w:tcBorders>
            <w:shd w:val="clear" w:color="auto" w:fill="auto"/>
            <w:vAlign w:val="center"/>
          </w:tcPr>
          <w:p w14:paraId="45D83C90" w14:textId="77777777" w:rsidR="008F52C8" w:rsidRPr="0030358C" w:rsidRDefault="008F52C8" w:rsidP="00732453">
            <w:pPr>
              <w:snapToGrid w:val="0"/>
              <w:jc w:val="center"/>
              <w:rPr>
                <w:rFonts w:ascii="Arial" w:hAnsi="Arial" w:cs="Arial"/>
                <w:b/>
                <w:bCs/>
                <w:sz w:val="22"/>
                <w:szCs w:val="22"/>
                <w:lang w:eastAsia="zh-CN"/>
              </w:rPr>
            </w:pPr>
          </w:p>
        </w:tc>
      </w:tr>
      <w:tr w:rsidR="00E40657" w14:paraId="0CA18081" w14:textId="77777777" w:rsidTr="00732453">
        <w:trPr>
          <w:trHeight w:hRule="exact" w:val="340"/>
        </w:trPr>
        <w:tc>
          <w:tcPr>
            <w:tcW w:w="5451" w:type="dxa"/>
            <w:tcBorders>
              <w:left w:val="single" w:sz="4" w:space="0" w:color="000000"/>
              <w:bottom w:val="single" w:sz="4" w:space="0" w:color="000000"/>
            </w:tcBorders>
            <w:shd w:val="clear" w:color="auto" w:fill="auto"/>
            <w:vAlign w:val="center"/>
          </w:tcPr>
          <w:p w14:paraId="528B755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200</w:t>
            </w:r>
          </w:p>
        </w:tc>
        <w:tc>
          <w:tcPr>
            <w:tcW w:w="4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2AF0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B</w:t>
            </w:r>
          </w:p>
        </w:tc>
      </w:tr>
    </w:tbl>
    <w:p w14:paraId="2ACB89FD" w14:textId="77777777" w:rsidR="008F52C8" w:rsidRPr="0030358C" w:rsidRDefault="008F52C8" w:rsidP="008F52C8">
      <w:pPr>
        <w:rPr>
          <w:rFonts w:ascii="Arial" w:hAnsi="Arial" w:cs="Arial"/>
          <w:b/>
          <w:bCs/>
          <w:sz w:val="22"/>
          <w:szCs w:val="22"/>
          <w:lang w:eastAsia="zh-CN"/>
        </w:rPr>
      </w:pPr>
    </w:p>
    <w:p w14:paraId="5D79806E"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bCs/>
          <w:sz w:val="22"/>
          <w:szCs w:val="22"/>
          <w:lang w:eastAsia="zh-CN"/>
        </w:rPr>
      </w:pPr>
      <w:r w:rsidRPr="0030358C">
        <w:rPr>
          <w:rFonts w:ascii="Arial" w:hAnsi="Arial" w:cs="Arial"/>
          <w:b/>
          <w:bCs/>
          <w:sz w:val="22"/>
          <w:szCs w:val="22"/>
          <w:lang w:eastAsia="zh-CN"/>
        </w:rPr>
        <w:t>5.2. Výroba anorganických látek</w:t>
      </w:r>
    </w:p>
    <w:p w14:paraId="1940EDC8" w14:textId="77777777" w:rsidR="008F52C8" w:rsidRPr="0030358C" w:rsidRDefault="008F52C8" w:rsidP="008F52C8">
      <w:pPr>
        <w:rPr>
          <w:rFonts w:ascii="Arial" w:hAnsi="Arial" w:cs="Arial"/>
          <w:b/>
          <w:bCs/>
          <w:sz w:val="22"/>
          <w:szCs w:val="22"/>
          <w:lang w:eastAsia="zh-CN"/>
        </w:rPr>
      </w:pPr>
    </w:p>
    <w:p w14:paraId="6AEEC1C2"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5.2.1. Výroba chloru (kód 6.11. dle přílohy č. 2 zákona)</w:t>
      </w:r>
    </w:p>
    <w:p w14:paraId="648C20D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Odpadní plyn z elektrolýzy a katalytické oxidace</w:t>
      </w:r>
    </w:p>
    <w:tbl>
      <w:tblPr>
        <w:tblW w:w="9621" w:type="dxa"/>
        <w:tblInd w:w="-15" w:type="dxa"/>
        <w:tblLayout w:type="fixed"/>
        <w:tblLook w:val="0000" w:firstRow="0" w:lastRow="0" w:firstColumn="0" w:lastColumn="0" w:noHBand="0" w:noVBand="0"/>
      </w:tblPr>
      <w:tblGrid>
        <w:gridCol w:w="4801"/>
        <w:gridCol w:w="4820"/>
      </w:tblGrid>
      <w:tr w:rsidR="00E40657" w14:paraId="27D47BBE" w14:textId="77777777" w:rsidTr="00732453">
        <w:trPr>
          <w:cantSplit/>
          <w:trHeight w:hRule="exact" w:val="654"/>
        </w:trPr>
        <w:tc>
          <w:tcPr>
            <w:tcW w:w="4801" w:type="dxa"/>
            <w:tcBorders>
              <w:top w:val="single" w:sz="4" w:space="0" w:color="000000"/>
              <w:left w:val="single" w:sz="4" w:space="0" w:color="000000"/>
              <w:bottom w:val="single" w:sz="4" w:space="0" w:color="000000"/>
            </w:tcBorders>
            <w:shd w:val="clear" w:color="auto" w:fill="auto"/>
            <w:vAlign w:val="center"/>
          </w:tcPr>
          <w:p w14:paraId="6ED4D190" w14:textId="77777777" w:rsidR="008F52C8" w:rsidRPr="0030358C" w:rsidRDefault="00000000" w:rsidP="00732453">
            <w:pPr>
              <w:snapToGrid w:val="0"/>
              <w:spacing w:before="6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786C0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6471E74" w14:textId="77777777" w:rsidTr="00732453">
        <w:trPr>
          <w:cantSplit/>
          <w:trHeight w:hRule="exact" w:val="428"/>
        </w:trPr>
        <w:tc>
          <w:tcPr>
            <w:tcW w:w="4801" w:type="dxa"/>
            <w:tcBorders>
              <w:top w:val="single" w:sz="4" w:space="0" w:color="000000"/>
              <w:left w:val="single" w:sz="4" w:space="0" w:color="000000"/>
              <w:bottom w:val="single" w:sz="4" w:space="0" w:color="000000"/>
            </w:tcBorders>
            <w:shd w:val="clear" w:color="auto" w:fill="auto"/>
            <w:vAlign w:val="center"/>
          </w:tcPr>
          <w:p w14:paraId="1D9BFAF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Cl</w:t>
            </w:r>
            <w:r w:rsidR="00B623A4" w:rsidRPr="0030358C">
              <w:rPr>
                <w:rFonts w:ascii="Arial" w:hAnsi="Arial" w:cs="Arial"/>
                <w:b/>
                <w:bCs/>
                <w:sz w:val="22"/>
                <w:szCs w:val="22"/>
                <w:vertAlign w:val="subscript"/>
                <w:lang w:eastAsia="zh-CN"/>
              </w:rPr>
              <w:t>2</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F7D8DC" w14:textId="77777777" w:rsidR="008F52C8" w:rsidRPr="0030358C" w:rsidRDefault="008F52C8" w:rsidP="00732453">
            <w:pPr>
              <w:snapToGrid w:val="0"/>
              <w:rPr>
                <w:rFonts w:ascii="Arial" w:hAnsi="Arial" w:cs="Arial"/>
                <w:b/>
                <w:bCs/>
                <w:sz w:val="22"/>
                <w:szCs w:val="22"/>
                <w:lang w:eastAsia="zh-CN"/>
              </w:rPr>
            </w:pPr>
          </w:p>
        </w:tc>
      </w:tr>
      <w:tr w:rsidR="00E40657" w14:paraId="349DEF36" w14:textId="77777777" w:rsidTr="00732453">
        <w:trPr>
          <w:trHeight w:hRule="exact" w:val="609"/>
        </w:trPr>
        <w:tc>
          <w:tcPr>
            <w:tcW w:w="4801" w:type="dxa"/>
            <w:tcBorders>
              <w:top w:val="single" w:sz="4" w:space="0" w:color="000000"/>
              <w:left w:val="single" w:sz="4" w:space="0" w:color="000000"/>
              <w:bottom w:val="single" w:sz="4" w:space="0" w:color="000000"/>
            </w:tcBorders>
            <w:shd w:val="clear" w:color="auto" w:fill="auto"/>
            <w:vAlign w:val="center"/>
          </w:tcPr>
          <w:p w14:paraId="01681A4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4592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29EEC41F" w14:textId="77777777" w:rsidR="008F52C8" w:rsidRPr="0030358C" w:rsidRDefault="008F52C8" w:rsidP="008F52C8">
      <w:pPr>
        <w:spacing w:before="60"/>
        <w:rPr>
          <w:rFonts w:ascii="Arial" w:hAnsi="Arial" w:cs="Arial"/>
          <w:b/>
          <w:bCs/>
          <w:sz w:val="22"/>
          <w:szCs w:val="22"/>
          <w:lang w:eastAsia="zh-CN"/>
        </w:rPr>
      </w:pPr>
    </w:p>
    <w:p w14:paraId="47E69EC2" w14:textId="77777777" w:rsidR="008F52C8" w:rsidRPr="0030358C" w:rsidRDefault="008F52C8" w:rsidP="008F52C8">
      <w:pPr>
        <w:spacing w:before="60"/>
        <w:rPr>
          <w:rFonts w:ascii="Arial" w:hAnsi="Arial" w:cs="Arial"/>
          <w:b/>
          <w:bCs/>
          <w:sz w:val="22"/>
          <w:szCs w:val="22"/>
          <w:lang w:eastAsia="zh-CN"/>
        </w:rPr>
      </w:pPr>
    </w:p>
    <w:p w14:paraId="7565513A"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5.2.2. Výroba kyseliny chlorovodíkové (kód 6.12. dle přílohy č. 2 zákona)</w:t>
      </w:r>
    </w:p>
    <w:tbl>
      <w:tblPr>
        <w:tblW w:w="0" w:type="auto"/>
        <w:tblInd w:w="-15" w:type="dxa"/>
        <w:tblLayout w:type="fixed"/>
        <w:tblLook w:val="0000" w:firstRow="0" w:lastRow="0" w:firstColumn="0" w:lastColumn="0" w:noHBand="0" w:noVBand="0"/>
      </w:tblPr>
      <w:tblGrid>
        <w:gridCol w:w="2605"/>
        <w:gridCol w:w="3388"/>
        <w:gridCol w:w="3607"/>
      </w:tblGrid>
      <w:tr w:rsidR="00E40657" w14:paraId="04E1E2DD" w14:textId="77777777" w:rsidTr="00732453">
        <w:trPr>
          <w:cantSplit/>
          <w:trHeight w:hRule="exact" w:val="1002"/>
        </w:trPr>
        <w:tc>
          <w:tcPr>
            <w:tcW w:w="2605" w:type="dxa"/>
            <w:tcBorders>
              <w:top w:val="single" w:sz="4" w:space="0" w:color="000000"/>
              <w:left w:val="single" w:sz="4" w:space="0" w:color="000000"/>
              <w:bottom w:val="single" w:sz="4" w:space="0" w:color="000000"/>
            </w:tcBorders>
            <w:shd w:val="clear" w:color="auto" w:fill="auto"/>
            <w:vAlign w:val="center"/>
          </w:tcPr>
          <w:p w14:paraId="4AEA110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388" w:type="dxa"/>
            <w:tcBorders>
              <w:top w:val="single" w:sz="4" w:space="0" w:color="000000"/>
              <w:left w:val="single" w:sz="4" w:space="0" w:color="000000"/>
              <w:bottom w:val="single" w:sz="4" w:space="0" w:color="000000"/>
            </w:tcBorders>
            <w:shd w:val="clear" w:color="auto" w:fill="auto"/>
            <w:vAlign w:val="center"/>
          </w:tcPr>
          <w:p w14:paraId="109B6C2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[g/t] </w:t>
            </w:r>
          </w:p>
        </w:tc>
        <w:tc>
          <w:tcPr>
            <w:tcW w:w="3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9088E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2F1A878F" w14:textId="77777777" w:rsidTr="00732453">
        <w:trPr>
          <w:cantSplit/>
          <w:trHeight w:hRule="exact" w:val="428"/>
        </w:trPr>
        <w:tc>
          <w:tcPr>
            <w:tcW w:w="5993" w:type="dxa"/>
            <w:gridSpan w:val="2"/>
            <w:tcBorders>
              <w:top w:val="single" w:sz="4" w:space="0" w:color="000000"/>
              <w:left w:val="single" w:sz="4" w:space="0" w:color="000000"/>
              <w:bottom w:val="single" w:sz="4" w:space="0" w:color="000000"/>
            </w:tcBorders>
            <w:shd w:val="clear" w:color="auto" w:fill="auto"/>
            <w:vAlign w:val="center"/>
          </w:tcPr>
          <w:p w14:paraId="68C8E7F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HCl</w:t>
            </w:r>
          </w:p>
        </w:tc>
        <w:tc>
          <w:tcPr>
            <w:tcW w:w="3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76D01B" w14:textId="77777777" w:rsidR="008F52C8" w:rsidRPr="0030358C" w:rsidRDefault="008F52C8" w:rsidP="00732453">
            <w:pPr>
              <w:snapToGrid w:val="0"/>
              <w:rPr>
                <w:rFonts w:ascii="Arial" w:hAnsi="Arial" w:cs="Arial"/>
                <w:b/>
                <w:bCs/>
                <w:sz w:val="22"/>
                <w:szCs w:val="22"/>
                <w:lang w:eastAsia="zh-CN"/>
              </w:rPr>
            </w:pPr>
          </w:p>
        </w:tc>
      </w:tr>
      <w:tr w:rsidR="00E40657" w14:paraId="08C5D6D2" w14:textId="77777777" w:rsidTr="00732453">
        <w:trPr>
          <w:trHeight w:hRule="exact" w:val="420"/>
        </w:trPr>
        <w:tc>
          <w:tcPr>
            <w:tcW w:w="2605" w:type="dxa"/>
            <w:tcBorders>
              <w:top w:val="single" w:sz="4" w:space="0" w:color="000000"/>
              <w:left w:val="single" w:sz="4" w:space="0" w:color="000000"/>
              <w:bottom w:val="single" w:sz="4" w:space="0" w:color="000000"/>
            </w:tcBorders>
            <w:shd w:val="clear" w:color="auto" w:fill="auto"/>
            <w:vAlign w:val="center"/>
          </w:tcPr>
          <w:p w14:paraId="27CF343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25</w:t>
            </w:r>
          </w:p>
        </w:tc>
        <w:tc>
          <w:tcPr>
            <w:tcW w:w="3388" w:type="dxa"/>
            <w:tcBorders>
              <w:top w:val="single" w:sz="4" w:space="0" w:color="000000"/>
              <w:left w:val="single" w:sz="4" w:space="0" w:color="000000"/>
              <w:bottom w:val="single" w:sz="4" w:space="0" w:color="000000"/>
            </w:tcBorders>
            <w:shd w:val="clear" w:color="auto" w:fill="auto"/>
            <w:vAlign w:val="center"/>
          </w:tcPr>
          <w:p w14:paraId="531315D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3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8EC1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28CEED10" w14:textId="77777777" w:rsidR="0058795B"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25695030"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1) Zjištěno z měsíčního průměru výroby, přepočteno na 36% kyselinu chlorovodíkovou.</w:t>
      </w:r>
    </w:p>
    <w:p w14:paraId="5435FEF4" w14:textId="77777777" w:rsidR="008F52C8" w:rsidRPr="0030358C" w:rsidRDefault="008F52C8" w:rsidP="008F52C8">
      <w:pPr>
        <w:spacing w:before="60"/>
        <w:rPr>
          <w:rFonts w:ascii="Arial" w:hAnsi="Arial" w:cs="Arial"/>
          <w:b/>
          <w:bCs/>
          <w:sz w:val="22"/>
          <w:szCs w:val="22"/>
          <w:lang w:eastAsia="zh-CN"/>
        </w:rPr>
      </w:pPr>
    </w:p>
    <w:p w14:paraId="3682B55A" w14:textId="77777777" w:rsidR="008F52C8" w:rsidRPr="0030358C" w:rsidRDefault="00000000" w:rsidP="008F52C8">
      <w:pPr>
        <w:spacing w:before="62" w:after="57"/>
        <w:rPr>
          <w:rFonts w:ascii="Arial" w:hAnsi="Arial" w:cs="Arial"/>
          <w:b/>
          <w:bCs/>
          <w:sz w:val="22"/>
          <w:szCs w:val="22"/>
          <w:lang w:eastAsia="zh-CN"/>
        </w:rPr>
      </w:pPr>
      <w:r w:rsidRPr="0030358C">
        <w:rPr>
          <w:rFonts w:ascii="Arial" w:hAnsi="Arial" w:cs="Arial"/>
          <w:b/>
          <w:bCs/>
          <w:sz w:val="22"/>
          <w:szCs w:val="22"/>
          <w:lang w:eastAsia="zh-CN"/>
        </w:rPr>
        <w:t>5.2.3. Výroba síry (Clausův proces) (kód 6.13. dle přílohy č. 2 zákona)</w:t>
      </w:r>
    </w:p>
    <w:tbl>
      <w:tblPr>
        <w:tblW w:w="0" w:type="auto"/>
        <w:tblInd w:w="-6" w:type="dxa"/>
        <w:tblLayout w:type="fixed"/>
        <w:tblCellMar>
          <w:left w:w="10" w:type="dxa"/>
          <w:right w:w="10" w:type="dxa"/>
        </w:tblCellMar>
        <w:tblLook w:val="0000" w:firstRow="0" w:lastRow="0" w:firstColumn="0" w:lastColumn="0" w:noHBand="0" w:noVBand="0"/>
      </w:tblPr>
      <w:tblGrid>
        <w:gridCol w:w="3567"/>
        <w:gridCol w:w="4140"/>
        <w:gridCol w:w="1682"/>
      </w:tblGrid>
      <w:tr w:rsidR="00E40657" w14:paraId="26998480" w14:textId="77777777" w:rsidTr="00732453">
        <w:trPr>
          <w:cantSplit/>
          <w:trHeight w:hRule="exact" w:val="657"/>
        </w:trPr>
        <w:tc>
          <w:tcPr>
            <w:tcW w:w="3567" w:type="dxa"/>
            <w:tcBorders>
              <w:top w:val="single" w:sz="2" w:space="0" w:color="000000"/>
              <w:left w:val="single" w:sz="2" w:space="0" w:color="000000"/>
              <w:bottom w:val="single" w:sz="2" w:space="0" w:color="000000"/>
            </w:tcBorders>
            <w:shd w:val="clear" w:color="auto" w:fill="auto"/>
            <w:vAlign w:val="center"/>
          </w:tcPr>
          <w:p w14:paraId="4F7407F3"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 xml:space="preserve">Emisní limit </w:t>
            </w:r>
          </w:p>
          <w:p w14:paraId="3161CF58" w14:textId="77777777" w:rsidR="008F52C8" w:rsidRPr="0030358C" w:rsidRDefault="00000000" w:rsidP="00732453">
            <w:pPr>
              <w:keepNext/>
              <w:keepLines/>
              <w:autoSpaceDE w:val="0"/>
              <w:jc w:val="center"/>
              <w:rPr>
                <w:rFonts w:ascii="Arial" w:hAnsi="Arial" w:cs="Arial"/>
                <w:b/>
                <w:bCs/>
                <w:sz w:val="22"/>
                <w:szCs w:val="22"/>
                <w:lang w:val="es-MX" w:eastAsia="zh-CN"/>
              </w:rPr>
            </w:pPr>
            <w:r w:rsidRPr="0030358C">
              <w:rPr>
                <w:rFonts w:ascii="Arial" w:hAnsi="Arial" w:cs="Arial"/>
                <w:b/>
                <w:bCs/>
                <w:sz w:val="22"/>
                <w:szCs w:val="22"/>
                <w:lang w:val="es-MX" w:eastAsia="zh-CN"/>
              </w:rPr>
              <w:t>[mg</w:t>
            </w:r>
            <w:r w:rsidRPr="0030358C">
              <w:rPr>
                <w:rFonts w:ascii="Arial" w:hAnsi="Arial" w:cs="Arial"/>
                <w:b/>
                <w:bCs/>
                <w:sz w:val="22"/>
                <w:szCs w:val="22"/>
                <w:lang w:eastAsia="zh-CN"/>
              </w:rPr>
              <w:t>/m</w:t>
            </w:r>
            <w:r w:rsidRPr="0030358C">
              <w:rPr>
                <w:rFonts w:ascii="Arial" w:hAnsi="Arial" w:cs="Arial"/>
                <w:b/>
                <w:bCs/>
                <w:sz w:val="22"/>
                <w:szCs w:val="22"/>
                <w:vertAlign w:val="superscript"/>
                <w:lang w:eastAsia="zh-CN"/>
              </w:rPr>
              <w:t>3</w:t>
            </w:r>
            <w:r w:rsidRPr="0030358C">
              <w:rPr>
                <w:rFonts w:ascii="Arial" w:hAnsi="Arial" w:cs="Arial"/>
                <w:b/>
                <w:bCs/>
                <w:sz w:val="22"/>
                <w:szCs w:val="22"/>
                <w:lang w:val="es-MX" w:eastAsia="zh-CN"/>
              </w:rPr>
              <w:t>]</w:t>
            </w:r>
          </w:p>
        </w:tc>
        <w:tc>
          <w:tcPr>
            <w:tcW w:w="4140" w:type="dxa"/>
            <w:tcBorders>
              <w:top w:val="single" w:sz="2" w:space="0" w:color="000000"/>
              <w:left w:val="single" w:sz="2" w:space="0" w:color="000000"/>
              <w:bottom w:val="single" w:sz="2" w:space="0" w:color="000000"/>
            </w:tcBorders>
            <w:shd w:val="clear" w:color="auto" w:fill="auto"/>
            <w:vAlign w:val="center"/>
          </w:tcPr>
          <w:p w14:paraId="105C232F"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 xml:space="preserve">Emisní limit </w:t>
            </w:r>
          </w:p>
          <w:p w14:paraId="39BE8F1A" w14:textId="77777777" w:rsidR="008F52C8" w:rsidRPr="0030358C" w:rsidRDefault="00000000" w:rsidP="00732453">
            <w:pPr>
              <w:keepNext/>
              <w:keepLines/>
              <w:autoSpaceDE w:val="0"/>
              <w:jc w:val="center"/>
              <w:rPr>
                <w:rFonts w:ascii="Arial" w:hAnsi="Arial" w:cs="Arial"/>
                <w:b/>
                <w:bCs/>
                <w:sz w:val="22"/>
                <w:szCs w:val="22"/>
                <w:lang w:eastAsia="zh-CN"/>
              </w:rPr>
            </w:pPr>
            <w:r w:rsidRPr="0030358C">
              <w:rPr>
                <w:rFonts w:ascii="Arial" w:hAnsi="Arial" w:cs="Arial"/>
                <w:b/>
                <w:bCs/>
                <w:sz w:val="22"/>
                <w:szCs w:val="22"/>
                <w:lang w:eastAsia="zh-CN"/>
              </w:rPr>
              <w:t>[%]</w:t>
            </w:r>
          </w:p>
        </w:tc>
        <w:tc>
          <w:tcPr>
            <w:tcW w:w="1682" w:type="dxa"/>
            <w:vMerge w:val="restart"/>
            <w:tcBorders>
              <w:top w:val="single" w:sz="2" w:space="0" w:color="000000"/>
              <w:left w:val="single" w:sz="2" w:space="0" w:color="000000"/>
              <w:right w:val="single" w:sz="2" w:space="0" w:color="000000"/>
            </w:tcBorders>
            <w:shd w:val="clear" w:color="auto" w:fill="auto"/>
            <w:vAlign w:val="center"/>
          </w:tcPr>
          <w:p w14:paraId="5E84A7CB"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2225FE4D" w14:textId="77777777" w:rsidR="008F52C8" w:rsidRPr="0030358C" w:rsidRDefault="00000000" w:rsidP="00732453">
            <w:pPr>
              <w:keepNext/>
              <w:keepLines/>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3437ABC0" w14:textId="77777777" w:rsidTr="00732453">
        <w:trPr>
          <w:cantSplit/>
          <w:trHeight w:hRule="exact" w:val="567"/>
        </w:trPr>
        <w:tc>
          <w:tcPr>
            <w:tcW w:w="3567" w:type="dxa"/>
            <w:tcBorders>
              <w:top w:val="single" w:sz="2" w:space="0" w:color="000000"/>
              <w:left w:val="single" w:sz="2" w:space="0" w:color="000000"/>
              <w:bottom w:val="single" w:sz="2" w:space="0" w:color="000000"/>
            </w:tcBorders>
            <w:shd w:val="clear" w:color="auto" w:fill="auto"/>
            <w:vAlign w:val="center"/>
          </w:tcPr>
          <w:p w14:paraId="6A7CE2A3"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H</w:t>
            </w:r>
            <w:r w:rsidRPr="0030358C">
              <w:rPr>
                <w:rFonts w:ascii="Arial" w:hAnsi="Arial" w:cs="Arial"/>
                <w:b/>
                <w:bCs/>
                <w:sz w:val="22"/>
                <w:szCs w:val="22"/>
                <w:vertAlign w:val="subscript"/>
                <w:lang w:eastAsia="zh-CN"/>
              </w:rPr>
              <w:t>2</w:t>
            </w:r>
            <w:r w:rsidRPr="0030358C">
              <w:rPr>
                <w:rFonts w:ascii="Arial" w:hAnsi="Arial" w:cs="Arial"/>
                <w:b/>
                <w:bCs/>
                <w:sz w:val="22"/>
                <w:szCs w:val="22"/>
                <w:lang w:eastAsia="zh-CN"/>
              </w:rPr>
              <w:t>S</w:t>
            </w:r>
          </w:p>
        </w:tc>
        <w:tc>
          <w:tcPr>
            <w:tcW w:w="4140" w:type="dxa"/>
            <w:tcBorders>
              <w:top w:val="single" w:sz="2" w:space="0" w:color="000000"/>
              <w:left w:val="single" w:sz="2" w:space="0" w:color="000000"/>
              <w:bottom w:val="single" w:sz="2" w:space="0" w:color="000000"/>
            </w:tcBorders>
            <w:shd w:val="clear" w:color="auto" w:fill="auto"/>
            <w:vAlign w:val="center"/>
          </w:tcPr>
          <w:p w14:paraId="540F73A3"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Sloučeniny síry vyjádřené jako elementární síra</w:t>
            </w:r>
          </w:p>
        </w:tc>
        <w:tc>
          <w:tcPr>
            <w:tcW w:w="1682" w:type="dxa"/>
            <w:vMerge/>
            <w:tcBorders>
              <w:left w:val="single" w:sz="2" w:space="0" w:color="000000"/>
              <w:bottom w:val="single" w:sz="2" w:space="0" w:color="000000"/>
              <w:right w:val="single" w:sz="2" w:space="0" w:color="000000"/>
            </w:tcBorders>
            <w:shd w:val="clear" w:color="auto" w:fill="auto"/>
            <w:vAlign w:val="center"/>
          </w:tcPr>
          <w:p w14:paraId="6FD407AF" w14:textId="77777777" w:rsidR="008F52C8" w:rsidRPr="0030358C" w:rsidRDefault="008F52C8" w:rsidP="00732453">
            <w:pPr>
              <w:keepNext/>
              <w:keepLines/>
              <w:autoSpaceDE w:val="0"/>
              <w:snapToGrid w:val="0"/>
              <w:jc w:val="center"/>
              <w:rPr>
                <w:rFonts w:ascii="Arial" w:hAnsi="Arial" w:cs="Arial"/>
                <w:b/>
                <w:bCs/>
                <w:sz w:val="22"/>
                <w:szCs w:val="22"/>
                <w:lang w:eastAsia="zh-CN"/>
              </w:rPr>
            </w:pPr>
          </w:p>
        </w:tc>
      </w:tr>
      <w:tr w:rsidR="00E40657" w14:paraId="275DDE92" w14:textId="77777777" w:rsidTr="00732453">
        <w:trPr>
          <w:trHeight w:hRule="exact" w:val="1218"/>
        </w:trPr>
        <w:tc>
          <w:tcPr>
            <w:tcW w:w="3567" w:type="dxa"/>
            <w:tcBorders>
              <w:top w:val="single" w:sz="2" w:space="0" w:color="000000"/>
              <w:left w:val="single" w:sz="2" w:space="0" w:color="000000"/>
              <w:bottom w:val="single" w:sz="2" w:space="0" w:color="000000"/>
            </w:tcBorders>
            <w:shd w:val="clear" w:color="auto" w:fill="auto"/>
            <w:vAlign w:val="center"/>
          </w:tcPr>
          <w:p w14:paraId="56C4C33C"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10</w:t>
            </w:r>
          </w:p>
        </w:tc>
        <w:tc>
          <w:tcPr>
            <w:tcW w:w="4140" w:type="dxa"/>
            <w:tcBorders>
              <w:top w:val="single" w:sz="2" w:space="0" w:color="000000"/>
              <w:left w:val="single" w:sz="2" w:space="0" w:color="000000"/>
              <w:bottom w:val="single" w:sz="2" w:space="0" w:color="000000"/>
            </w:tcBorders>
            <w:shd w:val="clear" w:color="auto" w:fill="auto"/>
            <w:vAlign w:val="center"/>
          </w:tcPr>
          <w:p w14:paraId="5582B082" w14:textId="77777777" w:rsidR="008F52C8" w:rsidRPr="0030358C" w:rsidRDefault="00000000" w:rsidP="00732453">
            <w:pPr>
              <w:keepNext/>
              <w:keepLines/>
              <w:autoSpaceDE w:val="0"/>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4</w:t>
            </w:r>
            <w:r w:rsidRPr="0030358C">
              <w:rPr>
                <w:rFonts w:ascii="Arial" w:hAnsi="Arial" w:cs="Arial"/>
                <w:b/>
                <w:bCs/>
                <w:sz w:val="22"/>
                <w:szCs w:val="22"/>
                <w:vertAlign w:val="superscript"/>
                <w:lang w:eastAsia="zh-CN"/>
              </w:rPr>
              <w:t>1)</w:t>
            </w:r>
          </w:p>
          <w:p w14:paraId="11BA51A8" w14:textId="77777777" w:rsidR="008F52C8" w:rsidRPr="0030358C" w:rsidRDefault="00000000" w:rsidP="00732453">
            <w:pPr>
              <w:keepNext/>
              <w:keepLines/>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w:t>
            </w:r>
            <w:r w:rsidRPr="0030358C">
              <w:rPr>
                <w:rFonts w:ascii="Arial" w:hAnsi="Arial" w:cs="Arial"/>
                <w:b/>
                <w:bCs/>
                <w:sz w:val="22"/>
                <w:szCs w:val="22"/>
                <w:vertAlign w:val="superscript"/>
                <w:lang w:eastAsia="zh-CN"/>
              </w:rPr>
              <w:t>2)</w:t>
            </w:r>
          </w:p>
          <w:p w14:paraId="33DB591F" w14:textId="77777777" w:rsidR="008F52C8" w:rsidRPr="0030358C" w:rsidRDefault="00000000" w:rsidP="00732453">
            <w:pPr>
              <w:keepNext/>
              <w:keepLines/>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1,5</w:t>
            </w:r>
            <w:r w:rsidRPr="0030358C">
              <w:rPr>
                <w:rFonts w:ascii="Arial" w:hAnsi="Arial" w:cs="Arial"/>
                <w:b/>
                <w:bCs/>
                <w:sz w:val="22"/>
                <w:szCs w:val="22"/>
                <w:vertAlign w:val="superscript"/>
                <w:lang w:eastAsia="zh-CN"/>
              </w:rPr>
              <w:t>3)</w:t>
            </w:r>
          </w:p>
          <w:p w14:paraId="00F6D1DB" w14:textId="77777777" w:rsidR="008F52C8" w:rsidRPr="0030358C" w:rsidRDefault="00000000" w:rsidP="00732453">
            <w:pPr>
              <w:keepNext/>
              <w:keepLines/>
              <w:autoSpaceDE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0,5</w:t>
            </w:r>
            <w:r w:rsidRPr="0030358C">
              <w:rPr>
                <w:rFonts w:ascii="Arial" w:hAnsi="Arial" w:cs="Arial"/>
                <w:b/>
                <w:bCs/>
                <w:sz w:val="22"/>
                <w:szCs w:val="22"/>
                <w:vertAlign w:val="superscript"/>
                <w:lang w:eastAsia="zh-CN"/>
              </w:rPr>
              <w:t>4)</w:t>
            </w:r>
          </w:p>
        </w:tc>
        <w:tc>
          <w:tcPr>
            <w:tcW w:w="16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DD7F00"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57305586" w14:textId="77777777" w:rsidR="008F52C8" w:rsidRPr="0030358C" w:rsidRDefault="00000000" w:rsidP="008F52C8">
      <w:pPr>
        <w:keepNext/>
        <w:keepLines/>
        <w:spacing w:before="120"/>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744DED00" w14:textId="77777777" w:rsidR="008F52C8" w:rsidRPr="0030358C" w:rsidRDefault="00000000" w:rsidP="008F52C8">
      <w:pPr>
        <w:keepNext/>
        <w:keepLines/>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1)</w:t>
      </w:r>
      <w:r w:rsidRPr="0030358C">
        <w:rPr>
          <w:rFonts w:ascii="Arial" w:hAnsi="Arial" w:cs="Arial"/>
          <w:b/>
          <w:bCs/>
          <w:iCs/>
          <w:sz w:val="22"/>
          <w:szCs w:val="22"/>
          <w:lang w:eastAsia="zh-CN"/>
        </w:rPr>
        <w:tab/>
        <w:t>Platí u zařízení s celkovým projektovaným výkonem do 20 t/den síry včetně.</w:t>
      </w:r>
    </w:p>
    <w:p w14:paraId="6C8A1022" w14:textId="77777777" w:rsidR="008F52C8" w:rsidRPr="0030358C" w:rsidRDefault="00000000" w:rsidP="008F52C8">
      <w:pPr>
        <w:keepNext/>
        <w:keepLines/>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2)</w:t>
      </w:r>
      <w:r w:rsidRPr="0030358C">
        <w:rPr>
          <w:rFonts w:ascii="Arial" w:hAnsi="Arial" w:cs="Arial"/>
          <w:b/>
          <w:bCs/>
          <w:iCs/>
          <w:sz w:val="22"/>
          <w:szCs w:val="22"/>
          <w:lang w:eastAsia="zh-CN"/>
        </w:rPr>
        <w:tab/>
        <w:t>Platí u zařízení s celkovým projektovaným výkonem vyšším než 20 t/den až 50 t/den síry včetně.</w:t>
      </w:r>
    </w:p>
    <w:p w14:paraId="0799E15D"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iCs/>
          <w:sz w:val="22"/>
          <w:szCs w:val="22"/>
          <w:lang w:eastAsia="zh-CN"/>
        </w:rPr>
        <w:t>3)   Platí u zařízení s celkovým projektovaným výkonem vyšším než 50 t/den síry.</w:t>
      </w:r>
    </w:p>
    <w:p w14:paraId="35676DC0" w14:textId="77777777" w:rsidR="008F52C8" w:rsidRPr="0030358C" w:rsidRDefault="00000000" w:rsidP="008F52C8">
      <w:pPr>
        <w:keepNext/>
        <w:keepLines/>
        <w:jc w:val="both"/>
        <w:rPr>
          <w:rFonts w:ascii="Arial" w:hAnsi="Arial" w:cs="Arial"/>
          <w:b/>
          <w:bCs/>
          <w:iCs/>
          <w:sz w:val="22"/>
          <w:szCs w:val="22"/>
          <w:lang w:eastAsia="zh-CN"/>
        </w:rPr>
      </w:pPr>
      <w:r w:rsidRPr="0030358C">
        <w:rPr>
          <w:rFonts w:ascii="Arial" w:hAnsi="Arial" w:cs="Arial"/>
          <w:b/>
          <w:bCs/>
          <w:iCs/>
          <w:sz w:val="22"/>
          <w:szCs w:val="22"/>
          <w:lang w:eastAsia="zh-CN"/>
        </w:rPr>
        <w:t>4)   Platí u zařízení s celkovým projektovaným výkonem vyšším než 50 t/den síry povolených po 1. lednu 2007.</w:t>
      </w:r>
    </w:p>
    <w:p w14:paraId="5BEA24BB" w14:textId="77777777" w:rsidR="008F52C8" w:rsidRPr="0030358C" w:rsidRDefault="008F52C8" w:rsidP="008F52C8">
      <w:pPr>
        <w:keepNext/>
        <w:keepLines/>
        <w:jc w:val="both"/>
        <w:rPr>
          <w:rFonts w:ascii="Arial" w:hAnsi="Arial" w:cs="Arial"/>
          <w:b/>
          <w:bCs/>
          <w:i/>
          <w:sz w:val="22"/>
          <w:szCs w:val="22"/>
          <w:lang w:eastAsia="zh-CN"/>
        </w:rPr>
      </w:pPr>
    </w:p>
    <w:p w14:paraId="40900CCD"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7147D967"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Odpadní plyny obsahující sulfan musí být spalovány.</w:t>
      </w:r>
    </w:p>
    <w:p w14:paraId="6C6C48D0" w14:textId="77777777" w:rsidR="008F52C8" w:rsidRPr="0030358C" w:rsidRDefault="008F52C8" w:rsidP="008F52C8">
      <w:pPr>
        <w:rPr>
          <w:rFonts w:ascii="Arial" w:hAnsi="Arial" w:cs="Arial"/>
          <w:b/>
          <w:bCs/>
          <w:sz w:val="22"/>
          <w:szCs w:val="22"/>
          <w:lang w:eastAsia="zh-CN"/>
        </w:rPr>
      </w:pPr>
    </w:p>
    <w:p w14:paraId="11325245"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5.2.4. Výroba kapalného oxidu siřičitého (kód 6.14. dle přílohy č. 2 zákona)</w:t>
      </w:r>
    </w:p>
    <w:p w14:paraId="528ADA89" w14:textId="77777777" w:rsidR="008F52C8" w:rsidRPr="0030358C" w:rsidRDefault="00000000" w:rsidP="008F52C8">
      <w:pPr>
        <w:spacing w:before="60"/>
        <w:jc w:val="both"/>
        <w:rPr>
          <w:rFonts w:ascii="Arial" w:hAnsi="Arial" w:cs="Arial"/>
          <w:b/>
          <w:bCs/>
          <w:sz w:val="22"/>
          <w:szCs w:val="22"/>
          <w:lang w:eastAsia="zh-CN"/>
        </w:rPr>
      </w:pPr>
      <w:r w:rsidRPr="0030358C">
        <w:rPr>
          <w:rFonts w:ascii="Arial" w:hAnsi="Arial" w:cs="Arial"/>
          <w:b/>
          <w:bCs/>
          <w:sz w:val="22"/>
          <w:szCs w:val="22"/>
          <w:lang w:eastAsia="zh-CN"/>
        </w:rPr>
        <w:t xml:space="preserve">Technická podmínka provozu: </w:t>
      </w:r>
    </w:p>
    <w:p w14:paraId="33EE9FD3" w14:textId="77777777" w:rsidR="008F52C8" w:rsidRPr="0030358C" w:rsidRDefault="00000000" w:rsidP="008F52C8">
      <w:pPr>
        <w:spacing w:before="60"/>
        <w:jc w:val="both"/>
        <w:rPr>
          <w:rFonts w:ascii="Arial" w:hAnsi="Arial" w:cs="Arial"/>
          <w:b/>
          <w:bCs/>
          <w:sz w:val="22"/>
          <w:szCs w:val="22"/>
          <w:lang w:eastAsia="zh-CN"/>
        </w:rPr>
      </w:pPr>
      <w:r w:rsidRPr="0030358C">
        <w:rPr>
          <w:rFonts w:ascii="Arial" w:hAnsi="Arial" w:cs="Arial"/>
          <w:b/>
          <w:bCs/>
          <w:sz w:val="22"/>
          <w:szCs w:val="22"/>
          <w:lang w:eastAsia="zh-CN"/>
        </w:rPr>
        <w:t>Odpadní plyn z výroby kapalného oxidu siřičitého je zaváděn ke zpracování do zařízení na výrobu kyseliny sírové nebo jiného zpracovatelského či odsiřovacího zařízení.</w:t>
      </w:r>
    </w:p>
    <w:p w14:paraId="64762443" w14:textId="77777777" w:rsidR="008F52C8" w:rsidRPr="0030358C" w:rsidRDefault="008F52C8" w:rsidP="008F52C8">
      <w:pPr>
        <w:rPr>
          <w:rFonts w:ascii="Arial" w:hAnsi="Arial" w:cs="Arial"/>
          <w:b/>
          <w:bCs/>
          <w:sz w:val="22"/>
          <w:szCs w:val="22"/>
          <w:lang w:eastAsia="zh-CN"/>
        </w:rPr>
      </w:pPr>
    </w:p>
    <w:p w14:paraId="235A0A8A" w14:textId="77777777" w:rsidR="008F52C8" w:rsidRPr="0030358C" w:rsidRDefault="00000000" w:rsidP="008F52C8">
      <w:pPr>
        <w:rPr>
          <w:rFonts w:ascii="Arial" w:hAnsi="Arial" w:cs="Arial"/>
          <w:b/>
          <w:bCs/>
          <w:i/>
          <w:sz w:val="22"/>
          <w:szCs w:val="22"/>
          <w:lang w:eastAsia="zh-CN"/>
        </w:rPr>
      </w:pPr>
      <w:r w:rsidRPr="0030358C">
        <w:rPr>
          <w:rFonts w:ascii="Arial" w:hAnsi="Arial" w:cs="Arial"/>
          <w:b/>
          <w:bCs/>
          <w:sz w:val="22"/>
          <w:szCs w:val="22"/>
          <w:lang w:eastAsia="zh-CN"/>
        </w:rPr>
        <w:t>5.2.5. Výroba kyseliny sírové (kód 6.15. dle přílohy č. 2 zákona)</w:t>
      </w:r>
      <w:r w:rsidRPr="0030358C">
        <w:rPr>
          <w:rFonts w:ascii="Arial" w:hAnsi="Arial" w:cs="Arial"/>
          <w:b/>
          <w:bCs/>
          <w:i/>
          <w:sz w:val="22"/>
          <w:szCs w:val="22"/>
          <w:lang w:eastAsia="zh-CN"/>
        </w:rPr>
        <w:t xml:space="preserve"> </w:t>
      </w:r>
    </w:p>
    <w:tbl>
      <w:tblPr>
        <w:tblW w:w="0" w:type="auto"/>
        <w:tblInd w:w="-6" w:type="dxa"/>
        <w:tblLayout w:type="fixed"/>
        <w:tblCellMar>
          <w:left w:w="10" w:type="dxa"/>
          <w:right w:w="10" w:type="dxa"/>
        </w:tblCellMar>
        <w:tblLook w:val="0000" w:firstRow="0" w:lastRow="0" w:firstColumn="0" w:lastColumn="0" w:noHBand="0" w:noVBand="0"/>
      </w:tblPr>
      <w:tblGrid>
        <w:gridCol w:w="6686"/>
        <w:gridCol w:w="2703"/>
      </w:tblGrid>
      <w:tr w:rsidR="00E40657" w14:paraId="74508BA7" w14:textId="77777777" w:rsidTr="00732453">
        <w:trPr>
          <w:cantSplit/>
          <w:trHeight w:hRule="exact" w:val="659"/>
        </w:trPr>
        <w:tc>
          <w:tcPr>
            <w:tcW w:w="6686" w:type="dxa"/>
            <w:tcBorders>
              <w:top w:val="single" w:sz="2" w:space="0" w:color="000000"/>
              <w:left w:val="single" w:sz="2" w:space="0" w:color="000000"/>
              <w:bottom w:val="single" w:sz="2" w:space="0" w:color="000000"/>
            </w:tcBorders>
            <w:shd w:val="clear" w:color="auto" w:fill="auto"/>
            <w:vAlign w:val="center"/>
          </w:tcPr>
          <w:p w14:paraId="50530EB3"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[kg/t]</w:t>
            </w:r>
          </w:p>
        </w:tc>
        <w:tc>
          <w:tcPr>
            <w:tcW w:w="2703" w:type="dxa"/>
            <w:vMerge w:val="restart"/>
            <w:tcBorders>
              <w:top w:val="single" w:sz="2" w:space="0" w:color="000000"/>
              <w:left w:val="single" w:sz="2" w:space="0" w:color="000000"/>
              <w:right w:val="single" w:sz="2" w:space="0" w:color="000000"/>
            </w:tcBorders>
            <w:shd w:val="clear" w:color="auto" w:fill="auto"/>
            <w:vAlign w:val="center"/>
          </w:tcPr>
          <w:p w14:paraId="1D67B635"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2EC5C62D" w14:textId="77777777" w:rsidR="008F52C8" w:rsidRPr="0030358C" w:rsidRDefault="00000000" w:rsidP="00732453">
            <w:pPr>
              <w:keepNext/>
              <w:keepLines/>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4EEB1936" w14:textId="77777777" w:rsidTr="00732453">
        <w:trPr>
          <w:cantSplit/>
          <w:trHeight w:hRule="exact" w:val="494"/>
        </w:trPr>
        <w:tc>
          <w:tcPr>
            <w:tcW w:w="6686" w:type="dxa"/>
            <w:tcBorders>
              <w:top w:val="single" w:sz="2" w:space="0" w:color="000000"/>
              <w:left w:val="single" w:sz="2" w:space="0" w:color="000000"/>
              <w:bottom w:val="single" w:sz="2" w:space="0" w:color="000000"/>
            </w:tcBorders>
            <w:shd w:val="clear" w:color="auto" w:fill="auto"/>
            <w:vAlign w:val="center"/>
          </w:tcPr>
          <w:p w14:paraId="510A87AB" w14:textId="77777777" w:rsidR="008F52C8" w:rsidRPr="0030358C" w:rsidRDefault="00000000" w:rsidP="00732453">
            <w:pPr>
              <w:keepNext/>
              <w:keepLines/>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2703" w:type="dxa"/>
            <w:vMerge/>
            <w:tcBorders>
              <w:left w:val="single" w:sz="2" w:space="0" w:color="000000"/>
              <w:bottom w:val="single" w:sz="2" w:space="0" w:color="000000"/>
              <w:right w:val="single" w:sz="2" w:space="0" w:color="000000"/>
            </w:tcBorders>
            <w:shd w:val="clear" w:color="auto" w:fill="auto"/>
            <w:vAlign w:val="center"/>
          </w:tcPr>
          <w:p w14:paraId="1C038AA8" w14:textId="77777777" w:rsidR="008F52C8" w:rsidRPr="0030358C" w:rsidRDefault="008F52C8" w:rsidP="00732453">
            <w:pPr>
              <w:keepNext/>
              <w:keepLines/>
              <w:autoSpaceDE w:val="0"/>
              <w:snapToGrid w:val="0"/>
              <w:jc w:val="center"/>
              <w:rPr>
                <w:rFonts w:ascii="Arial" w:hAnsi="Arial" w:cs="Arial"/>
                <w:b/>
                <w:bCs/>
                <w:sz w:val="22"/>
                <w:szCs w:val="22"/>
                <w:lang w:eastAsia="zh-CN"/>
              </w:rPr>
            </w:pPr>
          </w:p>
        </w:tc>
      </w:tr>
      <w:tr w:rsidR="00E40657" w14:paraId="0B32C595" w14:textId="77777777" w:rsidTr="00732453">
        <w:trPr>
          <w:trHeight w:hRule="exact" w:val="461"/>
        </w:trPr>
        <w:tc>
          <w:tcPr>
            <w:tcW w:w="6686" w:type="dxa"/>
            <w:tcBorders>
              <w:top w:val="single" w:sz="2" w:space="0" w:color="000000"/>
              <w:left w:val="single" w:sz="2" w:space="0" w:color="000000"/>
              <w:bottom w:val="single" w:sz="2" w:space="0" w:color="000000"/>
            </w:tcBorders>
            <w:shd w:val="clear" w:color="auto" w:fill="auto"/>
            <w:vAlign w:val="center"/>
          </w:tcPr>
          <w:p w14:paraId="2C32FFB7"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2,2</w:t>
            </w:r>
          </w:p>
        </w:tc>
        <w:tc>
          <w:tcPr>
            <w:tcW w:w="27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88D3D1"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35D291A3" w14:textId="77777777" w:rsidR="0052793F" w:rsidRPr="0030358C" w:rsidRDefault="00000000" w:rsidP="008F52C8">
      <w:pPr>
        <w:spacing w:before="60"/>
        <w:jc w:val="both"/>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6A29F001" w14:textId="77777777" w:rsidR="008F52C8" w:rsidRPr="0030358C" w:rsidRDefault="00000000" w:rsidP="008F52C8">
      <w:pPr>
        <w:spacing w:before="60"/>
        <w:jc w:val="both"/>
        <w:rPr>
          <w:rFonts w:ascii="Arial" w:hAnsi="Arial" w:cs="Arial"/>
          <w:b/>
          <w:bCs/>
          <w:sz w:val="22"/>
          <w:szCs w:val="22"/>
          <w:lang w:eastAsia="zh-CN"/>
        </w:rPr>
      </w:pPr>
      <w:r w:rsidRPr="0030358C">
        <w:rPr>
          <w:rFonts w:ascii="Arial" w:hAnsi="Arial" w:cs="Arial"/>
          <w:b/>
          <w:bCs/>
          <w:sz w:val="22"/>
          <w:szCs w:val="22"/>
          <w:lang w:eastAsia="zh-CN"/>
        </w:rPr>
        <w:lastRenderedPageBreak/>
        <w:t>1) Zjištěno z měsíčního průměru výroby, přepočteno na 100% kyselinu sírovou.</w:t>
      </w:r>
    </w:p>
    <w:p w14:paraId="65E955BD" w14:textId="77777777" w:rsidR="008F52C8" w:rsidRPr="0030358C" w:rsidRDefault="008F52C8" w:rsidP="008F52C8">
      <w:pPr>
        <w:rPr>
          <w:rFonts w:ascii="Arial" w:hAnsi="Arial" w:cs="Arial"/>
          <w:b/>
          <w:bCs/>
          <w:sz w:val="22"/>
          <w:szCs w:val="22"/>
          <w:lang w:eastAsia="zh-CN"/>
        </w:rPr>
      </w:pPr>
    </w:p>
    <w:p w14:paraId="438B2BC5" w14:textId="77777777" w:rsidR="008F52C8" w:rsidRPr="0030358C" w:rsidRDefault="008F52C8" w:rsidP="008F52C8">
      <w:pPr>
        <w:rPr>
          <w:rFonts w:ascii="Arial" w:hAnsi="Arial" w:cs="Arial"/>
          <w:b/>
          <w:bCs/>
          <w:sz w:val="22"/>
          <w:szCs w:val="22"/>
          <w:lang w:eastAsia="zh-CN"/>
        </w:rPr>
      </w:pPr>
    </w:p>
    <w:p w14:paraId="4D1B04EC" w14:textId="77777777" w:rsidR="008F52C8" w:rsidRPr="0030358C" w:rsidRDefault="00000000" w:rsidP="008F52C8">
      <w:pPr>
        <w:rPr>
          <w:rFonts w:ascii="Arial" w:hAnsi="Arial" w:cs="Arial"/>
          <w:b/>
          <w:bCs/>
          <w:i/>
          <w:sz w:val="22"/>
          <w:szCs w:val="22"/>
          <w:lang w:eastAsia="zh-CN"/>
        </w:rPr>
      </w:pPr>
      <w:r w:rsidRPr="0030358C">
        <w:rPr>
          <w:rFonts w:ascii="Arial" w:hAnsi="Arial" w:cs="Arial"/>
          <w:b/>
          <w:bCs/>
          <w:sz w:val="22"/>
          <w:szCs w:val="22"/>
          <w:lang w:eastAsia="zh-CN"/>
        </w:rPr>
        <w:t>5.2.6. Výroba amoniaku (kód 6.16. dle přílohy č. 2 zákona)</w:t>
      </w:r>
      <w:r w:rsidRPr="0030358C">
        <w:rPr>
          <w:rFonts w:ascii="Arial" w:hAnsi="Arial" w:cs="Arial"/>
          <w:b/>
          <w:bCs/>
          <w:i/>
          <w:sz w:val="22"/>
          <w:szCs w:val="22"/>
          <w:lang w:eastAsia="zh-CN"/>
        </w:rPr>
        <w:t xml:space="preserve"> </w:t>
      </w:r>
    </w:p>
    <w:tbl>
      <w:tblPr>
        <w:tblW w:w="0" w:type="auto"/>
        <w:tblInd w:w="-6" w:type="dxa"/>
        <w:tblLayout w:type="fixed"/>
        <w:tblCellMar>
          <w:left w:w="10" w:type="dxa"/>
          <w:right w:w="10" w:type="dxa"/>
        </w:tblCellMar>
        <w:tblLook w:val="0000" w:firstRow="0" w:lastRow="0" w:firstColumn="0" w:lastColumn="0" w:noHBand="0" w:noVBand="0"/>
      </w:tblPr>
      <w:tblGrid>
        <w:gridCol w:w="6686"/>
        <w:gridCol w:w="2703"/>
      </w:tblGrid>
      <w:tr w:rsidR="00E40657" w14:paraId="7F9E9825" w14:textId="77777777" w:rsidTr="00732453">
        <w:trPr>
          <w:cantSplit/>
          <w:trHeight w:hRule="exact" w:val="651"/>
        </w:trPr>
        <w:tc>
          <w:tcPr>
            <w:tcW w:w="6686" w:type="dxa"/>
            <w:tcBorders>
              <w:top w:val="single" w:sz="2" w:space="0" w:color="000000"/>
              <w:left w:val="single" w:sz="2" w:space="0" w:color="000000"/>
              <w:bottom w:val="single" w:sz="2" w:space="0" w:color="000000"/>
            </w:tcBorders>
            <w:shd w:val="clear" w:color="auto" w:fill="auto"/>
            <w:vAlign w:val="center"/>
          </w:tcPr>
          <w:p w14:paraId="2098C234"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[kg/t]</w:t>
            </w:r>
          </w:p>
          <w:p w14:paraId="1F5F1105" w14:textId="77777777" w:rsidR="008F52C8" w:rsidRPr="0030358C" w:rsidRDefault="008F52C8" w:rsidP="00732453">
            <w:pPr>
              <w:keepNext/>
              <w:keepLines/>
              <w:autoSpaceDE w:val="0"/>
              <w:jc w:val="center"/>
              <w:rPr>
                <w:rFonts w:ascii="Arial" w:hAnsi="Arial" w:cs="Arial"/>
                <w:b/>
                <w:bCs/>
                <w:sz w:val="22"/>
                <w:szCs w:val="22"/>
                <w:lang w:eastAsia="zh-CN"/>
              </w:rPr>
            </w:pPr>
          </w:p>
        </w:tc>
        <w:tc>
          <w:tcPr>
            <w:tcW w:w="2703" w:type="dxa"/>
            <w:vMerge w:val="restart"/>
            <w:tcBorders>
              <w:top w:val="single" w:sz="2" w:space="0" w:color="000000"/>
              <w:left w:val="single" w:sz="2" w:space="0" w:color="000000"/>
              <w:right w:val="single" w:sz="2" w:space="0" w:color="000000"/>
            </w:tcBorders>
            <w:shd w:val="clear" w:color="auto" w:fill="auto"/>
            <w:vAlign w:val="center"/>
          </w:tcPr>
          <w:p w14:paraId="1D1CB546"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Vztažné</w:t>
            </w:r>
          </w:p>
          <w:p w14:paraId="71630AB4" w14:textId="77777777" w:rsidR="008F52C8" w:rsidRPr="0030358C" w:rsidRDefault="00000000" w:rsidP="00732453">
            <w:pPr>
              <w:keepNext/>
              <w:keepLines/>
              <w:autoSpaceDE w:val="0"/>
              <w:jc w:val="center"/>
              <w:rPr>
                <w:rFonts w:ascii="Arial" w:hAnsi="Arial" w:cs="Arial"/>
                <w:b/>
                <w:bCs/>
                <w:sz w:val="22"/>
                <w:szCs w:val="22"/>
                <w:lang w:eastAsia="zh-CN"/>
              </w:rPr>
            </w:pPr>
            <w:r w:rsidRPr="0030358C">
              <w:rPr>
                <w:rFonts w:ascii="Arial" w:hAnsi="Arial" w:cs="Arial"/>
                <w:b/>
                <w:bCs/>
                <w:sz w:val="22"/>
                <w:szCs w:val="22"/>
                <w:lang w:eastAsia="zh-CN"/>
              </w:rPr>
              <w:t>podmínky</w:t>
            </w:r>
          </w:p>
        </w:tc>
      </w:tr>
      <w:tr w:rsidR="00E40657" w14:paraId="72AFE601" w14:textId="77777777" w:rsidTr="00732453">
        <w:trPr>
          <w:cantSplit/>
          <w:trHeight w:hRule="exact" w:val="526"/>
        </w:trPr>
        <w:tc>
          <w:tcPr>
            <w:tcW w:w="6686" w:type="dxa"/>
            <w:tcBorders>
              <w:top w:val="single" w:sz="2" w:space="0" w:color="000000"/>
              <w:left w:val="single" w:sz="2" w:space="0" w:color="000000"/>
              <w:bottom w:val="single" w:sz="2" w:space="0" w:color="000000"/>
            </w:tcBorders>
            <w:shd w:val="clear" w:color="auto" w:fill="auto"/>
            <w:vAlign w:val="center"/>
          </w:tcPr>
          <w:p w14:paraId="023FADEB" w14:textId="77777777" w:rsidR="008F52C8" w:rsidRPr="0030358C" w:rsidRDefault="00000000" w:rsidP="00732453">
            <w:pPr>
              <w:keepNext/>
              <w:keepLines/>
              <w:autoSpaceDE w:val="0"/>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NH</w:t>
            </w:r>
            <w:r w:rsidRPr="0030358C">
              <w:rPr>
                <w:rFonts w:ascii="Arial" w:hAnsi="Arial" w:cs="Arial"/>
                <w:b/>
                <w:bCs/>
                <w:sz w:val="22"/>
                <w:szCs w:val="22"/>
                <w:vertAlign w:val="subscript"/>
                <w:lang w:eastAsia="zh-CN"/>
              </w:rPr>
              <w:t>3</w:t>
            </w:r>
          </w:p>
        </w:tc>
        <w:tc>
          <w:tcPr>
            <w:tcW w:w="2703" w:type="dxa"/>
            <w:vMerge/>
            <w:tcBorders>
              <w:left w:val="single" w:sz="2" w:space="0" w:color="000000"/>
              <w:bottom w:val="single" w:sz="2" w:space="0" w:color="000000"/>
              <w:right w:val="single" w:sz="2" w:space="0" w:color="000000"/>
            </w:tcBorders>
            <w:shd w:val="clear" w:color="auto" w:fill="auto"/>
            <w:vAlign w:val="center"/>
          </w:tcPr>
          <w:p w14:paraId="5FFFC831" w14:textId="77777777" w:rsidR="008F52C8" w:rsidRPr="0030358C" w:rsidRDefault="008F52C8" w:rsidP="00732453">
            <w:pPr>
              <w:keepNext/>
              <w:keepLines/>
              <w:autoSpaceDE w:val="0"/>
              <w:snapToGrid w:val="0"/>
              <w:jc w:val="center"/>
              <w:rPr>
                <w:rFonts w:ascii="Arial" w:hAnsi="Arial" w:cs="Arial"/>
                <w:b/>
                <w:bCs/>
                <w:sz w:val="22"/>
                <w:szCs w:val="22"/>
                <w:lang w:eastAsia="zh-CN"/>
              </w:rPr>
            </w:pPr>
          </w:p>
        </w:tc>
      </w:tr>
      <w:tr w:rsidR="00E40657" w14:paraId="6677096F" w14:textId="77777777" w:rsidTr="00732453">
        <w:trPr>
          <w:trHeight w:hRule="exact" w:val="461"/>
        </w:trPr>
        <w:tc>
          <w:tcPr>
            <w:tcW w:w="6686" w:type="dxa"/>
            <w:tcBorders>
              <w:top w:val="single" w:sz="2" w:space="0" w:color="000000"/>
              <w:left w:val="single" w:sz="2" w:space="0" w:color="000000"/>
              <w:bottom w:val="single" w:sz="2" w:space="0" w:color="000000"/>
            </w:tcBorders>
            <w:shd w:val="clear" w:color="auto" w:fill="auto"/>
            <w:vAlign w:val="center"/>
          </w:tcPr>
          <w:p w14:paraId="61179BEA"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0,2</w:t>
            </w:r>
          </w:p>
        </w:tc>
        <w:tc>
          <w:tcPr>
            <w:tcW w:w="27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C53B0B" w14:textId="77777777" w:rsidR="008F52C8" w:rsidRPr="0030358C" w:rsidRDefault="00000000" w:rsidP="00732453">
            <w:pPr>
              <w:keepNext/>
              <w:keepLines/>
              <w:autoSpaceDE w:val="0"/>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7FB1CB80" w14:textId="77777777" w:rsidR="0058795B"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62D8E815"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1) Zjištěno z měsíčního průměru výroby amoniaku.</w:t>
      </w:r>
    </w:p>
    <w:p w14:paraId="364C4DC3" w14:textId="77777777" w:rsidR="008F52C8" w:rsidRPr="0030358C" w:rsidRDefault="008F52C8" w:rsidP="008F52C8">
      <w:pPr>
        <w:rPr>
          <w:rFonts w:ascii="Arial" w:hAnsi="Arial" w:cs="Arial"/>
          <w:b/>
          <w:bCs/>
          <w:sz w:val="22"/>
          <w:szCs w:val="22"/>
          <w:lang w:eastAsia="zh-CN"/>
        </w:rPr>
      </w:pPr>
    </w:p>
    <w:p w14:paraId="28500D67" w14:textId="77777777" w:rsidR="008F52C8" w:rsidRPr="0030358C" w:rsidRDefault="008F52C8" w:rsidP="008F52C8">
      <w:pPr>
        <w:rPr>
          <w:rFonts w:ascii="Arial" w:hAnsi="Arial" w:cs="Arial"/>
          <w:b/>
          <w:bCs/>
          <w:sz w:val="22"/>
          <w:szCs w:val="22"/>
          <w:lang w:eastAsia="zh-CN"/>
        </w:rPr>
      </w:pPr>
    </w:p>
    <w:p w14:paraId="221F00E9" w14:textId="77777777" w:rsidR="008F52C8" w:rsidRPr="0030358C" w:rsidRDefault="00000000" w:rsidP="008F52C8">
      <w:pPr>
        <w:spacing w:before="62" w:after="57"/>
        <w:rPr>
          <w:rFonts w:ascii="Arial" w:hAnsi="Arial" w:cs="Arial"/>
          <w:b/>
          <w:bCs/>
          <w:sz w:val="22"/>
          <w:szCs w:val="22"/>
          <w:lang w:eastAsia="zh-CN"/>
        </w:rPr>
      </w:pPr>
      <w:r w:rsidRPr="0030358C">
        <w:rPr>
          <w:rFonts w:ascii="Arial" w:hAnsi="Arial" w:cs="Arial"/>
          <w:b/>
          <w:bCs/>
          <w:sz w:val="22"/>
          <w:szCs w:val="22"/>
          <w:lang w:eastAsia="zh-CN"/>
        </w:rPr>
        <w:t>5.2.7. Výroba kyseliny dusičné a jejích solí (kód 6.17. dle přílohy č. 2 zákona)</w:t>
      </w:r>
    </w:p>
    <w:tbl>
      <w:tblPr>
        <w:tblW w:w="0" w:type="auto"/>
        <w:tblInd w:w="-15" w:type="dxa"/>
        <w:tblLayout w:type="fixed"/>
        <w:tblLook w:val="0000" w:firstRow="0" w:lastRow="0" w:firstColumn="0" w:lastColumn="0" w:noHBand="0" w:noVBand="0"/>
      </w:tblPr>
      <w:tblGrid>
        <w:gridCol w:w="1895"/>
        <w:gridCol w:w="1895"/>
        <w:gridCol w:w="2890"/>
        <w:gridCol w:w="2920"/>
      </w:tblGrid>
      <w:tr w:rsidR="00E40657" w14:paraId="177E8FF1" w14:textId="77777777" w:rsidTr="00732453">
        <w:trPr>
          <w:cantSplit/>
          <w:trHeight w:hRule="exact" w:val="937"/>
        </w:trPr>
        <w:tc>
          <w:tcPr>
            <w:tcW w:w="3790" w:type="dxa"/>
            <w:gridSpan w:val="2"/>
            <w:tcBorders>
              <w:top w:val="single" w:sz="4" w:space="0" w:color="000000"/>
              <w:left w:val="single" w:sz="4" w:space="0" w:color="000000"/>
              <w:bottom w:val="single" w:sz="4" w:space="0" w:color="000000"/>
            </w:tcBorders>
            <w:shd w:val="clear" w:color="auto" w:fill="auto"/>
            <w:vAlign w:val="center"/>
          </w:tcPr>
          <w:p w14:paraId="1A72B1F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890" w:type="dxa"/>
            <w:tcBorders>
              <w:top w:val="single" w:sz="4" w:space="0" w:color="000000"/>
              <w:left w:val="single" w:sz="4" w:space="0" w:color="000000"/>
              <w:bottom w:val="single" w:sz="4" w:space="0" w:color="000000"/>
            </w:tcBorders>
            <w:shd w:val="clear" w:color="auto" w:fill="auto"/>
            <w:vAlign w:val="center"/>
          </w:tcPr>
          <w:p w14:paraId="3D229AA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w:t>
            </w:r>
            <w:r w:rsidRPr="0030358C">
              <w:rPr>
                <w:rFonts w:ascii="Arial" w:hAnsi="Arial" w:cs="Arial"/>
                <w:b/>
                <w:bCs/>
                <w:sz w:val="22"/>
                <w:szCs w:val="22"/>
                <w:vertAlign w:val="superscript"/>
                <w:lang w:eastAsia="zh-CN"/>
              </w:rPr>
              <w:t>1)</w:t>
            </w:r>
            <w:r w:rsidRPr="0030358C">
              <w:rPr>
                <w:rFonts w:ascii="Arial" w:hAnsi="Arial" w:cs="Arial"/>
                <w:b/>
                <w:bCs/>
                <w:sz w:val="22"/>
                <w:szCs w:val="22"/>
                <w:lang w:eastAsia="zh-CN"/>
              </w:rPr>
              <w:t xml:space="preserve"> [kg/t]</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94333D"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3E1C15B7" w14:textId="77777777" w:rsidTr="00732453">
        <w:trPr>
          <w:cantSplit/>
          <w:trHeight w:hRule="exact" w:val="340"/>
        </w:trPr>
        <w:tc>
          <w:tcPr>
            <w:tcW w:w="1895" w:type="dxa"/>
            <w:tcBorders>
              <w:left w:val="single" w:sz="4" w:space="0" w:color="000000"/>
              <w:bottom w:val="single" w:sz="4" w:space="0" w:color="000000"/>
            </w:tcBorders>
            <w:shd w:val="clear" w:color="auto" w:fill="auto"/>
            <w:vAlign w:val="center"/>
          </w:tcPr>
          <w:p w14:paraId="6D64CFDD"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2</w:t>
            </w:r>
          </w:p>
        </w:tc>
        <w:tc>
          <w:tcPr>
            <w:tcW w:w="1895" w:type="dxa"/>
            <w:tcBorders>
              <w:left w:val="single" w:sz="4" w:space="0" w:color="000000"/>
              <w:bottom w:val="single" w:sz="4" w:space="0" w:color="000000"/>
            </w:tcBorders>
            <w:shd w:val="clear" w:color="auto" w:fill="auto"/>
            <w:vAlign w:val="center"/>
          </w:tcPr>
          <w:p w14:paraId="4F873DC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amoniak</w:t>
            </w:r>
          </w:p>
        </w:tc>
        <w:tc>
          <w:tcPr>
            <w:tcW w:w="2890" w:type="dxa"/>
            <w:tcBorders>
              <w:left w:val="single" w:sz="4" w:space="0" w:color="000000"/>
              <w:bottom w:val="single" w:sz="4" w:space="0" w:color="000000"/>
            </w:tcBorders>
            <w:shd w:val="clear" w:color="auto" w:fill="auto"/>
            <w:vAlign w:val="center"/>
          </w:tcPr>
          <w:p w14:paraId="1259FC19"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2</w:t>
            </w:r>
          </w:p>
        </w:tc>
        <w:tc>
          <w:tcPr>
            <w:tcW w:w="29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2907C7" w14:textId="77777777" w:rsidR="008F52C8" w:rsidRPr="0030358C" w:rsidRDefault="008F52C8" w:rsidP="00732453">
            <w:pPr>
              <w:snapToGrid w:val="0"/>
              <w:rPr>
                <w:rFonts w:ascii="Arial" w:hAnsi="Arial" w:cs="Arial"/>
                <w:b/>
                <w:bCs/>
                <w:sz w:val="22"/>
                <w:szCs w:val="22"/>
                <w:lang w:eastAsia="zh-CN"/>
              </w:rPr>
            </w:pPr>
          </w:p>
        </w:tc>
      </w:tr>
      <w:tr w:rsidR="00E40657" w14:paraId="77E345AD" w14:textId="77777777" w:rsidTr="00732453">
        <w:trPr>
          <w:cantSplit/>
          <w:trHeight w:hRule="exact" w:val="646"/>
        </w:trPr>
        <w:tc>
          <w:tcPr>
            <w:tcW w:w="1895" w:type="dxa"/>
            <w:tcBorders>
              <w:left w:val="single" w:sz="4" w:space="0" w:color="000000"/>
              <w:bottom w:val="single" w:sz="4" w:space="0" w:color="000000"/>
            </w:tcBorders>
            <w:shd w:val="clear" w:color="auto" w:fill="auto"/>
            <w:vAlign w:val="center"/>
          </w:tcPr>
          <w:p w14:paraId="5679DEB4"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350</w:t>
            </w:r>
            <w:r w:rsidRPr="0030358C">
              <w:rPr>
                <w:rFonts w:ascii="Arial" w:hAnsi="Arial" w:cs="Arial"/>
                <w:b/>
                <w:bCs/>
                <w:sz w:val="22"/>
                <w:szCs w:val="22"/>
                <w:vertAlign w:val="superscript"/>
                <w:lang w:eastAsia="zh-CN"/>
              </w:rPr>
              <w:t>2)</w:t>
            </w:r>
          </w:p>
        </w:tc>
        <w:tc>
          <w:tcPr>
            <w:tcW w:w="1895" w:type="dxa"/>
            <w:tcBorders>
              <w:left w:val="single" w:sz="4" w:space="0" w:color="000000"/>
              <w:bottom w:val="single" w:sz="4" w:space="0" w:color="000000"/>
            </w:tcBorders>
            <w:shd w:val="clear" w:color="auto" w:fill="auto"/>
            <w:vAlign w:val="center"/>
          </w:tcPr>
          <w:p w14:paraId="1C617556"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300</w:t>
            </w:r>
            <w:r w:rsidRPr="0030358C">
              <w:rPr>
                <w:rFonts w:ascii="Arial" w:hAnsi="Arial" w:cs="Arial"/>
                <w:b/>
                <w:bCs/>
                <w:sz w:val="22"/>
                <w:szCs w:val="22"/>
                <w:vertAlign w:val="superscript"/>
                <w:lang w:eastAsia="zh-CN"/>
              </w:rPr>
              <w:t>3)</w:t>
            </w:r>
          </w:p>
        </w:tc>
        <w:tc>
          <w:tcPr>
            <w:tcW w:w="2890" w:type="dxa"/>
            <w:tcBorders>
              <w:left w:val="single" w:sz="4" w:space="0" w:color="000000"/>
              <w:bottom w:val="single" w:sz="4" w:space="0" w:color="000000"/>
            </w:tcBorders>
            <w:shd w:val="clear" w:color="auto" w:fill="auto"/>
            <w:vAlign w:val="center"/>
          </w:tcPr>
          <w:p w14:paraId="61DF24D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1,6</w:t>
            </w:r>
          </w:p>
        </w:tc>
        <w:tc>
          <w:tcPr>
            <w:tcW w:w="2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4C8E2"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A</w:t>
            </w:r>
            <w:r w:rsidRPr="0030358C">
              <w:rPr>
                <w:rFonts w:ascii="Arial" w:hAnsi="Arial" w:cs="Arial"/>
                <w:b/>
                <w:bCs/>
                <w:sz w:val="22"/>
                <w:szCs w:val="22"/>
                <w:vertAlign w:val="superscript"/>
                <w:lang w:eastAsia="zh-CN"/>
              </w:rPr>
              <w:t>4)</w:t>
            </w:r>
          </w:p>
          <w:p w14:paraId="0EEB6736"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C</w:t>
            </w:r>
            <w:r w:rsidRPr="0030358C">
              <w:rPr>
                <w:rFonts w:ascii="Arial" w:hAnsi="Arial" w:cs="Arial"/>
                <w:b/>
                <w:bCs/>
                <w:sz w:val="22"/>
                <w:szCs w:val="22"/>
                <w:vertAlign w:val="superscript"/>
                <w:lang w:eastAsia="zh-CN"/>
              </w:rPr>
              <w:t>4)</w:t>
            </w:r>
          </w:p>
        </w:tc>
      </w:tr>
    </w:tbl>
    <w:p w14:paraId="64F4ED7D" w14:textId="77777777" w:rsidR="008F52C8" w:rsidRPr="0030358C" w:rsidRDefault="00000000" w:rsidP="008F52C8">
      <w:pPr>
        <w:spacing w:before="60"/>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2347C721" w14:textId="77777777" w:rsidR="008F52C8" w:rsidRPr="0030358C" w:rsidRDefault="00000000" w:rsidP="008F52C8">
      <w:pPr>
        <w:spacing w:before="60"/>
        <w:rPr>
          <w:rFonts w:ascii="Arial" w:hAnsi="Arial" w:cs="Arial"/>
          <w:b/>
          <w:bCs/>
          <w:iCs/>
          <w:sz w:val="22"/>
          <w:szCs w:val="22"/>
          <w:lang w:eastAsia="zh-CN"/>
        </w:rPr>
      </w:pPr>
      <w:r w:rsidRPr="0030358C">
        <w:rPr>
          <w:rFonts w:ascii="Arial" w:hAnsi="Arial" w:cs="Arial"/>
          <w:b/>
          <w:bCs/>
          <w:iCs/>
          <w:sz w:val="22"/>
          <w:szCs w:val="22"/>
          <w:lang w:eastAsia="zh-CN"/>
        </w:rPr>
        <w:t xml:space="preserve">1) Přepočteno na </w:t>
      </w:r>
      <w:r w:rsidR="0058795B" w:rsidRPr="0030358C">
        <w:rPr>
          <w:rFonts w:ascii="Arial" w:hAnsi="Arial" w:cs="Arial"/>
          <w:b/>
          <w:bCs/>
          <w:iCs/>
          <w:sz w:val="22"/>
          <w:szCs w:val="22"/>
          <w:lang w:eastAsia="zh-CN"/>
        </w:rPr>
        <w:t>65 %</w:t>
      </w:r>
      <w:r w:rsidRPr="0030358C">
        <w:rPr>
          <w:rFonts w:ascii="Arial" w:hAnsi="Arial" w:cs="Arial"/>
          <w:b/>
          <w:bCs/>
          <w:iCs/>
          <w:sz w:val="22"/>
          <w:szCs w:val="22"/>
          <w:lang w:eastAsia="zh-CN"/>
        </w:rPr>
        <w:t xml:space="preserve"> kyselinu dusičnou.</w:t>
      </w:r>
    </w:p>
    <w:p w14:paraId="13AEF3FD" w14:textId="77777777" w:rsidR="008F52C8" w:rsidRPr="0030358C" w:rsidRDefault="00000000" w:rsidP="008F52C8">
      <w:pPr>
        <w:spacing w:before="28"/>
        <w:rPr>
          <w:rFonts w:ascii="Arial" w:hAnsi="Arial" w:cs="Arial"/>
          <w:b/>
          <w:bCs/>
          <w:iCs/>
          <w:sz w:val="22"/>
          <w:szCs w:val="22"/>
          <w:lang w:eastAsia="zh-CN"/>
        </w:rPr>
      </w:pPr>
      <w:r w:rsidRPr="0030358C">
        <w:rPr>
          <w:rFonts w:ascii="Arial" w:hAnsi="Arial" w:cs="Arial"/>
          <w:b/>
          <w:bCs/>
          <w:iCs/>
          <w:sz w:val="22"/>
          <w:szCs w:val="22"/>
          <w:lang w:eastAsia="zh-CN"/>
        </w:rPr>
        <w:t>2) Neplatí pro jednotky na úpravu koncentrace kyseliny dusičné.</w:t>
      </w:r>
    </w:p>
    <w:p w14:paraId="39D2F0D3" w14:textId="77777777" w:rsidR="008F52C8" w:rsidRPr="0030358C" w:rsidRDefault="00000000" w:rsidP="008F52C8">
      <w:pPr>
        <w:rPr>
          <w:rFonts w:ascii="Arial" w:hAnsi="Arial" w:cs="Arial"/>
          <w:b/>
          <w:bCs/>
          <w:iCs/>
          <w:sz w:val="22"/>
          <w:szCs w:val="22"/>
          <w:lang w:eastAsia="zh-CN"/>
        </w:rPr>
      </w:pPr>
      <w:r w:rsidRPr="0030358C">
        <w:rPr>
          <w:rFonts w:ascii="Arial" w:hAnsi="Arial" w:cs="Arial"/>
          <w:b/>
          <w:bCs/>
          <w:iCs/>
          <w:sz w:val="22"/>
          <w:szCs w:val="22"/>
          <w:lang w:eastAsia="zh-CN"/>
        </w:rPr>
        <w:t>3) V případě použití selektivní redukce oxidů dusíku amoniakem.</w:t>
      </w:r>
    </w:p>
    <w:p w14:paraId="6C6DA62B" w14:textId="77777777" w:rsidR="008F52C8" w:rsidRPr="0030358C" w:rsidRDefault="00000000" w:rsidP="008F52C8">
      <w:pPr>
        <w:rPr>
          <w:rFonts w:ascii="Arial" w:hAnsi="Arial" w:cs="Arial"/>
          <w:b/>
          <w:bCs/>
          <w:iCs/>
          <w:sz w:val="22"/>
          <w:szCs w:val="22"/>
          <w:lang w:eastAsia="zh-CN"/>
        </w:rPr>
      </w:pPr>
      <w:r w:rsidRPr="0030358C">
        <w:rPr>
          <w:rFonts w:ascii="Arial" w:hAnsi="Arial" w:cs="Arial"/>
          <w:b/>
          <w:bCs/>
          <w:iCs/>
          <w:sz w:val="22"/>
          <w:szCs w:val="22"/>
          <w:lang w:eastAsia="zh-CN"/>
        </w:rPr>
        <w:t>4) Vztažné podmínky A platí pro NO</w:t>
      </w:r>
      <w:r w:rsidRPr="0030358C">
        <w:rPr>
          <w:rFonts w:ascii="Arial" w:hAnsi="Arial" w:cs="Arial"/>
          <w:b/>
          <w:bCs/>
          <w:iCs/>
          <w:sz w:val="22"/>
          <w:szCs w:val="22"/>
          <w:vertAlign w:val="subscript"/>
          <w:lang w:eastAsia="zh-CN"/>
        </w:rPr>
        <w:t>2</w:t>
      </w:r>
      <w:r w:rsidRPr="0030358C">
        <w:rPr>
          <w:rFonts w:ascii="Arial" w:hAnsi="Arial" w:cs="Arial"/>
          <w:b/>
          <w:bCs/>
          <w:iCs/>
          <w:sz w:val="22"/>
          <w:szCs w:val="22"/>
          <w:lang w:eastAsia="zh-CN"/>
        </w:rPr>
        <w:t>, vztažné podmínky C platí pro amoniak.</w:t>
      </w:r>
    </w:p>
    <w:p w14:paraId="458C9F74" w14:textId="77777777" w:rsidR="008F52C8" w:rsidRPr="0030358C" w:rsidRDefault="008F52C8" w:rsidP="008F52C8">
      <w:pPr>
        <w:rPr>
          <w:rFonts w:ascii="Arial" w:hAnsi="Arial" w:cs="Arial"/>
          <w:b/>
          <w:bCs/>
          <w:sz w:val="22"/>
          <w:szCs w:val="22"/>
          <w:lang w:eastAsia="zh-CN"/>
        </w:rPr>
      </w:pPr>
    </w:p>
    <w:p w14:paraId="3ECE0B45" w14:textId="77777777" w:rsidR="008F52C8" w:rsidRPr="0030358C" w:rsidRDefault="008F52C8" w:rsidP="008F52C8">
      <w:pPr>
        <w:rPr>
          <w:rFonts w:ascii="Arial" w:hAnsi="Arial" w:cs="Arial"/>
          <w:b/>
          <w:bCs/>
          <w:sz w:val="22"/>
          <w:szCs w:val="22"/>
          <w:lang w:eastAsia="zh-CN"/>
        </w:rPr>
      </w:pPr>
    </w:p>
    <w:p w14:paraId="01931FA6"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bCs/>
          <w:sz w:val="22"/>
          <w:szCs w:val="22"/>
          <w:lang w:eastAsia="zh-CN"/>
        </w:rPr>
      </w:pPr>
      <w:r w:rsidRPr="0030358C">
        <w:rPr>
          <w:rFonts w:ascii="Arial" w:hAnsi="Arial" w:cs="Arial"/>
          <w:b/>
          <w:bCs/>
          <w:sz w:val="22"/>
          <w:szCs w:val="22"/>
          <w:lang w:eastAsia="zh-CN"/>
        </w:rPr>
        <w:t>5.2.8. Výroba hnojiv (kód 6.18. dle přílohy č. 2 zákona)</w:t>
      </w:r>
    </w:p>
    <w:tbl>
      <w:tblPr>
        <w:tblW w:w="0" w:type="auto"/>
        <w:tblInd w:w="-15" w:type="dxa"/>
        <w:tblLayout w:type="fixed"/>
        <w:tblLook w:val="0000" w:firstRow="0" w:lastRow="0" w:firstColumn="0" w:lastColumn="0" w:noHBand="0" w:noVBand="0"/>
      </w:tblPr>
      <w:tblGrid>
        <w:gridCol w:w="1110"/>
        <w:gridCol w:w="1148"/>
        <w:gridCol w:w="1298"/>
        <w:gridCol w:w="1462"/>
        <w:gridCol w:w="1447"/>
        <w:gridCol w:w="1449"/>
        <w:gridCol w:w="1686"/>
      </w:tblGrid>
      <w:tr w:rsidR="00E40657" w14:paraId="6C027AA0" w14:textId="77777777" w:rsidTr="00732453">
        <w:trPr>
          <w:cantSplit/>
          <w:trHeight w:hRule="exact" w:val="340"/>
        </w:trPr>
        <w:tc>
          <w:tcPr>
            <w:tcW w:w="7914" w:type="dxa"/>
            <w:gridSpan w:val="6"/>
            <w:tcBorders>
              <w:top w:val="single" w:sz="4" w:space="0" w:color="000000"/>
              <w:left w:val="single" w:sz="4" w:space="0" w:color="000000"/>
              <w:bottom w:val="single" w:sz="4" w:space="0" w:color="000000"/>
            </w:tcBorders>
            <w:shd w:val="clear" w:color="auto" w:fill="auto"/>
            <w:vAlign w:val="center"/>
          </w:tcPr>
          <w:p w14:paraId="0431E50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2BAFC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1B8930A4" w14:textId="77777777" w:rsidTr="00732453">
        <w:trPr>
          <w:cantSplit/>
          <w:trHeight w:hRule="exact" w:val="512"/>
        </w:trPr>
        <w:tc>
          <w:tcPr>
            <w:tcW w:w="1110" w:type="dxa"/>
            <w:tcBorders>
              <w:left w:val="single" w:sz="4" w:space="0" w:color="000000"/>
              <w:bottom w:val="single" w:sz="4" w:space="0" w:color="000000"/>
            </w:tcBorders>
            <w:shd w:val="clear" w:color="auto" w:fill="auto"/>
            <w:vAlign w:val="center"/>
          </w:tcPr>
          <w:p w14:paraId="3627423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148" w:type="dxa"/>
            <w:tcBorders>
              <w:left w:val="single" w:sz="4" w:space="0" w:color="000000"/>
              <w:bottom w:val="single" w:sz="4" w:space="0" w:color="000000"/>
            </w:tcBorders>
            <w:shd w:val="clear" w:color="auto" w:fill="auto"/>
            <w:vAlign w:val="center"/>
          </w:tcPr>
          <w:p w14:paraId="1B233DC6"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298" w:type="dxa"/>
            <w:tcBorders>
              <w:left w:val="single" w:sz="4" w:space="0" w:color="000000"/>
              <w:bottom w:val="single" w:sz="4" w:space="0" w:color="000000"/>
            </w:tcBorders>
            <w:shd w:val="clear" w:color="auto" w:fill="auto"/>
            <w:vAlign w:val="center"/>
          </w:tcPr>
          <w:p w14:paraId="3205A4F4"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462" w:type="dxa"/>
            <w:tcBorders>
              <w:left w:val="single" w:sz="4" w:space="0" w:color="000000"/>
              <w:bottom w:val="single" w:sz="4" w:space="0" w:color="000000"/>
            </w:tcBorders>
            <w:shd w:val="clear" w:color="auto" w:fill="auto"/>
            <w:vAlign w:val="center"/>
          </w:tcPr>
          <w:p w14:paraId="1D95FE2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amoniak</w:t>
            </w:r>
          </w:p>
        </w:tc>
        <w:tc>
          <w:tcPr>
            <w:tcW w:w="1447" w:type="dxa"/>
            <w:tcBorders>
              <w:left w:val="single" w:sz="4" w:space="0" w:color="000000"/>
              <w:bottom w:val="single" w:sz="4" w:space="0" w:color="000000"/>
            </w:tcBorders>
            <w:shd w:val="clear" w:color="auto" w:fill="auto"/>
            <w:vAlign w:val="center"/>
          </w:tcPr>
          <w:p w14:paraId="1E4506E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HCl</w:t>
            </w:r>
          </w:p>
        </w:tc>
        <w:tc>
          <w:tcPr>
            <w:tcW w:w="1449" w:type="dxa"/>
            <w:tcBorders>
              <w:left w:val="single" w:sz="4" w:space="0" w:color="000000"/>
              <w:bottom w:val="single" w:sz="4" w:space="0" w:color="000000"/>
            </w:tcBorders>
            <w:shd w:val="clear" w:color="auto" w:fill="auto"/>
            <w:vAlign w:val="center"/>
          </w:tcPr>
          <w:p w14:paraId="592582E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HF</w:t>
            </w: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1B0B32" w14:textId="77777777" w:rsidR="008F52C8" w:rsidRPr="0030358C" w:rsidRDefault="008F52C8" w:rsidP="00732453">
            <w:pPr>
              <w:snapToGrid w:val="0"/>
              <w:rPr>
                <w:rFonts w:ascii="Arial" w:hAnsi="Arial" w:cs="Arial"/>
                <w:b/>
                <w:bCs/>
                <w:sz w:val="22"/>
                <w:szCs w:val="22"/>
                <w:lang w:eastAsia="zh-CN"/>
              </w:rPr>
            </w:pPr>
          </w:p>
        </w:tc>
      </w:tr>
      <w:tr w:rsidR="00E40657" w14:paraId="261D34E9" w14:textId="77777777" w:rsidTr="00732453">
        <w:trPr>
          <w:trHeight w:hRule="exact" w:val="950"/>
        </w:trPr>
        <w:tc>
          <w:tcPr>
            <w:tcW w:w="1110" w:type="dxa"/>
            <w:tcBorders>
              <w:left w:val="single" w:sz="4" w:space="0" w:color="000000"/>
              <w:bottom w:val="single" w:sz="4" w:space="0" w:color="000000"/>
            </w:tcBorders>
            <w:shd w:val="clear" w:color="auto" w:fill="auto"/>
            <w:vAlign w:val="center"/>
          </w:tcPr>
          <w:p w14:paraId="791BD53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p w14:paraId="3BD0D1A4"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20</w:t>
            </w:r>
            <w:r w:rsidRPr="0030358C">
              <w:rPr>
                <w:rFonts w:ascii="Arial" w:hAnsi="Arial" w:cs="Arial"/>
                <w:b/>
                <w:bCs/>
                <w:sz w:val="22"/>
                <w:szCs w:val="22"/>
                <w:vertAlign w:val="superscript"/>
                <w:lang w:eastAsia="zh-CN"/>
              </w:rPr>
              <w:t>1)</w:t>
            </w:r>
          </w:p>
        </w:tc>
        <w:tc>
          <w:tcPr>
            <w:tcW w:w="1148" w:type="dxa"/>
            <w:tcBorders>
              <w:left w:val="single" w:sz="4" w:space="0" w:color="000000"/>
              <w:bottom w:val="single" w:sz="4" w:space="0" w:color="000000"/>
            </w:tcBorders>
            <w:shd w:val="clear" w:color="auto" w:fill="auto"/>
            <w:vAlign w:val="center"/>
          </w:tcPr>
          <w:p w14:paraId="55074EE1"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2 500</w:t>
            </w:r>
            <w:r w:rsidRPr="0030358C">
              <w:rPr>
                <w:rFonts w:ascii="Arial" w:hAnsi="Arial" w:cs="Arial"/>
                <w:b/>
                <w:bCs/>
                <w:sz w:val="22"/>
                <w:szCs w:val="22"/>
                <w:vertAlign w:val="superscript"/>
                <w:lang w:eastAsia="zh-CN"/>
              </w:rPr>
              <w:t>2)</w:t>
            </w:r>
          </w:p>
        </w:tc>
        <w:tc>
          <w:tcPr>
            <w:tcW w:w="1298" w:type="dxa"/>
            <w:tcBorders>
              <w:left w:val="single" w:sz="4" w:space="0" w:color="000000"/>
              <w:bottom w:val="single" w:sz="4" w:space="0" w:color="000000"/>
            </w:tcBorders>
            <w:shd w:val="clear" w:color="auto" w:fill="auto"/>
            <w:vAlign w:val="center"/>
          </w:tcPr>
          <w:p w14:paraId="1469E07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500</w:t>
            </w:r>
          </w:p>
        </w:tc>
        <w:tc>
          <w:tcPr>
            <w:tcW w:w="1462" w:type="dxa"/>
            <w:tcBorders>
              <w:left w:val="single" w:sz="4" w:space="0" w:color="000000"/>
              <w:bottom w:val="single" w:sz="4" w:space="0" w:color="000000"/>
            </w:tcBorders>
            <w:shd w:val="clear" w:color="auto" w:fill="auto"/>
            <w:vAlign w:val="center"/>
          </w:tcPr>
          <w:p w14:paraId="3CD4D6B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447" w:type="dxa"/>
            <w:tcBorders>
              <w:left w:val="single" w:sz="4" w:space="0" w:color="000000"/>
              <w:bottom w:val="single" w:sz="4" w:space="0" w:color="000000"/>
            </w:tcBorders>
            <w:shd w:val="clear" w:color="auto" w:fill="auto"/>
            <w:vAlign w:val="center"/>
          </w:tcPr>
          <w:p w14:paraId="4C3E5877"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3)</w:t>
            </w:r>
          </w:p>
        </w:tc>
        <w:tc>
          <w:tcPr>
            <w:tcW w:w="1449" w:type="dxa"/>
            <w:tcBorders>
              <w:left w:val="single" w:sz="4" w:space="0" w:color="000000"/>
              <w:bottom w:val="single" w:sz="4" w:space="0" w:color="000000"/>
            </w:tcBorders>
            <w:shd w:val="clear" w:color="auto" w:fill="auto"/>
            <w:vAlign w:val="center"/>
          </w:tcPr>
          <w:p w14:paraId="0ED49E3B"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4)</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FE7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B</w:t>
            </w:r>
          </w:p>
        </w:tc>
      </w:tr>
    </w:tbl>
    <w:p w14:paraId="49839706"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Vysvětlivky:</w:t>
      </w:r>
    </w:p>
    <w:p w14:paraId="5845ACDA"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1) Platí pro drcení fosfátové horniny.</w:t>
      </w:r>
    </w:p>
    <w:p w14:paraId="040501B6"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2) Platí při použití kyseliny sírové.</w:t>
      </w:r>
    </w:p>
    <w:p w14:paraId="4F1F66C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3) Platí pro výrobu NPK hnojiv (vícesložková průmyslová hnojiva obsahující dusík, fosfor a draslík).</w:t>
      </w:r>
    </w:p>
    <w:p w14:paraId="02B6BAF6"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4) Platí pro výrobu hnojiv z fosfátové horniny.</w:t>
      </w:r>
    </w:p>
    <w:p w14:paraId="372F1A9A" w14:textId="77777777" w:rsidR="008F52C8" w:rsidRPr="0030358C" w:rsidRDefault="008F52C8" w:rsidP="008F52C8">
      <w:pPr>
        <w:spacing w:before="60"/>
        <w:rPr>
          <w:rFonts w:ascii="Arial" w:hAnsi="Arial" w:cs="Arial"/>
          <w:b/>
          <w:bCs/>
          <w:sz w:val="22"/>
          <w:szCs w:val="22"/>
          <w:lang w:eastAsia="zh-CN"/>
        </w:rPr>
      </w:pPr>
    </w:p>
    <w:p w14:paraId="251C585F" w14:textId="77777777" w:rsidR="00067E26" w:rsidRPr="0030358C" w:rsidRDefault="00067E26" w:rsidP="008F52C8">
      <w:pPr>
        <w:spacing w:after="160" w:line="259" w:lineRule="auto"/>
        <w:rPr>
          <w:rFonts w:ascii="Arial" w:hAnsi="Arial" w:cs="Arial"/>
          <w:b/>
          <w:bCs/>
          <w:sz w:val="22"/>
          <w:szCs w:val="22"/>
          <w:lang w:eastAsia="zh-CN"/>
        </w:rPr>
      </w:pPr>
    </w:p>
    <w:p w14:paraId="4B76F77F" w14:textId="77777777" w:rsidR="00067E26" w:rsidRPr="0030358C" w:rsidRDefault="00067E26" w:rsidP="008F52C8">
      <w:pPr>
        <w:spacing w:after="160" w:line="259" w:lineRule="auto"/>
        <w:rPr>
          <w:rFonts w:ascii="Arial" w:hAnsi="Arial" w:cs="Arial"/>
          <w:b/>
          <w:bCs/>
          <w:sz w:val="22"/>
          <w:szCs w:val="22"/>
          <w:lang w:eastAsia="zh-CN"/>
        </w:rPr>
      </w:pPr>
    </w:p>
    <w:p w14:paraId="2E01ABD0" w14:textId="77777777" w:rsidR="00067E26" w:rsidRPr="0030358C" w:rsidRDefault="00067E26" w:rsidP="008F52C8">
      <w:pPr>
        <w:spacing w:after="160" w:line="259" w:lineRule="auto"/>
        <w:rPr>
          <w:rFonts w:ascii="Arial" w:hAnsi="Arial" w:cs="Arial"/>
          <w:b/>
          <w:bCs/>
          <w:sz w:val="22"/>
          <w:szCs w:val="22"/>
          <w:lang w:eastAsia="zh-CN"/>
        </w:rPr>
      </w:pPr>
    </w:p>
    <w:p w14:paraId="11291AE4" w14:textId="77777777" w:rsidR="00067E26" w:rsidRPr="0030358C" w:rsidRDefault="00067E26" w:rsidP="008F52C8">
      <w:pPr>
        <w:spacing w:after="160" w:line="259" w:lineRule="auto"/>
        <w:rPr>
          <w:rFonts w:ascii="Arial" w:hAnsi="Arial" w:cs="Arial"/>
          <w:b/>
          <w:bCs/>
          <w:sz w:val="22"/>
          <w:szCs w:val="22"/>
          <w:lang w:eastAsia="zh-CN"/>
        </w:rPr>
      </w:pPr>
    </w:p>
    <w:p w14:paraId="70F94583" w14:textId="77777777" w:rsidR="008F52C8" w:rsidRPr="0030358C" w:rsidRDefault="00000000" w:rsidP="008F52C8">
      <w:pPr>
        <w:spacing w:after="160" w:line="259" w:lineRule="auto"/>
        <w:rPr>
          <w:rFonts w:ascii="Arial" w:hAnsi="Arial" w:cs="Arial"/>
          <w:b/>
          <w:bCs/>
          <w:sz w:val="22"/>
          <w:szCs w:val="22"/>
          <w:lang w:eastAsia="zh-CN"/>
        </w:rPr>
      </w:pPr>
      <w:r w:rsidRPr="0030358C">
        <w:rPr>
          <w:rFonts w:ascii="Arial" w:hAnsi="Arial" w:cs="Arial"/>
          <w:b/>
          <w:bCs/>
          <w:sz w:val="22"/>
          <w:szCs w:val="22"/>
          <w:lang w:eastAsia="zh-CN"/>
        </w:rPr>
        <w:lastRenderedPageBreak/>
        <w:t xml:space="preserve">5.2.9. Sulfátový proces při výrobě oxidu titaničitého (kód 6.21. dle přílohy č. 2 zákona) </w:t>
      </w:r>
    </w:p>
    <w:tbl>
      <w:tblPr>
        <w:tblW w:w="9600" w:type="dxa"/>
        <w:tblInd w:w="-15" w:type="dxa"/>
        <w:tblLayout w:type="fixed"/>
        <w:tblLook w:val="0000" w:firstRow="0" w:lastRow="0" w:firstColumn="0" w:lastColumn="0" w:noHBand="0" w:noVBand="0"/>
      </w:tblPr>
      <w:tblGrid>
        <w:gridCol w:w="1711"/>
        <w:gridCol w:w="1755"/>
        <w:gridCol w:w="3112"/>
        <w:gridCol w:w="3022"/>
      </w:tblGrid>
      <w:tr w:rsidR="00E40657" w14:paraId="3B3BAA19" w14:textId="77777777" w:rsidTr="00732453">
        <w:trPr>
          <w:cantSplit/>
          <w:trHeight w:hRule="exact" w:val="859"/>
        </w:trPr>
        <w:tc>
          <w:tcPr>
            <w:tcW w:w="1711" w:type="dxa"/>
            <w:tcBorders>
              <w:top w:val="single" w:sz="4" w:space="0" w:color="000000"/>
              <w:left w:val="single" w:sz="4" w:space="0" w:color="000000"/>
              <w:bottom w:val="single" w:sz="4" w:space="0" w:color="000000"/>
            </w:tcBorders>
            <w:shd w:val="clear" w:color="auto" w:fill="auto"/>
            <w:vAlign w:val="center"/>
          </w:tcPr>
          <w:p w14:paraId="25ECA4A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755" w:type="dxa"/>
            <w:tcBorders>
              <w:top w:val="single" w:sz="4" w:space="0" w:color="000000"/>
              <w:left w:val="single" w:sz="4" w:space="0" w:color="000000"/>
              <w:bottom w:val="single" w:sz="4" w:space="0" w:color="000000"/>
            </w:tcBorders>
            <w:shd w:val="clear" w:color="auto" w:fill="auto"/>
            <w:vAlign w:val="center"/>
          </w:tcPr>
          <w:p w14:paraId="0274A00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[kg/t]</w:t>
            </w:r>
          </w:p>
        </w:tc>
        <w:tc>
          <w:tcPr>
            <w:tcW w:w="6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2B5FAA"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 xml:space="preserve">Vztažné podmínky </w:t>
            </w:r>
          </w:p>
          <w:p w14:paraId="4E01EF06" w14:textId="77777777" w:rsidR="008F52C8" w:rsidRPr="0030358C" w:rsidRDefault="008F52C8" w:rsidP="00732453">
            <w:pPr>
              <w:keepNext/>
              <w:keepLines/>
              <w:snapToGrid w:val="0"/>
              <w:jc w:val="center"/>
              <w:rPr>
                <w:rFonts w:ascii="Arial" w:hAnsi="Arial" w:cs="Arial"/>
                <w:b/>
                <w:bCs/>
                <w:sz w:val="22"/>
                <w:szCs w:val="22"/>
                <w:lang w:eastAsia="zh-CN"/>
              </w:rPr>
            </w:pPr>
          </w:p>
        </w:tc>
      </w:tr>
      <w:tr w:rsidR="00E40657" w14:paraId="2F2FA5B6" w14:textId="77777777" w:rsidTr="00732453">
        <w:trPr>
          <w:cantSplit/>
          <w:trHeight w:hRule="exact" w:val="574"/>
        </w:trPr>
        <w:tc>
          <w:tcPr>
            <w:tcW w:w="1711" w:type="dxa"/>
            <w:tcBorders>
              <w:left w:val="single" w:sz="4" w:space="0" w:color="000000"/>
              <w:bottom w:val="single" w:sz="4" w:space="0" w:color="000000"/>
            </w:tcBorders>
            <w:shd w:val="clear" w:color="auto" w:fill="auto"/>
            <w:vAlign w:val="center"/>
          </w:tcPr>
          <w:p w14:paraId="7AF950A7"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755" w:type="dxa"/>
            <w:tcBorders>
              <w:left w:val="single" w:sz="4" w:space="0" w:color="000000"/>
              <w:bottom w:val="single" w:sz="4" w:space="0" w:color="000000"/>
            </w:tcBorders>
            <w:shd w:val="clear" w:color="auto" w:fill="auto"/>
            <w:vAlign w:val="center"/>
          </w:tcPr>
          <w:p w14:paraId="49981320"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r w:rsidRPr="0030358C">
              <w:rPr>
                <w:rFonts w:ascii="Arial" w:hAnsi="Arial" w:cs="Arial"/>
                <w:b/>
                <w:bCs/>
                <w:sz w:val="22"/>
                <w:szCs w:val="22"/>
                <w:vertAlign w:val="superscript"/>
                <w:lang w:eastAsia="zh-CN"/>
              </w:rPr>
              <w:t>1)</w:t>
            </w:r>
          </w:p>
        </w:tc>
        <w:tc>
          <w:tcPr>
            <w:tcW w:w="3112" w:type="dxa"/>
            <w:tcBorders>
              <w:top w:val="single" w:sz="4" w:space="0" w:color="000000"/>
              <w:left w:val="single" w:sz="4" w:space="0" w:color="000000"/>
              <w:bottom w:val="single" w:sz="4" w:space="0" w:color="000000"/>
            </w:tcBorders>
            <w:shd w:val="clear" w:color="auto" w:fill="auto"/>
            <w:vAlign w:val="center"/>
          </w:tcPr>
          <w:p w14:paraId="6A228139"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r w:rsidRPr="0030358C">
              <w:rPr>
                <w:rFonts w:ascii="Arial" w:hAnsi="Arial" w:cs="Arial"/>
                <w:b/>
                <w:bCs/>
                <w:sz w:val="22"/>
                <w:szCs w:val="22"/>
                <w:vertAlign w:val="superscript"/>
                <w:lang w:eastAsia="zh-CN"/>
              </w:rPr>
              <w:t>1)</w:t>
            </w:r>
          </w:p>
        </w:tc>
        <w:tc>
          <w:tcPr>
            <w:tcW w:w="3022" w:type="dxa"/>
            <w:tcBorders>
              <w:left w:val="single" w:sz="4" w:space="0" w:color="000000"/>
              <w:bottom w:val="single" w:sz="4" w:space="0" w:color="000000"/>
              <w:right w:val="single" w:sz="4" w:space="0" w:color="000000"/>
            </w:tcBorders>
            <w:shd w:val="clear" w:color="auto" w:fill="auto"/>
            <w:vAlign w:val="center"/>
          </w:tcPr>
          <w:p w14:paraId="48C4564D" w14:textId="77777777" w:rsidR="008F52C8" w:rsidRPr="0030358C" w:rsidRDefault="008F52C8" w:rsidP="00732453">
            <w:pPr>
              <w:keepNext/>
              <w:keepLines/>
              <w:snapToGrid w:val="0"/>
              <w:rPr>
                <w:rFonts w:ascii="Arial" w:hAnsi="Arial" w:cs="Arial"/>
                <w:b/>
                <w:bCs/>
                <w:sz w:val="22"/>
                <w:szCs w:val="22"/>
                <w:lang w:eastAsia="zh-CN"/>
              </w:rPr>
            </w:pPr>
          </w:p>
        </w:tc>
      </w:tr>
      <w:tr w:rsidR="00E40657" w14:paraId="4C39DD97" w14:textId="77777777" w:rsidTr="00732453">
        <w:trPr>
          <w:trHeight w:hRule="exact" w:val="887"/>
        </w:trPr>
        <w:tc>
          <w:tcPr>
            <w:tcW w:w="1711" w:type="dxa"/>
            <w:tcBorders>
              <w:left w:val="single" w:sz="4" w:space="0" w:color="000000"/>
              <w:bottom w:val="single" w:sz="4" w:space="0" w:color="000000"/>
            </w:tcBorders>
            <w:shd w:val="clear" w:color="auto" w:fill="auto"/>
            <w:vAlign w:val="center"/>
          </w:tcPr>
          <w:p w14:paraId="51F4F382"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2)</w:t>
            </w:r>
          </w:p>
          <w:p w14:paraId="3D2EAB80"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150</w:t>
            </w:r>
            <w:r w:rsidRPr="0030358C">
              <w:rPr>
                <w:rFonts w:ascii="Arial" w:hAnsi="Arial" w:cs="Arial"/>
                <w:b/>
                <w:bCs/>
                <w:sz w:val="22"/>
                <w:szCs w:val="22"/>
                <w:vertAlign w:val="superscript"/>
                <w:lang w:eastAsia="zh-CN"/>
              </w:rPr>
              <w:t>3)</w:t>
            </w:r>
          </w:p>
        </w:tc>
        <w:tc>
          <w:tcPr>
            <w:tcW w:w="1755" w:type="dxa"/>
            <w:tcBorders>
              <w:left w:val="single" w:sz="4" w:space="0" w:color="000000"/>
              <w:bottom w:val="single" w:sz="4" w:space="0" w:color="000000"/>
            </w:tcBorders>
            <w:shd w:val="clear" w:color="auto" w:fill="auto"/>
            <w:vAlign w:val="center"/>
          </w:tcPr>
          <w:p w14:paraId="42762F35"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500</w:t>
            </w:r>
            <w:r w:rsidRPr="0030358C">
              <w:rPr>
                <w:rFonts w:ascii="Arial" w:hAnsi="Arial" w:cs="Arial"/>
                <w:b/>
                <w:bCs/>
                <w:sz w:val="22"/>
                <w:szCs w:val="22"/>
                <w:vertAlign w:val="superscript"/>
                <w:lang w:eastAsia="zh-CN"/>
              </w:rPr>
              <w:t>4)</w:t>
            </w:r>
          </w:p>
        </w:tc>
        <w:tc>
          <w:tcPr>
            <w:tcW w:w="3112" w:type="dxa"/>
            <w:tcBorders>
              <w:left w:val="single" w:sz="4" w:space="0" w:color="000000"/>
              <w:bottom w:val="single" w:sz="4" w:space="0" w:color="000000"/>
            </w:tcBorders>
            <w:shd w:val="clear" w:color="auto" w:fill="auto"/>
            <w:vAlign w:val="center"/>
          </w:tcPr>
          <w:p w14:paraId="4AFDD8B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6</w:t>
            </w:r>
            <w:r w:rsidRPr="0030358C">
              <w:rPr>
                <w:rFonts w:ascii="Arial" w:hAnsi="Arial" w:cs="Arial"/>
                <w:b/>
                <w:bCs/>
                <w:sz w:val="22"/>
                <w:szCs w:val="22"/>
                <w:vertAlign w:val="superscript"/>
                <w:lang w:eastAsia="zh-CN"/>
              </w:rPr>
              <w:t>5)</w:t>
            </w:r>
          </w:p>
        </w:tc>
        <w:tc>
          <w:tcPr>
            <w:tcW w:w="3022" w:type="dxa"/>
            <w:tcBorders>
              <w:left w:val="single" w:sz="4" w:space="0" w:color="000000"/>
              <w:bottom w:val="single" w:sz="4" w:space="0" w:color="000000"/>
              <w:right w:val="single" w:sz="4" w:space="0" w:color="000000"/>
            </w:tcBorders>
            <w:shd w:val="clear" w:color="auto" w:fill="auto"/>
            <w:vAlign w:val="center"/>
          </w:tcPr>
          <w:p w14:paraId="076F19B5"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B</w:t>
            </w:r>
          </w:p>
        </w:tc>
      </w:tr>
    </w:tbl>
    <w:p w14:paraId="62F6C378" w14:textId="77777777" w:rsidR="008F52C8" w:rsidRPr="0030358C" w:rsidRDefault="00000000" w:rsidP="008F52C8">
      <w:pPr>
        <w:keepNext/>
        <w:keepLines/>
        <w:spacing w:before="60"/>
        <w:ind w:left="426" w:hanging="426"/>
        <w:jc w:val="both"/>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2FB5B5BA" w14:textId="77777777" w:rsidR="008F52C8" w:rsidRPr="0030358C" w:rsidRDefault="00000000" w:rsidP="002E5F15">
      <w:pPr>
        <w:keepNext/>
        <w:keepLines/>
        <w:tabs>
          <w:tab w:val="left" w:pos="567"/>
        </w:tabs>
        <w:suppressAutoHyphens/>
        <w:jc w:val="both"/>
        <w:rPr>
          <w:rFonts w:ascii="Arial" w:hAnsi="Arial" w:cs="Arial"/>
          <w:b/>
          <w:bCs/>
          <w:iCs/>
          <w:sz w:val="22"/>
          <w:szCs w:val="22"/>
          <w:lang w:eastAsia="zh-CN"/>
        </w:rPr>
      </w:pPr>
      <w:r w:rsidRPr="0030358C">
        <w:rPr>
          <w:rFonts w:ascii="Arial" w:hAnsi="Arial" w:cs="Arial"/>
          <w:b/>
          <w:bCs/>
          <w:iCs/>
          <w:sz w:val="22"/>
          <w:szCs w:val="22"/>
          <w:lang w:eastAsia="zh-CN"/>
        </w:rPr>
        <w:t>1) Platí pro oxid siřičitý a oxid sírový vypuštěný ve fázi rozkladu a kalcinace, včetně kapiček kyseliny v přepočtu na ekvivalent SO</w:t>
      </w:r>
      <w:r w:rsidRPr="0030358C">
        <w:rPr>
          <w:rFonts w:ascii="Arial" w:hAnsi="Arial" w:cs="Arial"/>
          <w:b/>
          <w:bCs/>
          <w:iCs/>
          <w:sz w:val="22"/>
          <w:szCs w:val="22"/>
          <w:vertAlign w:val="subscript"/>
          <w:lang w:eastAsia="zh-CN"/>
        </w:rPr>
        <w:t>2</w:t>
      </w:r>
      <w:r w:rsidRPr="0030358C">
        <w:rPr>
          <w:rFonts w:ascii="Arial" w:hAnsi="Arial" w:cs="Arial"/>
          <w:b/>
          <w:bCs/>
          <w:iCs/>
          <w:sz w:val="22"/>
          <w:szCs w:val="22"/>
          <w:lang w:eastAsia="zh-CN"/>
        </w:rPr>
        <w:t>.</w:t>
      </w:r>
    </w:p>
    <w:p w14:paraId="69095FF5" w14:textId="77777777" w:rsidR="008F52C8" w:rsidRPr="0030358C" w:rsidRDefault="00000000" w:rsidP="002E5F15">
      <w:pPr>
        <w:keepNext/>
        <w:keepLines/>
        <w:suppressAutoHyphens/>
        <w:jc w:val="both"/>
        <w:rPr>
          <w:rFonts w:ascii="Arial" w:hAnsi="Arial" w:cs="Arial"/>
          <w:b/>
          <w:bCs/>
          <w:iCs/>
          <w:sz w:val="22"/>
          <w:szCs w:val="22"/>
          <w:lang w:eastAsia="zh-CN"/>
        </w:rPr>
      </w:pPr>
      <w:r w:rsidRPr="0030358C">
        <w:rPr>
          <w:rFonts w:ascii="Arial" w:hAnsi="Arial" w:cs="Arial"/>
          <w:b/>
          <w:bCs/>
          <w:iCs/>
          <w:sz w:val="22"/>
          <w:szCs w:val="22"/>
          <w:lang w:eastAsia="zh-CN"/>
        </w:rPr>
        <w:t>2) Platí pro hlavní výpusti jako hodinový průměr.</w:t>
      </w:r>
    </w:p>
    <w:p w14:paraId="27B32D78" w14:textId="77777777" w:rsidR="008F52C8" w:rsidRPr="0030358C" w:rsidRDefault="00000000" w:rsidP="002E5F15">
      <w:pPr>
        <w:keepNext/>
        <w:keepLines/>
        <w:suppressAutoHyphens/>
        <w:rPr>
          <w:rFonts w:ascii="Arial" w:hAnsi="Arial" w:cs="Arial"/>
          <w:b/>
          <w:bCs/>
          <w:iCs/>
          <w:sz w:val="22"/>
          <w:szCs w:val="22"/>
          <w:lang w:eastAsia="zh-CN"/>
        </w:rPr>
      </w:pPr>
      <w:r w:rsidRPr="0030358C">
        <w:rPr>
          <w:rFonts w:ascii="Arial" w:hAnsi="Arial" w:cs="Arial"/>
          <w:b/>
          <w:bCs/>
          <w:iCs/>
          <w:sz w:val="22"/>
          <w:szCs w:val="22"/>
          <w:lang w:eastAsia="zh-CN"/>
        </w:rPr>
        <w:t>3) Platí pro vedlejší výpusti jako hodinový průměr.</w:t>
      </w:r>
    </w:p>
    <w:p w14:paraId="1FE42AEA" w14:textId="77777777" w:rsidR="008F52C8" w:rsidRPr="0030358C" w:rsidRDefault="00000000" w:rsidP="002E5F15">
      <w:pPr>
        <w:keepNext/>
        <w:keepLines/>
        <w:suppressAutoHyphens/>
        <w:rPr>
          <w:rFonts w:ascii="Arial" w:hAnsi="Arial" w:cs="Arial"/>
          <w:b/>
          <w:bCs/>
          <w:sz w:val="22"/>
          <w:szCs w:val="22"/>
          <w:lang w:eastAsia="zh-CN"/>
        </w:rPr>
      </w:pPr>
      <w:r w:rsidRPr="0030358C">
        <w:rPr>
          <w:rFonts w:ascii="Arial" w:hAnsi="Arial" w:cs="Arial"/>
          <w:b/>
          <w:bCs/>
          <w:iCs/>
          <w:sz w:val="22"/>
          <w:szCs w:val="22"/>
          <w:lang w:eastAsia="zh-CN"/>
        </w:rPr>
        <w:t>4) Platí pro zařízení na koncentraci kyselého odpadu jako hodinový průměr.</w:t>
      </w:r>
    </w:p>
    <w:p w14:paraId="0F4F1014" w14:textId="77777777" w:rsidR="008F52C8" w:rsidRPr="0030358C" w:rsidRDefault="00000000" w:rsidP="002E5F15">
      <w:pPr>
        <w:keepNext/>
        <w:keepLines/>
        <w:suppressAutoHyphens/>
        <w:rPr>
          <w:rFonts w:ascii="Arial" w:hAnsi="Arial" w:cs="Arial"/>
          <w:b/>
          <w:bCs/>
          <w:iCs/>
          <w:sz w:val="22"/>
          <w:szCs w:val="22"/>
          <w:lang w:eastAsia="zh-CN"/>
        </w:rPr>
      </w:pPr>
      <w:r w:rsidRPr="0030358C">
        <w:rPr>
          <w:rFonts w:ascii="Arial" w:hAnsi="Arial" w:cs="Arial"/>
          <w:b/>
          <w:bCs/>
          <w:iCs/>
          <w:sz w:val="22"/>
          <w:szCs w:val="22"/>
          <w:lang w:eastAsia="zh-CN"/>
        </w:rPr>
        <w:t>5) Platí jako roční průměr. Vztahuje se na tunu vyrobeného oxidu titaničitého.</w:t>
      </w:r>
    </w:p>
    <w:p w14:paraId="6728842A" w14:textId="77777777" w:rsidR="008F52C8" w:rsidRPr="0030358C" w:rsidRDefault="008F52C8" w:rsidP="008F52C8">
      <w:pPr>
        <w:keepNext/>
        <w:keepLines/>
        <w:ind w:left="720"/>
        <w:rPr>
          <w:rFonts w:ascii="Arial" w:hAnsi="Arial" w:cs="Arial"/>
          <w:b/>
          <w:bCs/>
          <w:iCs/>
          <w:sz w:val="22"/>
          <w:szCs w:val="22"/>
          <w:lang w:eastAsia="zh-CN"/>
        </w:rPr>
      </w:pPr>
    </w:p>
    <w:p w14:paraId="1863223E" w14:textId="77777777" w:rsidR="008F52C8" w:rsidRPr="0030358C" w:rsidRDefault="00000000" w:rsidP="008F52C8">
      <w:pPr>
        <w:tabs>
          <w:tab w:val="left" w:pos="0"/>
        </w:tabs>
        <w:spacing w:before="60"/>
        <w:jc w:val="both"/>
        <w:rPr>
          <w:rFonts w:ascii="Arial" w:hAnsi="Arial" w:cs="Arial"/>
          <w:b/>
          <w:bCs/>
          <w:iCs/>
          <w:sz w:val="22"/>
          <w:szCs w:val="22"/>
          <w:lang w:eastAsia="zh-CN"/>
        </w:rPr>
      </w:pPr>
      <w:r w:rsidRPr="0030358C">
        <w:rPr>
          <w:rFonts w:ascii="Arial" w:hAnsi="Arial" w:cs="Arial"/>
          <w:b/>
          <w:bCs/>
          <w:iCs/>
          <w:sz w:val="22"/>
          <w:szCs w:val="22"/>
          <w:lang w:eastAsia="zh-CN"/>
        </w:rPr>
        <w:t>Technická podmínka provozu:</w:t>
      </w:r>
    </w:p>
    <w:p w14:paraId="2E2555FA" w14:textId="77777777" w:rsidR="008F52C8" w:rsidRPr="0030358C" w:rsidRDefault="00000000" w:rsidP="008F52C8">
      <w:pPr>
        <w:keepNext/>
        <w:keepLines/>
        <w:rPr>
          <w:rFonts w:ascii="Arial" w:hAnsi="Arial" w:cs="Arial"/>
          <w:b/>
          <w:bCs/>
          <w:iCs/>
          <w:sz w:val="22"/>
          <w:szCs w:val="22"/>
          <w:lang w:eastAsia="zh-CN"/>
        </w:rPr>
      </w:pPr>
      <w:r w:rsidRPr="0030358C">
        <w:rPr>
          <w:rFonts w:ascii="Arial" w:hAnsi="Arial" w:cs="Arial"/>
          <w:b/>
          <w:bCs/>
          <w:iCs/>
          <w:sz w:val="22"/>
          <w:szCs w:val="22"/>
          <w:lang w:eastAsia="zh-CN"/>
        </w:rPr>
        <w:t>Proces musí být vybaven zařízením k předcházení emisí kapek kyseliny sírové.</w:t>
      </w:r>
    </w:p>
    <w:p w14:paraId="69602D29" w14:textId="77777777" w:rsidR="008F52C8" w:rsidRPr="0030358C" w:rsidRDefault="008F52C8" w:rsidP="008F52C8">
      <w:pPr>
        <w:rPr>
          <w:rFonts w:ascii="Arial" w:hAnsi="Arial" w:cs="Arial"/>
          <w:b/>
          <w:bCs/>
          <w:sz w:val="22"/>
          <w:szCs w:val="22"/>
          <w:lang w:eastAsia="zh-CN"/>
        </w:rPr>
      </w:pPr>
    </w:p>
    <w:p w14:paraId="29B179D4" w14:textId="77777777" w:rsidR="008F52C8" w:rsidRPr="0030358C" w:rsidRDefault="008F52C8" w:rsidP="008F52C8">
      <w:pPr>
        <w:rPr>
          <w:rFonts w:ascii="Arial" w:hAnsi="Arial" w:cs="Arial"/>
          <w:b/>
          <w:bCs/>
          <w:sz w:val="22"/>
          <w:szCs w:val="22"/>
          <w:lang w:eastAsia="zh-CN"/>
        </w:rPr>
      </w:pPr>
    </w:p>
    <w:p w14:paraId="189B7E21" w14:textId="77777777" w:rsidR="008F52C8" w:rsidRPr="0030358C" w:rsidRDefault="00000000" w:rsidP="008F52C8">
      <w:pPr>
        <w:keepNext/>
        <w:keepLines/>
        <w:snapToGrid w:val="0"/>
        <w:rPr>
          <w:rFonts w:ascii="Arial" w:hAnsi="Arial" w:cs="Arial"/>
          <w:b/>
          <w:bCs/>
          <w:sz w:val="22"/>
          <w:szCs w:val="22"/>
          <w:lang w:eastAsia="zh-CN"/>
        </w:rPr>
      </w:pPr>
      <w:r w:rsidRPr="0030358C">
        <w:rPr>
          <w:rFonts w:ascii="Arial" w:hAnsi="Arial" w:cs="Arial"/>
          <w:b/>
          <w:bCs/>
          <w:sz w:val="22"/>
          <w:szCs w:val="22"/>
          <w:lang w:eastAsia="zh-CN"/>
        </w:rPr>
        <w:t>5.2.10. Chloridový proces při výrobě oxidu titaničitého (kód 6.22. dle přílohy č. 2 zákona)</w:t>
      </w:r>
    </w:p>
    <w:tbl>
      <w:tblPr>
        <w:tblW w:w="0" w:type="auto"/>
        <w:tblInd w:w="-15" w:type="dxa"/>
        <w:tblLayout w:type="fixed"/>
        <w:tblLook w:val="0000" w:firstRow="0" w:lastRow="0" w:firstColumn="0" w:lastColumn="0" w:noHBand="0" w:noVBand="0"/>
      </w:tblPr>
      <w:tblGrid>
        <w:gridCol w:w="3107"/>
        <w:gridCol w:w="3106"/>
        <w:gridCol w:w="3387"/>
      </w:tblGrid>
      <w:tr w:rsidR="00E40657" w14:paraId="41C85C13" w14:textId="77777777" w:rsidTr="00732453">
        <w:trPr>
          <w:cantSplit/>
          <w:trHeight w:hRule="exact" w:val="380"/>
        </w:trPr>
        <w:tc>
          <w:tcPr>
            <w:tcW w:w="6213" w:type="dxa"/>
            <w:gridSpan w:val="2"/>
            <w:tcBorders>
              <w:top w:val="single" w:sz="4" w:space="0" w:color="000000"/>
              <w:left w:val="single" w:sz="4" w:space="0" w:color="000000"/>
              <w:bottom w:val="single" w:sz="4" w:space="0" w:color="000000"/>
            </w:tcBorders>
            <w:shd w:val="clear" w:color="auto" w:fill="auto"/>
            <w:vAlign w:val="center"/>
          </w:tcPr>
          <w:p w14:paraId="20426FBD"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3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C55E88"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5A11FFBF" w14:textId="77777777" w:rsidTr="00732453">
        <w:trPr>
          <w:cantSplit/>
          <w:trHeight w:hRule="exact" w:val="809"/>
        </w:trPr>
        <w:tc>
          <w:tcPr>
            <w:tcW w:w="3107" w:type="dxa"/>
            <w:tcBorders>
              <w:left w:val="single" w:sz="4" w:space="0" w:color="000000"/>
              <w:bottom w:val="single" w:sz="4" w:space="0" w:color="000000"/>
            </w:tcBorders>
            <w:shd w:val="clear" w:color="auto" w:fill="auto"/>
            <w:vAlign w:val="center"/>
          </w:tcPr>
          <w:p w14:paraId="3E81287C"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3106" w:type="dxa"/>
            <w:tcBorders>
              <w:left w:val="single" w:sz="4" w:space="0" w:color="000000"/>
              <w:bottom w:val="single" w:sz="4" w:space="0" w:color="000000"/>
            </w:tcBorders>
            <w:shd w:val="clear" w:color="auto" w:fill="auto"/>
            <w:vAlign w:val="center"/>
          </w:tcPr>
          <w:p w14:paraId="7BFADFE1"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chlor</w:t>
            </w:r>
          </w:p>
        </w:tc>
        <w:tc>
          <w:tcPr>
            <w:tcW w:w="33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BBBD7" w14:textId="77777777" w:rsidR="008F52C8" w:rsidRPr="0030358C" w:rsidRDefault="008F52C8" w:rsidP="00732453">
            <w:pPr>
              <w:keepNext/>
              <w:keepLines/>
              <w:snapToGrid w:val="0"/>
              <w:rPr>
                <w:rFonts w:ascii="Arial" w:hAnsi="Arial" w:cs="Arial"/>
                <w:b/>
                <w:bCs/>
                <w:sz w:val="22"/>
                <w:szCs w:val="22"/>
                <w:lang w:eastAsia="zh-CN"/>
              </w:rPr>
            </w:pPr>
          </w:p>
        </w:tc>
      </w:tr>
      <w:tr w:rsidR="00E40657" w14:paraId="7716C86E" w14:textId="77777777" w:rsidTr="00732453">
        <w:trPr>
          <w:trHeight w:hRule="exact" w:val="640"/>
        </w:trPr>
        <w:tc>
          <w:tcPr>
            <w:tcW w:w="3107" w:type="dxa"/>
            <w:tcBorders>
              <w:left w:val="single" w:sz="4" w:space="0" w:color="000000"/>
              <w:bottom w:val="single" w:sz="4" w:space="0" w:color="000000"/>
            </w:tcBorders>
            <w:shd w:val="clear" w:color="auto" w:fill="auto"/>
            <w:vAlign w:val="center"/>
          </w:tcPr>
          <w:p w14:paraId="7F8D17A7"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1)</w:t>
            </w:r>
          </w:p>
          <w:p w14:paraId="62D156A1"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150</w:t>
            </w:r>
            <w:r w:rsidRPr="0030358C">
              <w:rPr>
                <w:rFonts w:ascii="Arial" w:hAnsi="Arial" w:cs="Arial"/>
                <w:b/>
                <w:bCs/>
                <w:sz w:val="22"/>
                <w:szCs w:val="22"/>
                <w:vertAlign w:val="superscript"/>
                <w:lang w:eastAsia="zh-CN"/>
              </w:rPr>
              <w:t>2)</w:t>
            </w:r>
          </w:p>
        </w:tc>
        <w:tc>
          <w:tcPr>
            <w:tcW w:w="3106" w:type="dxa"/>
            <w:tcBorders>
              <w:left w:val="single" w:sz="4" w:space="0" w:color="000000"/>
              <w:bottom w:val="single" w:sz="4" w:space="0" w:color="000000"/>
            </w:tcBorders>
            <w:shd w:val="clear" w:color="auto" w:fill="auto"/>
            <w:vAlign w:val="center"/>
          </w:tcPr>
          <w:p w14:paraId="13F54D29"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5</w:t>
            </w:r>
            <w:r w:rsidRPr="0030358C">
              <w:rPr>
                <w:rFonts w:ascii="Arial" w:hAnsi="Arial" w:cs="Arial"/>
                <w:b/>
                <w:bCs/>
                <w:sz w:val="22"/>
                <w:szCs w:val="22"/>
                <w:vertAlign w:val="superscript"/>
                <w:lang w:eastAsia="zh-CN"/>
              </w:rPr>
              <w:t>3)</w:t>
            </w:r>
          </w:p>
        </w:tc>
        <w:tc>
          <w:tcPr>
            <w:tcW w:w="3387" w:type="dxa"/>
            <w:tcBorders>
              <w:left w:val="single" w:sz="4" w:space="0" w:color="000000"/>
              <w:bottom w:val="single" w:sz="4" w:space="0" w:color="000000"/>
              <w:right w:val="single" w:sz="4" w:space="0" w:color="000000"/>
            </w:tcBorders>
            <w:shd w:val="clear" w:color="auto" w:fill="auto"/>
            <w:vAlign w:val="center"/>
          </w:tcPr>
          <w:p w14:paraId="449DDC3C"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B</w:t>
            </w:r>
          </w:p>
        </w:tc>
      </w:tr>
    </w:tbl>
    <w:p w14:paraId="40140D9C"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Vysvětlivky:</w:t>
      </w:r>
    </w:p>
    <w:p w14:paraId="5C5AF801" w14:textId="77777777" w:rsidR="008F52C8" w:rsidRPr="0030358C" w:rsidRDefault="00000000" w:rsidP="002E5F15">
      <w:pPr>
        <w:suppressAutoHyphens/>
        <w:rPr>
          <w:rFonts w:ascii="Arial" w:hAnsi="Arial" w:cs="Arial"/>
          <w:b/>
          <w:bCs/>
          <w:sz w:val="22"/>
          <w:szCs w:val="22"/>
          <w:lang w:eastAsia="zh-CN"/>
        </w:rPr>
      </w:pPr>
      <w:r w:rsidRPr="0030358C">
        <w:rPr>
          <w:rFonts w:ascii="Arial" w:hAnsi="Arial" w:cs="Arial"/>
          <w:b/>
          <w:bCs/>
          <w:sz w:val="22"/>
          <w:szCs w:val="22"/>
          <w:lang w:eastAsia="zh-CN"/>
        </w:rPr>
        <w:t>1) Platí pro hlavní výpusti jako hodinový průměr.</w:t>
      </w:r>
    </w:p>
    <w:p w14:paraId="28E93281" w14:textId="77777777" w:rsidR="008F52C8" w:rsidRPr="0030358C" w:rsidRDefault="00000000" w:rsidP="002E5F15">
      <w:pPr>
        <w:suppressAutoHyphens/>
        <w:rPr>
          <w:rFonts w:ascii="Arial" w:hAnsi="Arial" w:cs="Arial"/>
          <w:b/>
          <w:bCs/>
          <w:sz w:val="22"/>
          <w:szCs w:val="22"/>
          <w:lang w:eastAsia="zh-CN"/>
        </w:rPr>
      </w:pPr>
      <w:r w:rsidRPr="0030358C">
        <w:rPr>
          <w:rFonts w:ascii="Arial" w:hAnsi="Arial" w:cs="Arial"/>
          <w:b/>
          <w:bCs/>
          <w:sz w:val="22"/>
          <w:szCs w:val="22"/>
          <w:lang w:eastAsia="zh-CN"/>
        </w:rPr>
        <w:t>2) Platí pro vedlejší výpusti jako hodinový průměr.</w:t>
      </w:r>
    </w:p>
    <w:p w14:paraId="1543472C" w14:textId="77777777" w:rsidR="008F52C8" w:rsidRPr="0030358C" w:rsidRDefault="00000000" w:rsidP="002E5F15">
      <w:pPr>
        <w:suppressAutoHyphens/>
        <w:autoSpaceDE w:val="0"/>
        <w:rPr>
          <w:rFonts w:ascii="Arial" w:hAnsi="Arial" w:cs="Arial"/>
          <w:b/>
          <w:bCs/>
          <w:sz w:val="22"/>
          <w:szCs w:val="22"/>
          <w:lang w:eastAsia="zh-CN"/>
        </w:rPr>
      </w:pPr>
      <w:r w:rsidRPr="0030358C">
        <w:rPr>
          <w:rFonts w:ascii="Arial" w:hAnsi="Arial" w:cs="Arial"/>
          <w:b/>
          <w:bCs/>
          <w:color w:val="000000"/>
          <w:sz w:val="22"/>
          <w:szCs w:val="22"/>
          <w:lang w:eastAsia="cs-CZ"/>
        </w:rPr>
        <w:t>3) Platí jako denní průměr, žádný minutový průměr naměřených hodnot nepřekročí 40 mg/m</w:t>
      </w:r>
      <w:r w:rsidRPr="0030358C">
        <w:rPr>
          <w:rFonts w:ascii="Arial" w:hAnsi="Arial" w:cs="Arial"/>
          <w:b/>
          <w:bCs/>
          <w:color w:val="000000"/>
          <w:sz w:val="22"/>
          <w:szCs w:val="22"/>
          <w:vertAlign w:val="superscript"/>
          <w:lang w:eastAsia="cs-CZ"/>
        </w:rPr>
        <w:t>3</w:t>
      </w:r>
      <w:r w:rsidRPr="0030358C">
        <w:rPr>
          <w:rFonts w:ascii="Arial" w:hAnsi="Arial" w:cs="Arial"/>
          <w:b/>
          <w:bCs/>
          <w:color w:val="000000"/>
          <w:sz w:val="22"/>
          <w:szCs w:val="22"/>
          <w:lang w:eastAsia="cs-CZ"/>
        </w:rPr>
        <w:t>.</w:t>
      </w:r>
    </w:p>
    <w:p w14:paraId="510E2153" w14:textId="77777777" w:rsidR="008F52C8" w:rsidRPr="0030358C" w:rsidRDefault="008F52C8" w:rsidP="008F52C8">
      <w:pPr>
        <w:rPr>
          <w:rFonts w:ascii="Arial" w:hAnsi="Arial" w:cs="Arial"/>
          <w:b/>
          <w:bCs/>
          <w:sz w:val="22"/>
          <w:szCs w:val="22"/>
          <w:lang w:eastAsia="zh-CN"/>
        </w:rPr>
      </w:pPr>
    </w:p>
    <w:p w14:paraId="26214BCA"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5.2.11. Výroba ostatních pigmentů (kód 6.23. dle přílohy č. 2 zákona)</w:t>
      </w:r>
    </w:p>
    <w:tbl>
      <w:tblPr>
        <w:tblW w:w="0" w:type="auto"/>
        <w:tblInd w:w="-15" w:type="dxa"/>
        <w:tblLayout w:type="fixed"/>
        <w:tblCellMar>
          <w:left w:w="70" w:type="dxa"/>
          <w:right w:w="70" w:type="dxa"/>
        </w:tblCellMar>
        <w:tblLook w:val="0000" w:firstRow="0" w:lastRow="0" w:firstColumn="0" w:lastColumn="0" w:noHBand="0" w:noVBand="0"/>
      </w:tblPr>
      <w:tblGrid>
        <w:gridCol w:w="4910"/>
        <w:gridCol w:w="4614"/>
      </w:tblGrid>
      <w:tr w:rsidR="00E40657" w14:paraId="52B81B8A" w14:textId="77777777" w:rsidTr="00732453">
        <w:trPr>
          <w:cantSplit/>
          <w:trHeight w:val="326"/>
          <w:tblHeader/>
        </w:trPr>
        <w:tc>
          <w:tcPr>
            <w:tcW w:w="4910" w:type="dxa"/>
            <w:tcBorders>
              <w:top w:val="single" w:sz="4" w:space="0" w:color="000000"/>
              <w:left w:val="single" w:sz="4" w:space="0" w:color="000000"/>
              <w:bottom w:val="single" w:sz="4" w:space="0" w:color="000000"/>
            </w:tcBorders>
            <w:shd w:val="clear" w:color="auto" w:fill="auto"/>
            <w:vAlign w:val="center"/>
          </w:tcPr>
          <w:p w14:paraId="666547AB"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614" w:type="dxa"/>
            <w:vMerge w:val="restart"/>
            <w:tcBorders>
              <w:top w:val="single" w:sz="4" w:space="0" w:color="000000"/>
              <w:left w:val="single" w:sz="4" w:space="0" w:color="000000"/>
              <w:right w:val="single" w:sz="4" w:space="0" w:color="000000"/>
            </w:tcBorders>
            <w:shd w:val="clear" w:color="auto" w:fill="auto"/>
            <w:vAlign w:val="center"/>
          </w:tcPr>
          <w:p w14:paraId="567B494E"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7DE76115" w14:textId="77777777" w:rsidTr="00732453">
        <w:trPr>
          <w:cantSplit/>
          <w:trHeight w:hRule="exact" w:val="325"/>
          <w:tblHeader/>
        </w:trPr>
        <w:tc>
          <w:tcPr>
            <w:tcW w:w="4910" w:type="dxa"/>
            <w:tcBorders>
              <w:top w:val="single" w:sz="4" w:space="0" w:color="000000"/>
              <w:left w:val="single" w:sz="4" w:space="0" w:color="000000"/>
              <w:bottom w:val="single" w:sz="4" w:space="0" w:color="000000"/>
            </w:tcBorders>
            <w:shd w:val="clear" w:color="auto" w:fill="auto"/>
            <w:vAlign w:val="center"/>
          </w:tcPr>
          <w:p w14:paraId="7C054DAD"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4614" w:type="dxa"/>
            <w:vMerge/>
            <w:tcBorders>
              <w:left w:val="single" w:sz="4" w:space="0" w:color="000000"/>
              <w:bottom w:val="single" w:sz="4" w:space="0" w:color="000000"/>
              <w:right w:val="single" w:sz="4" w:space="0" w:color="000000"/>
            </w:tcBorders>
            <w:shd w:val="clear" w:color="auto" w:fill="auto"/>
            <w:vAlign w:val="center"/>
          </w:tcPr>
          <w:p w14:paraId="7281F02A" w14:textId="77777777" w:rsidR="008F52C8" w:rsidRPr="0030358C" w:rsidRDefault="008F52C8" w:rsidP="00732453">
            <w:pPr>
              <w:keepNext/>
              <w:keepLines/>
              <w:snapToGrid w:val="0"/>
              <w:jc w:val="center"/>
              <w:rPr>
                <w:rFonts w:ascii="Arial" w:hAnsi="Arial" w:cs="Arial"/>
                <w:b/>
                <w:bCs/>
                <w:sz w:val="22"/>
                <w:szCs w:val="22"/>
                <w:lang w:eastAsia="zh-CN"/>
              </w:rPr>
            </w:pPr>
          </w:p>
        </w:tc>
      </w:tr>
      <w:tr w:rsidR="00E40657" w14:paraId="48D911C0" w14:textId="77777777" w:rsidTr="00732453">
        <w:trPr>
          <w:trHeight w:hRule="exact" w:val="655"/>
        </w:trPr>
        <w:tc>
          <w:tcPr>
            <w:tcW w:w="4910" w:type="dxa"/>
            <w:tcBorders>
              <w:left w:val="single" w:sz="4" w:space="0" w:color="000000"/>
              <w:bottom w:val="single" w:sz="4" w:space="0" w:color="000000"/>
            </w:tcBorders>
            <w:shd w:val="clear" w:color="auto" w:fill="auto"/>
            <w:vAlign w:val="center"/>
          </w:tcPr>
          <w:p w14:paraId="30845D2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50</w:t>
            </w:r>
          </w:p>
          <w:p w14:paraId="60F5E0F4" w14:textId="77777777" w:rsidR="008F52C8" w:rsidRPr="0030358C" w:rsidRDefault="00000000" w:rsidP="00732453">
            <w:pPr>
              <w:keepNext/>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100</w:t>
            </w:r>
            <w:r w:rsidRPr="0030358C">
              <w:rPr>
                <w:rFonts w:ascii="Arial" w:hAnsi="Arial" w:cs="Arial"/>
                <w:b/>
                <w:bCs/>
                <w:sz w:val="22"/>
                <w:szCs w:val="22"/>
                <w:vertAlign w:val="superscript"/>
                <w:lang w:eastAsia="zh-CN"/>
              </w:rPr>
              <w:t>1)</w:t>
            </w:r>
          </w:p>
          <w:p w14:paraId="53C3D74B" w14:textId="77777777" w:rsidR="008F52C8" w:rsidRPr="0030358C" w:rsidRDefault="008F52C8" w:rsidP="00732453">
            <w:pPr>
              <w:keepNext/>
              <w:keepLines/>
              <w:snapToGrid w:val="0"/>
              <w:jc w:val="center"/>
              <w:rPr>
                <w:rFonts w:ascii="Arial" w:hAnsi="Arial" w:cs="Arial"/>
                <w:b/>
                <w:bCs/>
                <w:sz w:val="22"/>
                <w:szCs w:val="22"/>
                <w:vertAlign w:val="superscript"/>
                <w:lang w:eastAsia="zh-CN"/>
              </w:rPr>
            </w:pPr>
          </w:p>
        </w:tc>
        <w:tc>
          <w:tcPr>
            <w:tcW w:w="4614" w:type="dxa"/>
            <w:tcBorders>
              <w:left w:val="single" w:sz="4" w:space="0" w:color="000000"/>
              <w:bottom w:val="single" w:sz="4" w:space="0" w:color="000000"/>
              <w:right w:val="single" w:sz="4" w:space="0" w:color="000000"/>
            </w:tcBorders>
            <w:shd w:val="clear" w:color="auto" w:fill="auto"/>
            <w:vAlign w:val="center"/>
          </w:tcPr>
          <w:p w14:paraId="1B272C3E"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C</w:t>
            </w:r>
          </w:p>
        </w:tc>
      </w:tr>
    </w:tbl>
    <w:p w14:paraId="4A8ADAAD" w14:textId="77777777" w:rsidR="0052793F"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 xml:space="preserve">Vysvětlivka: </w:t>
      </w:r>
    </w:p>
    <w:p w14:paraId="4BF3F637"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1) Platí pro výrobu litoponu, stálé běloby (blanc fix) a výrobu železitých pigmentů.</w:t>
      </w:r>
    </w:p>
    <w:p w14:paraId="69396DE0" w14:textId="77777777" w:rsidR="008F52C8" w:rsidRPr="0030358C" w:rsidRDefault="008F52C8" w:rsidP="008F52C8">
      <w:pPr>
        <w:spacing w:before="60"/>
        <w:ind w:left="720" w:hanging="720"/>
        <w:rPr>
          <w:rFonts w:ascii="Arial" w:hAnsi="Arial" w:cs="Arial"/>
          <w:b/>
          <w:bCs/>
          <w:sz w:val="22"/>
          <w:szCs w:val="22"/>
          <w:lang w:eastAsia="zh-CN"/>
        </w:rPr>
      </w:pPr>
    </w:p>
    <w:p w14:paraId="5B3918AB" w14:textId="77777777" w:rsidR="008F52C8" w:rsidRPr="0030358C" w:rsidRDefault="00000000" w:rsidP="008F52C8">
      <w:pPr>
        <w:spacing w:before="60"/>
        <w:ind w:left="720" w:hanging="720"/>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38744059"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U kalcinace, kde je odtah zaveden do odlučovače jiné technologie, smí být kalcinace v provozu pouze za součinnosti tohoto odlučovacího zařízení.</w:t>
      </w:r>
    </w:p>
    <w:p w14:paraId="5ED56335" w14:textId="77777777" w:rsidR="008F52C8" w:rsidRPr="0030358C" w:rsidRDefault="008F52C8" w:rsidP="008F52C8">
      <w:pPr>
        <w:rPr>
          <w:rFonts w:ascii="Arial" w:hAnsi="Arial" w:cs="Arial"/>
          <w:b/>
          <w:bCs/>
          <w:sz w:val="22"/>
          <w:szCs w:val="22"/>
          <w:lang w:eastAsia="zh-CN"/>
        </w:rPr>
      </w:pPr>
    </w:p>
    <w:p w14:paraId="3B4BD008" w14:textId="77777777" w:rsidR="008F52C8" w:rsidRPr="0030358C" w:rsidRDefault="00000000" w:rsidP="008F52C8">
      <w:pPr>
        <w:keepNext/>
        <w:numPr>
          <w:ilvl w:val="2"/>
          <w:numId w:val="0"/>
        </w:numPr>
        <w:tabs>
          <w:tab w:val="num" w:pos="0"/>
        </w:tab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lastRenderedPageBreak/>
        <w:t>5.3. Ropná rafinerie, výroba, zpracování nebo skladování petrochemických výrobků a kapalných těkavých organických látek</w:t>
      </w:r>
    </w:p>
    <w:p w14:paraId="66788C55" w14:textId="77777777" w:rsidR="008F52C8" w:rsidRPr="0030358C" w:rsidRDefault="008F52C8" w:rsidP="008F52C8">
      <w:pPr>
        <w:tabs>
          <w:tab w:val="left" w:pos="1134"/>
        </w:tabs>
        <w:spacing w:before="60"/>
        <w:ind w:left="2552" w:hanging="2552"/>
        <w:rPr>
          <w:rFonts w:ascii="Arial" w:hAnsi="Arial" w:cs="Arial"/>
          <w:b/>
          <w:bCs/>
          <w:sz w:val="22"/>
          <w:szCs w:val="22"/>
          <w:shd w:val="clear" w:color="auto" w:fill="FFFF00"/>
          <w:lang w:eastAsia="zh-CN"/>
        </w:rPr>
      </w:pPr>
    </w:p>
    <w:p w14:paraId="39AC9962"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5.3.1. Ropná rafinerie, výroba nebo zpracování petrochemických výrobků (kód 6.24. dle přílohy č. 2 zákona)</w:t>
      </w:r>
    </w:p>
    <w:p w14:paraId="2D850BC9" w14:textId="77777777" w:rsidR="008F52C8" w:rsidRPr="0030358C" w:rsidRDefault="00000000" w:rsidP="008F52C8">
      <w:pPr>
        <w:spacing w:before="60"/>
        <w:jc w:val="both"/>
        <w:rPr>
          <w:rFonts w:ascii="Arial" w:hAnsi="Arial" w:cs="Arial"/>
          <w:b/>
          <w:bCs/>
          <w:sz w:val="22"/>
          <w:szCs w:val="22"/>
          <w:lang w:eastAsia="zh-CN"/>
        </w:rPr>
      </w:pPr>
      <w:r w:rsidRPr="0030358C">
        <w:rPr>
          <w:rFonts w:ascii="Arial" w:hAnsi="Arial" w:cs="Arial"/>
          <w:b/>
          <w:bCs/>
          <w:sz w:val="22"/>
          <w:szCs w:val="22"/>
          <w:lang w:eastAsia="zh-CN"/>
        </w:rPr>
        <w:t>Platí pro zpracování ropy a jejích ropných frakcí jako jsou těžké a lehké benziny, plyny, plynové oleje, petrolej, mazut apod. a pro výrobu alkenů a dienů, aromatických sloučenin a syntézního plynu.</w:t>
      </w:r>
    </w:p>
    <w:p w14:paraId="6421E6EC" w14:textId="77777777" w:rsidR="008F52C8" w:rsidRPr="0030358C" w:rsidRDefault="00000000" w:rsidP="008F52C8">
      <w:pPr>
        <w:tabs>
          <w:tab w:val="left" w:pos="0"/>
        </w:tabs>
        <w:spacing w:before="60"/>
        <w:jc w:val="both"/>
        <w:rPr>
          <w:rFonts w:ascii="Arial" w:hAnsi="Arial" w:cs="Arial"/>
          <w:b/>
          <w:bCs/>
          <w:iCs/>
          <w:sz w:val="22"/>
          <w:szCs w:val="22"/>
          <w:lang w:eastAsia="zh-CN"/>
        </w:rPr>
      </w:pPr>
      <w:r w:rsidRPr="0030358C">
        <w:rPr>
          <w:rFonts w:ascii="Arial" w:hAnsi="Arial" w:cs="Arial"/>
          <w:b/>
          <w:bCs/>
          <w:iCs/>
          <w:sz w:val="22"/>
          <w:szCs w:val="22"/>
          <w:lang w:eastAsia="zh-CN"/>
        </w:rPr>
        <w:t>Technická podmínka provozu:</w:t>
      </w:r>
    </w:p>
    <w:p w14:paraId="03A4E1D3" w14:textId="77777777" w:rsidR="008F52C8" w:rsidRPr="0030358C" w:rsidRDefault="00000000" w:rsidP="008F52C8">
      <w:pPr>
        <w:tabs>
          <w:tab w:val="left" w:pos="0"/>
        </w:tabs>
        <w:spacing w:before="60"/>
        <w:jc w:val="both"/>
        <w:rPr>
          <w:rFonts w:ascii="Arial" w:hAnsi="Arial" w:cs="Arial"/>
          <w:b/>
          <w:bCs/>
          <w:sz w:val="22"/>
          <w:szCs w:val="22"/>
          <w:lang w:eastAsia="zh-CN"/>
        </w:rPr>
      </w:pPr>
      <w:r w:rsidRPr="0030358C">
        <w:rPr>
          <w:rFonts w:ascii="Arial" w:hAnsi="Arial" w:cs="Arial"/>
          <w:b/>
          <w:bCs/>
          <w:sz w:val="22"/>
          <w:szCs w:val="22"/>
          <w:lang w:eastAsia="zh-CN"/>
        </w:rPr>
        <w:t>Za účelem předcházení emisím znečišťujících látek obtěžujících zápachem využívat opatření ke snižování emisí znečišťujících látek, např. svedením emisí organických látek na jednotku termické spalování (teplota spalování nejméně 720°C) apod.</w:t>
      </w:r>
    </w:p>
    <w:p w14:paraId="67781951" w14:textId="77777777" w:rsidR="008F52C8" w:rsidRPr="0030358C" w:rsidRDefault="008F52C8" w:rsidP="008F52C8">
      <w:pPr>
        <w:tabs>
          <w:tab w:val="left" w:pos="0"/>
        </w:tabs>
        <w:spacing w:before="60"/>
        <w:jc w:val="both"/>
        <w:rPr>
          <w:rFonts w:ascii="Arial" w:hAnsi="Arial" w:cs="Arial"/>
          <w:b/>
          <w:bCs/>
          <w:sz w:val="22"/>
          <w:szCs w:val="22"/>
          <w:lang w:eastAsia="zh-CN"/>
        </w:rPr>
      </w:pPr>
    </w:p>
    <w:p w14:paraId="05702513"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5.3.2. Skladování petrochemických výrobků nebo kapalných těkavých organických látek o objemu 1000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a více nebo skladovací nádrže s ročním objemem výtoče 10 000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a více nebo manipulace s ročním objemem 10 000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a více (není určeno pro automobilové benziny) (kód 6.25. dle přílohy č. 2 zákona)</w:t>
      </w:r>
    </w:p>
    <w:p w14:paraId="3A4B0BEA" w14:textId="77777777" w:rsidR="008F52C8" w:rsidRPr="0030358C" w:rsidRDefault="008F52C8" w:rsidP="008F52C8">
      <w:pPr>
        <w:jc w:val="both"/>
        <w:rPr>
          <w:rFonts w:ascii="Arial" w:hAnsi="Arial" w:cs="Arial"/>
          <w:b/>
          <w:bCs/>
          <w:i/>
          <w:sz w:val="22"/>
          <w:szCs w:val="22"/>
          <w:lang w:eastAsia="zh-CN"/>
        </w:rPr>
      </w:pPr>
    </w:p>
    <w:p w14:paraId="6C14EAD2"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798159D2"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a)</w:t>
      </w:r>
      <w:r w:rsidRPr="0030358C">
        <w:rPr>
          <w:rFonts w:ascii="Arial" w:hAnsi="Arial" w:cs="Arial"/>
          <w:b/>
          <w:bCs/>
          <w:sz w:val="22"/>
          <w:szCs w:val="22"/>
          <w:lang w:eastAsia="zh-CN"/>
        </w:rPr>
        <w:tab/>
        <w:t>Uspořádání a vybavení skladovacích nádrží o objemu rovném nebo větším než 1000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nebo skladovacích nádrží s ročním obratem rovném nebo větším než 10 000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při skladování surovin, meziproduktů a výrobků, které mají tlak par větší než 1,32 kPa při teplotě 293,15 K:</w:t>
      </w:r>
    </w:p>
    <w:p w14:paraId="725FBDE7"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1.</w:t>
      </w:r>
      <w:r w:rsidRPr="0030358C">
        <w:rPr>
          <w:rFonts w:ascii="Arial" w:hAnsi="Arial" w:cs="Arial"/>
          <w:b/>
          <w:bCs/>
          <w:sz w:val="22"/>
          <w:szCs w:val="22"/>
          <w:lang w:eastAsia="zh-CN"/>
        </w:rPr>
        <w:tab/>
        <w:t>Skladovací nádrže s vnější plovoucí střechou musí být opatřeny účinným primárním a sekundárním těsněním okrajů střechy.</w:t>
      </w:r>
    </w:p>
    <w:p w14:paraId="5E05476B" w14:textId="77777777" w:rsidR="008F52C8" w:rsidRPr="0030358C" w:rsidRDefault="00000000" w:rsidP="008F52C8">
      <w:pPr>
        <w:widowControl w:val="0"/>
        <w:tabs>
          <w:tab w:val="left" w:pos="284"/>
        </w:tabs>
        <w:autoSpaceDE w:val="0"/>
        <w:spacing w:after="120"/>
        <w:jc w:val="both"/>
        <w:rPr>
          <w:rFonts w:ascii="Arial" w:hAnsi="Arial" w:cs="Arial"/>
          <w:b/>
          <w:bCs/>
          <w:sz w:val="22"/>
          <w:szCs w:val="22"/>
          <w:lang w:eastAsia="zh-CN"/>
        </w:rPr>
      </w:pPr>
      <w:r w:rsidRPr="0030358C">
        <w:rPr>
          <w:rFonts w:ascii="Arial" w:hAnsi="Arial" w:cs="Arial"/>
          <w:b/>
          <w:bCs/>
          <w:sz w:val="22"/>
          <w:szCs w:val="22"/>
          <w:lang w:eastAsia="zh-CN"/>
        </w:rPr>
        <w:t>2.</w:t>
      </w:r>
      <w:r w:rsidRPr="0030358C">
        <w:rPr>
          <w:rFonts w:ascii="Arial" w:hAnsi="Arial" w:cs="Arial"/>
          <w:b/>
          <w:bCs/>
          <w:sz w:val="22"/>
          <w:szCs w:val="22"/>
          <w:lang w:eastAsia="zh-CN"/>
        </w:rPr>
        <w:tab/>
        <w:t>Nádrže s pevnou střechou</w:t>
      </w:r>
    </w:p>
    <w:p w14:paraId="0B91C17F" w14:textId="77777777" w:rsidR="008F52C8" w:rsidRPr="0030358C" w:rsidRDefault="00000000" w:rsidP="008F52C8">
      <w:pPr>
        <w:widowControl w:val="0"/>
        <w:autoSpaceDE w:val="0"/>
        <w:spacing w:after="120"/>
        <w:ind w:left="709" w:hanging="425"/>
        <w:jc w:val="both"/>
        <w:rPr>
          <w:rFonts w:ascii="Arial" w:hAnsi="Arial" w:cs="Arial"/>
          <w:b/>
          <w:bCs/>
          <w:sz w:val="22"/>
          <w:szCs w:val="22"/>
          <w:lang w:eastAsia="zh-CN"/>
        </w:rPr>
      </w:pPr>
      <w:r w:rsidRPr="0030358C">
        <w:rPr>
          <w:rFonts w:ascii="Arial" w:hAnsi="Arial" w:cs="Arial"/>
          <w:b/>
          <w:bCs/>
          <w:sz w:val="22"/>
          <w:szCs w:val="22"/>
          <w:lang w:eastAsia="zh-CN"/>
        </w:rPr>
        <w:t>2.1</w:t>
      </w:r>
      <w:r w:rsidRPr="0030358C">
        <w:rPr>
          <w:rFonts w:ascii="Arial" w:hAnsi="Arial" w:cs="Arial"/>
          <w:b/>
          <w:bCs/>
          <w:sz w:val="22"/>
          <w:szCs w:val="22"/>
          <w:lang w:eastAsia="zh-CN"/>
        </w:rPr>
        <w:tab/>
        <w:t>musí být vybaveny vnitřní plovoucí střechou s těsněním, které zajistí snížení emisí nejméně o 90 % ve srovnání s emisemi z nádrže s pevnou střechou bez jakýchkoli opatření, nebo</w:t>
      </w:r>
    </w:p>
    <w:p w14:paraId="71B8CEA5" w14:textId="77777777" w:rsidR="008F52C8" w:rsidRPr="0030358C" w:rsidRDefault="00000000" w:rsidP="008F52C8">
      <w:pPr>
        <w:widowControl w:val="0"/>
        <w:autoSpaceDE w:val="0"/>
        <w:spacing w:after="120"/>
        <w:ind w:left="709" w:hanging="425"/>
        <w:jc w:val="both"/>
        <w:rPr>
          <w:rFonts w:ascii="Arial" w:hAnsi="Arial" w:cs="Arial"/>
          <w:b/>
          <w:bCs/>
          <w:sz w:val="22"/>
          <w:szCs w:val="22"/>
          <w:lang w:eastAsia="zh-CN"/>
        </w:rPr>
      </w:pPr>
      <w:r w:rsidRPr="0030358C">
        <w:rPr>
          <w:rFonts w:ascii="Arial" w:hAnsi="Arial" w:cs="Arial"/>
          <w:b/>
          <w:bCs/>
          <w:sz w:val="22"/>
          <w:szCs w:val="22"/>
          <w:lang w:eastAsia="zh-CN"/>
        </w:rPr>
        <w:t>2.2</w:t>
      </w:r>
      <w:r w:rsidRPr="0030358C">
        <w:rPr>
          <w:rFonts w:ascii="Arial" w:hAnsi="Arial" w:cs="Arial"/>
          <w:b/>
          <w:bCs/>
          <w:sz w:val="22"/>
          <w:szCs w:val="22"/>
          <w:lang w:eastAsia="zh-CN"/>
        </w:rPr>
        <w:tab/>
        <w:t>musí být zajištěno zachycování, zpětné vracení a odstraňování par uvedených kapalin s účinností nejméně 99 %; k dosažení této účinnosti nesmí být použito spalování mimo případy, kdy je zpětné zkapalňování par nebezpečné nebo technicky neproveditelné; spalování smí být použito jako druhý stupeň čištění.</w:t>
      </w:r>
    </w:p>
    <w:p w14:paraId="59DC81E8"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3.</w:t>
      </w:r>
      <w:r w:rsidRPr="0030358C">
        <w:rPr>
          <w:rFonts w:ascii="Arial" w:hAnsi="Arial" w:cs="Arial"/>
          <w:b/>
          <w:bCs/>
          <w:sz w:val="22"/>
          <w:szCs w:val="22"/>
          <w:lang w:eastAsia="zh-CN"/>
        </w:rPr>
        <w:tab/>
        <w:t>Nádrže je třeba opatřit vhodnou izolací. V případě, že povrch izolace nádrže nedostatečně odráží sálavé teplo, nebo izolace nebyla provedena, pak i reflexním nátěrem světlého odstínu za účelem snížení objemových změn kapalin v nádržích v důsledku výkyvů venkovní teploty. Pro skladovací nádrže zdrojů o objemu menším než 1 000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nebo pro zdroje s ročním obratem menším než 10 000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platí tato opatření v přiměřeném rozsahu.</w:t>
      </w:r>
    </w:p>
    <w:p w14:paraId="7B7085C2"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4. Při skladování petrochemických výrobků, u nichž může docházet k emisím znečišťujících látek obtěžujících zápachem, využívat opatření ke snižování emisí těchto látek.</w:t>
      </w:r>
    </w:p>
    <w:p w14:paraId="26C85392" w14:textId="77777777" w:rsidR="008F52C8" w:rsidRPr="0030358C" w:rsidRDefault="008F52C8" w:rsidP="008F52C8">
      <w:pPr>
        <w:widowControl w:val="0"/>
        <w:tabs>
          <w:tab w:val="left" w:pos="284"/>
        </w:tabs>
        <w:autoSpaceDE w:val="0"/>
        <w:spacing w:after="120"/>
        <w:jc w:val="both"/>
        <w:rPr>
          <w:rFonts w:ascii="Arial" w:hAnsi="Arial" w:cs="Arial"/>
          <w:b/>
          <w:bCs/>
          <w:sz w:val="22"/>
          <w:szCs w:val="22"/>
          <w:lang w:eastAsia="zh-CN"/>
        </w:rPr>
      </w:pPr>
    </w:p>
    <w:p w14:paraId="6E3AD7AF"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b)</w:t>
      </w:r>
      <w:r w:rsidRPr="0030358C">
        <w:rPr>
          <w:rFonts w:ascii="Arial" w:hAnsi="Arial" w:cs="Arial"/>
          <w:b/>
          <w:bCs/>
          <w:sz w:val="22"/>
          <w:szCs w:val="22"/>
          <w:lang w:eastAsia="zh-CN"/>
        </w:rPr>
        <w:tab/>
        <w:t>Podmínky provozu při přečerpávání látek, které mají tlak par větší než 1,32 kPa při teplotě 293,15 K, zejména při jejich stáčení z mobilních zásobníků nebo při plnění mobilních zásobníků ze skladovacích nádrží:</w:t>
      </w:r>
    </w:p>
    <w:p w14:paraId="627157FF"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1. Musí být zajištěno zachycování, zpětné vracení a odstraňování par těchto látek s účinností nejméně 99 %.</w:t>
      </w:r>
    </w:p>
    <w:p w14:paraId="3149C28E"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2.</w:t>
      </w:r>
      <w:r w:rsidRPr="0030358C">
        <w:rPr>
          <w:rFonts w:ascii="Arial" w:hAnsi="Arial" w:cs="Arial"/>
          <w:b/>
          <w:bCs/>
          <w:sz w:val="22"/>
          <w:szCs w:val="22"/>
          <w:lang w:eastAsia="zh-CN"/>
        </w:rPr>
        <w:tab/>
        <w:t xml:space="preserve">Musí být používána čerpadla bez úniku přečerpávaných látek, například s </w:t>
      </w:r>
      <w:r w:rsidRPr="0030358C">
        <w:rPr>
          <w:rFonts w:ascii="Arial" w:hAnsi="Arial" w:cs="Arial"/>
          <w:b/>
          <w:bCs/>
          <w:sz w:val="22"/>
          <w:szCs w:val="22"/>
          <w:lang w:eastAsia="zh-CN"/>
        </w:rPr>
        <w:lastRenderedPageBreak/>
        <w:t>mechanickou ucpávkou.</w:t>
      </w:r>
    </w:p>
    <w:p w14:paraId="75B99128" w14:textId="77777777" w:rsidR="008F52C8" w:rsidRPr="0030358C" w:rsidRDefault="00000000" w:rsidP="008F52C8">
      <w:pPr>
        <w:widowControl w:val="0"/>
        <w:tabs>
          <w:tab w:val="left" w:pos="284"/>
        </w:tabs>
        <w:autoSpaceDE w:val="0"/>
        <w:spacing w:after="120"/>
        <w:ind w:left="284" w:hanging="284"/>
        <w:jc w:val="both"/>
        <w:rPr>
          <w:rFonts w:ascii="Arial" w:hAnsi="Arial" w:cs="Arial"/>
          <w:b/>
          <w:bCs/>
          <w:sz w:val="22"/>
          <w:szCs w:val="22"/>
          <w:lang w:eastAsia="zh-CN"/>
        </w:rPr>
      </w:pPr>
      <w:r w:rsidRPr="0030358C">
        <w:rPr>
          <w:rFonts w:ascii="Arial" w:hAnsi="Arial" w:cs="Arial"/>
          <w:b/>
          <w:bCs/>
          <w:sz w:val="22"/>
          <w:szCs w:val="22"/>
          <w:lang w:eastAsia="zh-CN"/>
        </w:rPr>
        <w:t>3.</w:t>
      </w:r>
      <w:r w:rsidRPr="0030358C">
        <w:rPr>
          <w:rFonts w:ascii="Arial" w:hAnsi="Arial" w:cs="Arial"/>
          <w:b/>
          <w:bCs/>
          <w:sz w:val="22"/>
          <w:szCs w:val="22"/>
          <w:lang w:eastAsia="zh-CN"/>
        </w:rPr>
        <w:tab/>
        <w:t>Manipulační zařízení pro plnění mobilních zásobníků vrchem musí být zajištěno tak, aby konec plnicího potrubí byl během plnění udržován u dna mobilního zásobníku.</w:t>
      </w:r>
    </w:p>
    <w:p w14:paraId="6B02A7FC" w14:textId="77777777" w:rsidR="008F52C8" w:rsidRPr="0030358C" w:rsidRDefault="008F52C8" w:rsidP="008F52C8">
      <w:pPr>
        <w:widowControl w:val="0"/>
        <w:spacing w:after="120"/>
        <w:rPr>
          <w:rFonts w:ascii="Arial" w:hAnsi="Arial" w:cs="Arial"/>
          <w:b/>
          <w:bCs/>
          <w:sz w:val="22"/>
          <w:szCs w:val="22"/>
          <w:lang w:eastAsia="zh-CN"/>
        </w:rPr>
      </w:pPr>
    </w:p>
    <w:p w14:paraId="5FF36382" w14:textId="77777777" w:rsidR="008F52C8" w:rsidRPr="0030358C" w:rsidRDefault="00000000" w:rsidP="008F52C8">
      <w:pPr>
        <w:widowControl w:val="0"/>
        <w:spacing w:after="120"/>
        <w:rPr>
          <w:rFonts w:ascii="Arial" w:hAnsi="Arial" w:cs="Arial"/>
          <w:b/>
          <w:bCs/>
          <w:sz w:val="22"/>
          <w:szCs w:val="22"/>
          <w:lang w:eastAsia="zh-CN"/>
        </w:rPr>
      </w:pPr>
      <w:r w:rsidRPr="0030358C">
        <w:rPr>
          <w:rFonts w:ascii="Arial" w:hAnsi="Arial" w:cs="Arial"/>
          <w:b/>
          <w:bCs/>
          <w:sz w:val="22"/>
          <w:szCs w:val="22"/>
          <w:lang w:eastAsia="zh-CN"/>
        </w:rPr>
        <w:t>6. POTRAVINÁŘSKÝ, DŘOVEZPRACUJÍCÍ A OSTATNÍ PRŮMYSL</w:t>
      </w:r>
    </w:p>
    <w:p w14:paraId="173D60E6" w14:textId="77777777" w:rsidR="008F52C8" w:rsidRPr="0030358C" w:rsidRDefault="00000000" w:rsidP="008F52C8">
      <w:pPr>
        <w:keepNext/>
        <w:numPr>
          <w:ilvl w:val="2"/>
          <w:numId w:val="0"/>
        </w:numPr>
        <w:tabs>
          <w:tab w:val="num" w:pos="0"/>
        </w:tabs>
        <w:spacing w:before="60"/>
        <w:ind w:left="426" w:hanging="426"/>
        <w:jc w:val="both"/>
        <w:outlineLvl w:val="2"/>
        <w:rPr>
          <w:rFonts w:ascii="Arial" w:hAnsi="Arial" w:cs="Arial"/>
          <w:b/>
          <w:bCs/>
          <w:sz w:val="22"/>
          <w:szCs w:val="22"/>
          <w:lang w:eastAsia="zh-CN"/>
        </w:rPr>
      </w:pPr>
      <w:r w:rsidRPr="0030358C">
        <w:rPr>
          <w:rFonts w:ascii="Arial" w:hAnsi="Arial" w:cs="Arial"/>
          <w:b/>
          <w:bCs/>
          <w:sz w:val="22"/>
          <w:szCs w:val="22"/>
          <w:lang w:eastAsia="zh-CN"/>
        </w:rPr>
        <w:t>6.1</w:t>
      </w:r>
      <w:r w:rsidR="00B623A4" w:rsidRPr="0030358C">
        <w:rPr>
          <w:rFonts w:ascii="Arial" w:hAnsi="Arial" w:cs="Arial"/>
          <w:b/>
          <w:bCs/>
          <w:sz w:val="22"/>
          <w:szCs w:val="22"/>
          <w:lang w:eastAsia="zh-CN"/>
        </w:rPr>
        <w:t>.</w:t>
      </w:r>
      <w:r w:rsidRPr="0030358C">
        <w:rPr>
          <w:rFonts w:ascii="Arial" w:hAnsi="Arial" w:cs="Arial"/>
          <w:b/>
          <w:bCs/>
          <w:sz w:val="22"/>
          <w:szCs w:val="22"/>
          <w:lang w:eastAsia="zh-CN"/>
        </w:rPr>
        <w:t xml:space="preserve"> Jatka o celkové projektované kapacitě porážky větší 50 t denně a více (kód 7.1. dle přílohy č. 2 zákona)</w:t>
      </w:r>
    </w:p>
    <w:p w14:paraId="28BB15E6" w14:textId="77777777" w:rsidR="008F52C8" w:rsidRPr="0030358C" w:rsidRDefault="008F52C8" w:rsidP="008F52C8">
      <w:pPr>
        <w:rPr>
          <w:rFonts w:ascii="Arial" w:hAnsi="Arial" w:cs="Arial"/>
          <w:b/>
          <w:bCs/>
          <w:sz w:val="22"/>
          <w:szCs w:val="22"/>
          <w:lang w:eastAsia="zh-CN"/>
        </w:rPr>
      </w:pPr>
    </w:p>
    <w:p w14:paraId="2C43D0D4"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40AF184D"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Za účelem snížení emisí znečišťujících látek obtěžujících zápachem využívat opatření ke snižování emisí znečišťujících látek, např.: provozovat zařízení k úpravě vedlejších produktů a odpadů, porážkovou linku, vykládku a nahánění v uzavřených prostorách, při vyprazdňování nádrží s krví používat odsávání plynů, zajistit pravidelné čištění zásobníků krve, jímat a odvádět do zařízení na čištění odpadních plynů odpadní plyn ze skladování jatečního odpadu a vedlejších produktů v uzavřených zásobnících, odpadní plyn z výrobních zařízení a ze zařízení k úpravě a skladování vedlejších jatečních produktů a odpadů.</w:t>
      </w:r>
    </w:p>
    <w:p w14:paraId="18442029" w14:textId="77777777" w:rsidR="008F52C8" w:rsidRPr="0030358C" w:rsidRDefault="008F52C8" w:rsidP="008F52C8">
      <w:pPr>
        <w:rPr>
          <w:rFonts w:ascii="Arial" w:hAnsi="Arial" w:cs="Arial"/>
          <w:b/>
          <w:bCs/>
          <w:sz w:val="22"/>
          <w:szCs w:val="22"/>
          <w:lang w:eastAsia="zh-CN"/>
        </w:rPr>
      </w:pPr>
    </w:p>
    <w:p w14:paraId="089284BD" w14:textId="77777777" w:rsidR="008F52C8" w:rsidRPr="0030358C" w:rsidRDefault="008F52C8" w:rsidP="008F52C8">
      <w:pPr>
        <w:rPr>
          <w:rFonts w:ascii="Arial" w:hAnsi="Arial" w:cs="Arial"/>
          <w:b/>
          <w:bCs/>
          <w:sz w:val="22"/>
          <w:szCs w:val="22"/>
          <w:lang w:eastAsia="zh-CN"/>
        </w:rPr>
      </w:pPr>
    </w:p>
    <w:p w14:paraId="77FAF0D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6.2</w:t>
      </w:r>
      <w:r w:rsidR="00B623A4" w:rsidRPr="0030358C">
        <w:rPr>
          <w:rFonts w:ascii="Arial" w:hAnsi="Arial" w:cs="Arial"/>
          <w:b/>
          <w:bCs/>
          <w:sz w:val="22"/>
          <w:szCs w:val="22"/>
          <w:lang w:eastAsia="zh-CN"/>
        </w:rPr>
        <w:t>.</w:t>
      </w:r>
      <w:r w:rsidRPr="0030358C">
        <w:rPr>
          <w:rFonts w:ascii="Arial" w:hAnsi="Arial" w:cs="Arial"/>
          <w:b/>
          <w:bCs/>
          <w:sz w:val="22"/>
          <w:szCs w:val="22"/>
          <w:lang w:eastAsia="zh-CN"/>
        </w:rPr>
        <w:t xml:space="preserve"> Zařízení na úpravu a zpracování za účelem výroby potravin, krmiv nebo osiva z převážně rostlinných surovin o celkové projektované kapacitě 50 t hotových výrobků denně a více (kód 7.2. dle přílohy č. 2 zákona)</w:t>
      </w:r>
    </w:p>
    <w:p w14:paraId="70F6726C" w14:textId="77777777" w:rsidR="008F52C8" w:rsidRPr="0030358C" w:rsidRDefault="008F52C8" w:rsidP="008F52C8">
      <w:pPr>
        <w:keepLines/>
        <w:rPr>
          <w:rFonts w:ascii="Arial" w:hAnsi="Arial" w:cs="Arial"/>
          <w:b/>
          <w:bCs/>
          <w:i/>
          <w:sz w:val="22"/>
          <w:szCs w:val="22"/>
          <w:lang w:eastAsia="zh-CN"/>
        </w:rPr>
      </w:pPr>
    </w:p>
    <w:p w14:paraId="39907F10" w14:textId="77777777" w:rsidR="008F52C8" w:rsidRPr="0030358C" w:rsidRDefault="00000000" w:rsidP="008F52C8">
      <w:pPr>
        <w:keepLines/>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77675CF4" w14:textId="77777777" w:rsidR="008F52C8" w:rsidRPr="0030358C" w:rsidRDefault="00000000" w:rsidP="008F52C8">
      <w:pPr>
        <w:keepLines/>
        <w:numPr>
          <w:ilvl w:val="2"/>
          <w:numId w:val="119"/>
        </w:numPr>
        <w:tabs>
          <w:tab w:val="left" w:pos="284"/>
        </w:tabs>
        <w:suppressAutoHyphens/>
        <w:autoSpaceDE w:val="0"/>
        <w:ind w:left="284" w:hanging="284"/>
        <w:jc w:val="both"/>
        <w:rPr>
          <w:rFonts w:ascii="Arial" w:hAnsi="Arial" w:cs="Arial"/>
          <w:b/>
          <w:bCs/>
          <w:sz w:val="22"/>
          <w:szCs w:val="22"/>
          <w:lang w:eastAsia="zh-CN"/>
        </w:rPr>
      </w:pPr>
      <w:r w:rsidRPr="0030358C">
        <w:rPr>
          <w:rFonts w:ascii="Arial" w:hAnsi="Arial" w:cs="Arial"/>
          <w:b/>
          <w:bCs/>
          <w:sz w:val="22"/>
          <w:szCs w:val="22"/>
          <w:lang w:eastAsia="zh-CN"/>
        </w:rPr>
        <w:t>V případě, že dochází k emisi tuhých znečišťujících látek např. při úpravě semen, na úseku sušení, u sila na šrot peletizace a u překládek šrotu apod., odvádět odpadní plyn a využívat zařízení na snižování TZL s účinností alespoň 80</w:t>
      </w:r>
      <w:r w:rsidR="00B623A4" w:rsidRPr="0030358C">
        <w:rPr>
          <w:rFonts w:ascii="Arial" w:hAnsi="Arial" w:cs="Arial"/>
          <w:b/>
          <w:bCs/>
          <w:sz w:val="22"/>
          <w:szCs w:val="22"/>
          <w:lang w:eastAsia="zh-CN"/>
        </w:rPr>
        <w:t xml:space="preserve"> </w:t>
      </w:r>
      <w:r w:rsidRPr="0030358C">
        <w:rPr>
          <w:rFonts w:ascii="Arial" w:hAnsi="Arial" w:cs="Arial"/>
          <w:b/>
          <w:bCs/>
          <w:sz w:val="22"/>
          <w:szCs w:val="22"/>
          <w:lang w:eastAsia="zh-CN"/>
        </w:rPr>
        <w:t xml:space="preserve">%. </w:t>
      </w:r>
    </w:p>
    <w:p w14:paraId="5365FC2B" w14:textId="77777777" w:rsidR="008F52C8" w:rsidRPr="0030358C" w:rsidRDefault="00000000" w:rsidP="008F52C8">
      <w:pPr>
        <w:keepLines/>
        <w:numPr>
          <w:ilvl w:val="2"/>
          <w:numId w:val="119"/>
        </w:numPr>
        <w:tabs>
          <w:tab w:val="left" w:pos="284"/>
        </w:tabs>
        <w:suppressAutoHyphens/>
        <w:autoSpaceDE w:val="0"/>
        <w:ind w:left="284" w:hanging="284"/>
        <w:jc w:val="both"/>
        <w:rPr>
          <w:rFonts w:ascii="Arial" w:hAnsi="Arial" w:cs="Arial"/>
          <w:b/>
          <w:bCs/>
          <w:sz w:val="22"/>
          <w:szCs w:val="22"/>
          <w:lang w:eastAsia="zh-CN"/>
        </w:rPr>
      </w:pPr>
      <w:r w:rsidRPr="0030358C">
        <w:rPr>
          <w:rFonts w:ascii="Arial" w:hAnsi="Arial" w:cs="Arial"/>
          <w:b/>
          <w:bCs/>
          <w:sz w:val="22"/>
          <w:szCs w:val="22"/>
          <w:lang w:eastAsia="zh-CN"/>
        </w:rPr>
        <w:t>Při výrobě lihu, olejů a tuků využívat nejlepší dostupná a technicky realizovatelná opatření ke snižování emisí znečišťujících látek obtěžujících zápachem.</w:t>
      </w:r>
    </w:p>
    <w:p w14:paraId="0A87DD75" w14:textId="77777777" w:rsidR="008F52C8" w:rsidRPr="0030358C" w:rsidRDefault="008F52C8" w:rsidP="008F52C8">
      <w:pPr>
        <w:tabs>
          <w:tab w:val="left" w:pos="284"/>
        </w:tabs>
        <w:autoSpaceDE w:val="0"/>
        <w:ind w:left="284"/>
        <w:jc w:val="both"/>
        <w:rPr>
          <w:rFonts w:ascii="Arial" w:hAnsi="Arial" w:cs="Arial"/>
          <w:b/>
          <w:bCs/>
          <w:sz w:val="22"/>
          <w:szCs w:val="22"/>
          <w:lang w:eastAsia="zh-CN"/>
        </w:rPr>
      </w:pPr>
    </w:p>
    <w:p w14:paraId="19479132" w14:textId="77777777" w:rsidR="008F52C8" w:rsidRPr="0030358C" w:rsidRDefault="008F52C8" w:rsidP="008F52C8">
      <w:pPr>
        <w:keepNext/>
        <w:keepLines/>
        <w:tabs>
          <w:tab w:val="left" w:pos="284"/>
        </w:tabs>
        <w:autoSpaceDE w:val="0"/>
        <w:jc w:val="both"/>
        <w:rPr>
          <w:rFonts w:ascii="Arial" w:hAnsi="Arial" w:cs="Arial"/>
          <w:b/>
          <w:bCs/>
          <w:sz w:val="22"/>
          <w:szCs w:val="22"/>
          <w:lang w:eastAsia="zh-CN"/>
        </w:rPr>
      </w:pPr>
    </w:p>
    <w:p w14:paraId="6999EDC6" w14:textId="77777777" w:rsidR="008F52C8" w:rsidRPr="0030358C" w:rsidRDefault="00000000" w:rsidP="008F52C8">
      <w:pPr>
        <w:keepNext/>
        <w:keepLines/>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6.3</w:t>
      </w:r>
      <w:r w:rsidR="00B623A4" w:rsidRPr="0030358C">
        <w:rPr>
          <w:rFonts w:ascii="Arial" w:hAnsi="Arial" w:cs="Arial"/>
          <w:b/>
          <w:bCs/>
          <w:sz w:val="22"/>
          <w:szCs w:val="22"/>
          <w:lang w:eastAsia="zh-CN"/>
        </w:rPr>
        <w:t>.</w:t>
      </w:r>
      <w:r w:rsidRPr="0030358C">
        <w:rPr>
          <w:rFonts w:ascii="Arial" w:hAnsi="Arial" w:cs="Arial"/>
          <w:b/>
          <w:bCs/>
          <w:sz w:val="22"/>
          <w:szCs w:val="22"/>
          <w:lang w:eastAsia="zh-CN"/>
        </w:rPr>
        <w:t xml:space="preserve"> Zařízení na úpravu a zpracování za účelem výroby potravin nebo krmiv z převážně živočišných surovin (s výjimkou mléka) o celkové projektované kapacitě 25 t hotových výrobků denně a více (kód 7.3. dle přílohy č. 2 zákona)</w:t>
      </w:r>
    </w:p>
    <w:p w14:paraId="5143B120" w14:textId="77777777" w:rsidR="008F52C8" w:rsidRPr="0030358C" w:rsidRDefault="008F52C8" w:rsidP="008F52C8">
      <w:pPr>
        <w:keepNext/>
        <w:keepLines/>
        <w:rPr>
          <w:rFonts w:ascii="Arial" w:hAnsi="Arial" w:cs="Arial"/>
          <w:b/>
          <w:bCs/>
          <w:i/>
          <w:sz w:val="22"/>
          <w:szCs w:val="22"/>
          <w:lang w:eastAsia="zh-CN"/>
        </w:rPr>
      </w:pPr>
    </w:p>
    <w:p w14:paraId="2CEEFD8E"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6781FDC3" w14:textId="77777777" w:rsidR="008F52C8" w:rsidRPr="0030358C" w:rsidRDefault="00000000" w:rsidP="008F52C8">
      <w:pPr>
        <w:keepNext/>
        <w:keepLines/>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 xml:space="preserve">Za účelem snížení emisí znečišťujících látek obtěžujících zápachem využívat opatření ke snižování emisí těchto látek, např. surové produkty a meziprodukty skladovat v uzavřených zásobnících a prostorách (popřípadě prostory chladit), jímat a odvádět odpadní plyn z technologických zařízení do zařízení na čištění odpadních plynů. </w:t>
      </w:r>
    </w:p>
    <w:p w14:paraId="00F0FF21" w14:textId="77777777" w:rsidR="008F52C8" w:rsidRPr="0030358C" w:rsidRDefault="008F52C8" w:rsidP="008F52C8">
      <w:pPr>
        <w:tabs>
          <w:tab w:val="left" w:pos="284"/>
        </w:tabs>
        <w:autoSpaceDE w:val="0"/>
        <w:jc w:val="both"/>
        <w:rPr>
          <w:rFonts w:ascii="Arial" w:hAnsi="Arial" w:cs="Arial"/>
          <w:b/>
          <w:bCs/>
          <w:sz w:val="22"/>
          <w:szCs w:val="22"/>
          <w:lang w:eastAsia="zh-CN"/>
        </w:rPr>
      </w:pPr>
    </w:p>
    <w:p w14:paraId="38784DEF" w14:textId="77777777" w:rsidR="008F52C8" w:rsidRPr="0030358C" w:rsidRDefault="008F52C8" w:rsidP="008F52C8">
      <w:pPr>
        <w:rPr>
          <w:rFonts w:ascii="Arial" w:hAnsi="Arial" w:cs="Arial"/>
          <w:b/>
          <w:bCs/>
          <w:sz w:val="22"/>
          <w:szCs w:val="22"/>
          <w:lang w:eastAsia="zh-CN"/>
        </w:rPr>
      </w:pPr>
    </w:p>
    <w:p w14:paraId="7A52A576" w14:textId="77777777" w:rsidR="008F52C8" w:rsidRPr="0030358C" w:rsidRDefault="00000000" w:rsidP="008F52C8">
      <w:pPr>
        <w:keepNext/>
        <w:keepLines/>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6.4</w:t>
      </w:r>
      <w:r w:rsidR="00B623A4" w:rsidRPr="0030358C">
        <w:rPr>
          <w:rFonts w:ascii="Arial" w:hAnsi="Arial" w:cs="Arial"/>
          <w:b/>
          <w:bCs/>
          <w:sz w:val="22"/>
          <w:szCs w:val="22"/>
          <w:lang w:eastAsia="zh-CN"/>
        </w:rPr>
        <w:t>.</w:t>
      </w:r>
      <w:r w:rsidRPr="0030358C">
        <w:rPr>
          <w:rFonts w:ascii="Arial" w:hAnsi="Arial" w:cs="Arial"/>
          <w:b/>
          <w:bCs/>
          <w:sz w:val="22"/>
          <w:szCs w:val="22"/>
          <w:lang w:eastAsia="zh-CN"/>
        </w:rPr>
        <w:t xml:space="preserve"> Pražírny kávy o celkové projektované kapacitě 1 t za den a více (kód 7.5. dle přílohy č. 2 zákona)</w:t>
      </w:r>
    </w:p>
    <w:p w14:paraId="4FA28ACA" w14:textId="77777777" w:rsidR="008F52C8" w:rsidRPr="0030358C" w:rsidRDefault="008F52C8" w:rsidP="008F52C8">
      <w:pPr>
        <w:keepNext/>
        <w:keepLines/>
        <w:tabs>
          <w:tab w:val="left" w:pos="284"/>
        </w:tabs>
        <w:autoSpaceDE w:val="0"/>
        <w:jc w:val="both"/>
        <w:rPr>
          <w:rFonts w:ascii="Arial" w:hAnsi="Arial" w:cs="Arial"/>
          <w:b/>
          <w:bCs/>
          <w:sz w:val="22"/>
          <w:szCs w:val="22"/>
          <w:lang w:eastAsia="zh-CN"/>
        </w:rPr>
      </w:pPr>
    </w:p>
    <w:p w14:paraId="29B34904"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5E04EBED"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 xml:space="preserve">Snižovat emise tuhých znečišťujících látek a s ohledem na technické možnosti a povahu procesu provádět např.: vykládku materiálu v uzavřených prostorách hal, jímání odpadních plynů v místě vzniku do zařízení ke snižování emisí (u pražících zařízení včetně chladícího vzduchu, vakuových zařízení, sil) apod. </w:t>
      </w:r>
    </w:p>
    <w:p w14:paraId="7DDBDC41" w14:textId="77777777" w:rsidR="008F52C8" w:rsidRPr="0030358C" w:rsidRDefault="008F52C8" w:rsidP="008F52C8">
      <w:pPr>
        <w:rPr>
          <w:rFonts w:ascii="Arial" w:hAnsi="Arial" w:cs="Arial"/>
          <w:b/>
          <w:bCs/>
          <w:sz w:val="22"/>
          <w:szCs w:val="22"/>
          <w:lang w:eastAsia="zh-CN"/>
        </w:rPr>
      </w:pPr>
    </w:p>
    <w:p w14:paraId="769D9ECC" w14:textId="77777777" w:rsidR="008F52C8" w:rsidRPr="0030358C" w:rsidRDefault="008F52C8" w:rsidP="008F52C8">
      <w:pPr>
        <w:rPr>
          <w:rFonts w:ascii="Arial" w:hAnsi="Arial" w:cs="Arial"/>
          <w:b/>
          <w:bCs/>
          <w:sz w:val="22"/>
          <w:szCs w:val="22"/>
          <w:lang w:eastAsia="zh-CN"/>
        </w:rPr>
      </w:pPr>
    </w:p>
    <w:p w14:paraId="17E1FB9C" w14:textId="77777777" w:rsidR="008F52C8" w:rsidRPr="0030358C" w:rsidRDefault="00000000" w:rsidP="008F52C8">
      <w:pPr>
        <w:keepNext/>
        <w:keepLines/>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lastRenderedPageBreak/>
        <w:t>6.5</w:t>
      </w:r>
      <w:r w:rsidR="00B623A4" w:rsidRPr="0030358C">
        <w:rPr>
          <w:rFonts w:ascii="Arial" w:hAnsi="Arial" w:cs="Arial"/>
          <w:b/>
          <w:bCs/>
          <w:sz w:val="22"/>
          <w:szCs w:val="22"/>
          <w:lang w:eastAsia="zh-CN"/>
        </w:rPr>
        <w:t>.</w:t>
      </w:r>
      <w:r w:rsidRPr="0030358C">
        <w:rPr>
          <w:rFonts w:ascii="Arial" w:hAnsi="Arial" w:cs="Arial"/>
          <w:b/>
          <w:bCs/>
          <w:sz w:val="22"/>
          <w:szCs w:val="22"/>
          <w:lang w:eastAsia="zh-CN"/>
        </w:rPr>
        <w:t xml:space="preserve"> Udírny s celkovou projektovanou kapacitou na zpracování 1 t výrobků denně a více (kód 7.6. dle přílohy č. 2 zákona)</w:t>
      </w:r>
    </w:p>
    <w:p w14:paraId="537E611E" w14:textId="77777777" w:rsidR="008F52C8" w:rsidRPr="0030358C" w:rsidRDefault="008F52C8" w:rsidP="008F52C8">
      <w:pPr>
        <w:keepNext/>
        <w:keepLines/>
        <w:tabs>
          <w:tab w:val="left" w:pos="284"/>
        </w:tabs>
        <w:autoSpaceDE w:val="0"/>
        <w:jc w:val="both"/>
        <w:rPr>
          <w:rFonts w:ascii="Arial" w:hAnsi="Arial" w:cs="Arial"/>
          <w:b/>
          <w:bCs/>
          <w:sz w:val="22"/>
          <w:szCs w:val="22"/>
          <w:lang w:eastAsia="zh-CN"/>
        </w:rPr>
      </w:pPr>
    </w:p>
    <w:p w14:paraId="3260A6BF"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40E9C7FA" w14:textId="77777777" w:rsidR="008F52C8" w:rsidRPr="0030358C" w:rsidRDefault="00000000" w:rsidP="008F52C8">
      <w:pPr>
        <w:keepNext/>
        <w:keepLines/>
        <w:spacing w:before="280" w:after="119"/>
        <w:jc w:val="both"/>
        <w:rPr>
          <w:rFonts w:ascii="Arial" w:hAnsi="Arial" w:cs="Arial"/>
          <w:b/>
          <w:bCs/>
          <w:sz w:val="22"/>
          <w:szCs w:val="22"/>
          <w:lang w:eastAsia="zh-CN"/>
        </w:rPr>
      </w:pPr>
      <w:r w:rsidRPr="0030358C">
        <w:rPr>
          <w:rFonts w:ascii="Arial" w:hAnsi="Arial" w:cs="Arial"/>
          <w:b/>
          <w:bCs/>
          <w:sz w:val="22"/>
          <w:szCs w:val="22"/>
          <w:lang w:eastAsia="zh-CN"/>
        </w:rPr>
        <w:t xml:space="preserve">Za účelem předcházení vzniku emisí znečišťujících látek obtěžujících zápachem a emisí TZL jímat odpadní plyn v místě vzniku a odvádět do zařízení ke snižování emisí, zajistit technicko-organizační opatření ke snížení emisí, např. výrobní odpad skladovat v uzavřených </w:t>
      </w:r>
      <w:r w:rsidR="00B623A4" w:rsidRPr="0030358C">
        <w:rPr>
          <w:rFonts w:ascii="Arial" w:hAnsi="Arial" w:cs="Arial"/>
          <w:b/>
          <w:bCs/>
          <w:sz w:val="22"/>
          <w:szCs w:val="22"/>
          <w:lang w:eastAsia="zh-CN"/>
        </w:rPr>
        <w:t>zásobnících, případně</w:t>
      </w:r>
      <w:r w:rsidRPr="0030358C">
        <w:rPr>
          <w:rFonts w:ascii="Arial" w:hAnsi="Arial" w:cs="Arial"/>
          <w:b/>
          <w:bCs/>
          <w:sz w:val="22"/>
          <w:szCs w:val="22"/>
          <w:lang w:eastAsia="zh-CN"/>
        </w:rPr>
        <w:t xml:space="preserve"> prostory chladit atd. Instalaci koncového zařízení ke snížení emisí lze nahradit obdobným opatřením na vyvíječi kouře v případě, kdy takové opatření zajistí dostatečnou ochranu před šířením zápachu.</w:t>
      </w:r>
    </w:p>
    <w:p w14:paraId="63A98C72" w14:textId="77777777" w:rsidR="008F52C8" w:rsidRPr="0030358C" w:rsidRDefault="008F52C8" w:rsidP="008F52C8">
      <w:pPr>
        <w:keepNext/>
        <w:numPr>
          <w:ilvl w:val="2"/>
          <w:numId w:val="0"/>
        </w:numPr>
        <w:tabs>
          <w:tab w:val="num" w:pos="0"/>
        </w:tabs>
        <w:spacing w:before="60"/>
        <w:ind w:left="720"/>
        <w:jc w:val="both"/>
        <w:outlineLvl w:val="2"/>
        <w:rPr>
          <w:rFonts w:ascii="Arial" w:hAnsi="Arial" w:cs="Arial"/>
          <w:b/>
          <w:bCs/>
          <w:sz w:val="22"/>
          <w:szCs w:val="22"/>
          <w:lang w:eastAsia="zh-CN"/>
        </w:rPr>
      </w:pPr>
    </w:p>
    <w:p w14:paraId="7A7DEE51" w14:textId="77777777" w:rsidR="008F52C8" w:rsidRPr="0030358C" w:rsidRDefault="00000000" w:rsidP="008F52C8">
      <w:pPr>
        <w:keepNext/>
        <w:numPr>
          <w:ilvl w:val="2"/>
          <w:numId w:val="0"/>
        </w:numPr>
        <w:tabs>
          <w:tab w:val="num" w:pos="0"/>
        </w:tab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6.6. Zpracování dřeva, včetně truhlářské výroby a výroby dřevních štěpek a pelet, vyjma výroby uvedené pod kódem 7.8., o celkové projektované spotřebě materiálu 150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a více za rok (kód 7.7. dle přílohy č. 2 zákona)</w:t>
      </w:r>
    </w:p>
    <w:p w14:paraId="4C2C91C3"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Neplatí pro pilařské provozy v tzv. manipulačních či expedičních skladech (krácení kmenů).</w:t>
      </w:r>
    </w:p>
    <w:p w14:paraId="64E0B4E3" w14:textId="77777777" w:rsidR="008F52C8" w:rsidRPr="0030358C" w:rsidRDefault="008F52C8" w:rsidP="008F52C8">
      <w:pPr>
        <w:spacing w:before="60"/>
        <w:rPr>
          <w:rFonts w:ascii="Arial" w:hAnsi="Arial" w:cs="Arial"/>
          <w:b/>
          <w:bCs/>
          <w:sz w:val="22"/>
          <w:szCs w:val="22"/>
          <w:lang w:eastAsia="zh-CN"/>
        </w:rPr>
      </w:pPr>
    </w:p>
    <w:tbl>
      <w:tblPr>
        <w:tblW w:w="0" w:type="auto"/>
        <w:tblInd w:w="-15" w:type="dxa"/>
        <w:tblLayout w:type="fixed"/>
        <w:tblLook w:val="0000" w:firstRow="0" w:lastRow="0" w:firstColumn="0" w:lastColumn="0" w:noHBand="0" w:noVBand="0"/>
      </w:tblPr>
      <w:tblGrid>
        <w:gridCol w:w="4224"/>
        <w:gridCol w:w="2977"/>
        <w:gridCol w:w="2997"/>
      </w:tblGrid>
      <w:tr w:rsidR="00E40657" w14:paraId="2DCDCCCD" w14:textId="77777777" w:rsidTr="00732453">
        <w:trPr>
          <w:cantSplit/>
          <w:trHeight w:hRule="exact" w:val="340"/>
        </w:trPr>
        <w:tc>
          <w:tcPr>
            <w:tcW w:w="7201" w:type="dxa"/>
            <w:gridSpan w:val="2"/>
            <w:tcBorders>
              <w:top w:val="single" w:sz="4" w:space="0" w:color="000000"/>
              <w:left w:val="single" w:sz="4" w:space="0" w:color="000000"/>
              <w:bottom w:val="single" w:sz="4" w:space="0" w:color="000000"/>
            </w:tcBorders>
            <w:shd w:val="clear" w:color="auto" w:fill="auto"/>
            <w:vAlign w:val="center"/>
          </w:tcPr>
          <w:p w14:paraId="1B885A8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9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04F23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77B553C0" w14:textId="77777777" w:rsidTr="00732453">
        <w:trPr>
          <w:cantSplit/>
          <w:trHeight w:hRule="exact" w:val="558"/>
        </w:trPr>
        <w:tc>
          <w:tcPr>
            <w:tcW w:w="4224" w:type="dxa"/>
            <w:tcBorders>
              <w:left w:val="single" w:sz="4" w:space="0" w:color="000000"/>
              <w:bottom w:val="single" w:sz="4" w:space="0" w:color="000000"/>
            </w:tcBorders>
            <w:shd w:val="clear" w:color="auto" w:fill="auto"/>
            <w:vAlign w:val="center"/>
          </w:tcPr>
          <w:p w14:paraId="4B36A89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977" w:type="dxa"/>
            <w:tcBorders>
              <w:left w:val="single" w:sz="4" w:space="0" w:color="000000"/>
              <w:bottom w:val="single" w:sz="4" w:space="0" w:color="000000"/>
            </w:tcBorders>
            <w:shd w:val="clear" w:color="auto" w:fill="auto"/>
            <w:vAlign w:val="center"/>
          </w:tcPr>
          <w:p w14:paraId="0AEF8E9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TOC</w:t>
            </w:r>
            <w:r w:rsidRPr="0030358C">
              <w:rPr>
                <w:rFonts w:ascii="Arial" w:hAnsi="Arial" w:cs="Arial"/>
                <w:b/>
                <w:bCs/>
                <w:sz w:val="22"/>
                <w:szCs w:val="22"/>
                <w:vertAlign w:val="superscript"/>
                <w:lang w:eastAsia="zh-CN"/>
              </w:rPr>
              <w:t>2)</w:t>
            </w:r>
          </w:p>
        </w:tc>
        <w:tc>
          <w:tcPr>
            <w:tcW w:w="29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3D09FF" w14:textId="77777777" w:rsidR="008F52C8" w:rsidRPr="0030358C" w:rsidRDefault="008F52C8" w:rsidP="00732453">
            <w:pPr>
              <w:snapToGrid w:val="0"/>
              <w:rPr>
                <w:rFonts w:ascii="Arial" w:hAnsi="Arial" w:cs="Arial"/>
                <w:b/>
                <w:bCs/>
                <w:sz w:val="22"/>
                <w:szCs w:val="22"/>
                <w:lang w:eastAsia="zh-CN"/>
              </w:rPr>
            </w:pPr>
          </w:p>
        </w:tc>
      </w:tr>
      <w:tr w:rsidR="00E40657" w14:paraId="76D87B4D" w14:textId="77777777" w:rsidTr="00732453">
        <w:trPr>
          <w:trHeight w:hRule="exact" w:val="830"/>
        </w:trPr>
        <w:tc>
          <w:tcPr>
            <w:tcW w:w="4224" w:type="dxa"/>
            <w:tcBorders>
              <w:left w:val="single" w:sz="4" w:space="0" w:color="000000"/>
              <w:bottom w:val="single" w:sz="4" w:space="0" w:color="000000"/>
            </w:tcBorders>
            <w:shd w:val="clear" w:color="auto" w:fill="auto"/>
            <w:vAlign w:val="center"/>
          </w:tcPr>
          <w:p w14:paraId="025ADDF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p w14:paraId="7302384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w:t>
            </w:r>
            <w:r w:rsidRPr="0030358C">
              <w:rPr>
                <w:rFonts w:ascii="Arial" w:hAnsi="Arial" w:cs="Arial"/>
                <w:b/>
                <w:bCs/>
                <w:sz w:val="22"/>
                <w:szCs w:val="22"/>
                <w:vertAlign w:val="superscript"/>
                <w:lang w:eastAsia="zh-CN"/>
              </w:rPr>
              <w:t>1)</w:t>
            </w:r>
          </w:p>
        </w:tc>
        <w:tc>
          <w:tcPr>
            <w:tcW w:w="2977" w:type="dxa"/>
            <w:tcBorders>
              <w:left w:val="single" w:sz="4" w:space="0" w:color="000000"/>
              <w:bottom w:val="single" w:sz="4" w:space="0" w:color="000000"/>
            </w:tcBorders>
            <w:shd w:val="clear" w:color="auto" w:fill="auto"/>
            <w:vAlign w:val="center"/>
          </w:tcPr>
          <w:p w14:paraId="3734E23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250</w:t>
            </w:r>
          </w:p>
        </w:tc>
        <w:tc>
          <w:tcPr>
            <w:tcW w:w="2997" w:type="dxa"/>
            <w:tcBorders>
              <w:left w:val="single" w:sz="4" w:space="0" w:color="000000"/>
              <w:bottom w:val="single" w:sz="4" w:space="0" w:color="000000"/>
              <w:right w:val="single" w:sz="4" w:space="0" w:color="000000"/>
            </w:tcBorders>
            <w:shd w:val="clear" w:color="auto" w:fill="auto"/>
            <w:vAlign w:val="center"/>
          </w:tcPr>
          <w:p w14:paraId="02D654C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p w14:paraId="737F5478"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B</w:t>
            </w:r>
            <w:r w:rsidRPr="0030358C">
              <w:rPr>
                <w:rFonts w:ascii="Arial" w:hAnsi="Arial" w:cs="Arial"/>
                <w:b/>
                <w:bCs/>
                <w:sz w:val="22"/>
                <w:szCs w:val="22"/>
                <w:vertAlign w:val="superscript"/>
                <w:lang w:eastAsia="zh-CN"/>
              </w:rPr>
              <w:t>2)</w:t>
            </w:r>
          </w:p>
        </w:tc>
      </w:tr>
    </w:tbl>
    <w:p w14:paraId="69FF258B" w14:textId="77777777" w:rsidR="008F52C8" w:rsidRPr="0030358C" w:rsidRDefault="00000000" w:rsidP="008F52C8">
      <w:pPr>
        <w:widowControl w:val="0"/>
        <w:autoSpaceDE w:val="0"/>
        <w:spacing w:before="120"/>
        <w:jc w:val="both"/>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7C5026F9" w14:textId="77777777" w:rsidR="008F52C8" w:rsidRPr="0030358C" w:rsidRDefault="00000000" w:rsidP="008F52C8">
      <w:pPr>
        <w:widowControl w:val="0"/>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1) Platí pro broušení.</w:t>
      </w:r>
    </w:p>
    <w:p w14:paraId="29F42AB9" w14:textId="77777777" w:rsidR="008F52C8" w:rsidRPr="0030358C" w:rsidRDefault="00000000" w:rsidP="008F52C8">
      <w:pPr>
        <w:widowControl w:val="0"/>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 xml:space="preserve">2) Platí pro sušení třísek a dřevních vláken. </w:t>
      </w:r>
    </w:p>
    <w:p w14:paraId="1717D63F"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0882FCF7" w14:textId="77777777" w:rsidR="008F52C8" w:rsidRPr="0030358C" w:rsidRDefault="00000000" w:rsidP="008F52C8">
      <w:pPr>
        <w:ind w:left="284" w:hanging="284"/>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242F4D8C" w14:textId="77777777" w:rsidR="00067E26" w:rsidRPr="0030358C" w:rsidRDefault="00000000" w:rsidP="0058795B">
      <w:pPr>
        <w:jc w:val="both"/>
        <w:rPr>
          <w:rFonts w:ascii="Arial" w:hAnsi="Arial" w:cs="Arial"/>
          <w:b/>
          <w:bCs/>
          <w:iCs/>
          <w:sz w:val="22"/>
          <w:szCs w:val="22"/>
          <w:lang w:eastAsia="zh-CN"/>
        </w:rPr>
      </w:pPr>
      <w:r w:rsidRPr="0030358C">
        <w:rPr>
          <w:rFonts w:ascii="Arial" w:hAnsi="Arial" w:cs="Arial"/>
          <w:b/>
          <w:bCs/>
          <w:sz w:val="22"/>
          <w:szCs w:val="22"/>
          <w:lang w:eastAsia="zh-CN"/>
        </w:rPr>
        <w:t>Teplota při sušení dřevních vláken, třísek a pilin musí být omezena tak, aby nedocházelo k jejich doutnání.</w:t>
      </w:r>
    </w:p>
    <w:p w14:paraId="45BEC814" w14:textId="77777777" w:rsidR="00067E26" w:rsidRPr="0030358C" w:rsidRDefault="00067E26" w:rsidP="008F52C8">
      <w:pPr>
        <w:keepNext/>
        <w:numPr>
          <w:ilvl w:val="2"/>
          <w:numId w:val="0"/>
        </w:numPr>
        <w:tabs>
          <w:tab w:val="num" w:pos="0"/>
        </w:tabs>
        <w:spacing w:before="60"/>
        <w:jc w:val="both"/>
        <w:outlineLvl w:val="2"/>
        <w:rPr>
          <w:rFonts w:ascii="Arial" w:hAnsi="Arial" w:cs="Arial"/>
          <w:b/>
          <w:bCs/>
          <w:sz w:val="22"/>
          <w:szCs w:val="22"/>
          <w:lang w:eastAsia="zh-CN"/>
        </w:rPr>
      </w:pPr>
    </w:p>
    <w:p w14:paraId="430E8766" w14:textId="77777777" w:rsidR="008F52C8" w:rsidRPr="0030358C" w:rsidRDefault="00000000" w:rsidP="008F52C8">
      <w:pPr>
        <w:keepNext/>
        <w:numPr>
          <w:ilvl w:val="2"/>
          <w:numId w:val="0"/>
        </w:numPr>
        <w:tabs>
          <w:tab w:val="num" w:pos="0"/>
        </w:tab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6.7. Výroba dřevotřískových, dřevovláknitých nebo dřevoštěpkových (OSB) desek o celkové projektované roční kapacitě 150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 a vyšší (kód 7.8. dle přílohy č. 2 zákona)</w:t>
      </w:r>
    </w:p>
    <w:tbl>
      <w:tblPr>
        <w:tblW w:w="0" w:type="auto"/>
        <w:tblInd w:w="-118" w:type="dxa"/>
        <w:tblLayout w:type="fixed"/>
        <w:tblCellMar>
          <w:left w:w="0" w:type="dxa"/>
          <w:right w:w="0" w:type="dxa"/>
        </w:tblCellMar>
        <w:tblLook w:val="0000" w:firstRow="0" w:lastRow="0" w:firstColumn="0" w:lastColumn="0" w:noHBand="0" w:noVBand="0"/>
      </w:tblPr>
      <w:tblGrid>
        <w:gridCol w:w="2266"/>
        <w:gridCol w:w="2417"/>
        <w:gridCol w:w="2040"/>
        <w:gridCol w:w="2047"/>
        <w:gridCol w:w="51"/>
      </w:tblGrid>
      <w:tr w:rsidR="00E40657" w14:paraId="1AC43DBD" w14:textId="77777777" w:rsidTr="00732453">
        <w:trPr>
          <w:cantSplit/>
          <w:trHeight w:hRule="exact" w:val="371"/>
        </w:trPr>
        <w:tc>
          <w:tcPr>
            <w:tcW w:w="6723" w:type="dxa"/>
            <w:gridSpan w:val="3"/>
            <w:tcBorders>
              <w:top w:val="single" w:sz="4" w:space="0" w:color="000000"/>
              <w:left w:val="single" w:sz="4" w:space="0" w:color="000000"/>
              <w:bottom w:val="single" w:sz="4" w:space="0" w:color="000000"/>
            </w:tcBorders>
            <w:shd w:val="clear" w:color="auto" w:fill="auto"/>
            <w:vAlign w:val="center"/>
          </w:tcPr>
          <w:p w14:paraId="1F6D2F9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047" w:type="dxa"/>
            <w:vMerge w:val="restart"/>
            <w:tcBorders>
              <w:top w:val="single" w:sz="4" w:space="0" w:color="000000"/>
              <w:left w:val="single" w:sz="4" w:space="0" w:color="000000"/>
              <w:bottom w:val="single" w:sz="4" w:space="0" w:color="000000"/>
            </w:tcBorders>
            <w:shd w:val="clear" w:color="auto" w:fill="auto"/>
            <w:vAlign w:val="center"/>
          </w:tcPr>
          <w:p w14:paraId="3AC898E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c>
          <w:tcPr>
            <w:tcW w:w="51" w:type="dxa"/>
            <w:tcBorders>
              <w:left w:val="single" w:sz="4" w:space="0" w:color="000000"/>
            </w:tcBorders>
            <w:shd w:val="clear" w:color="auto" w:fill="auto"/>
          </w:tcPr>
          <w:p w14:paraId="3C9E2A29" w14:textId="77777777" w:rsidR="008F52C8" w:rsidRPr="0030358C" w:rsidRDefault="008F52C8" w:rsidP="00732453">
            <w:pPr>
              <w:snapToGrid w:val="0"/>
              <w:rPr>
                <w:rFonts w:ascii="Arial" w:hAnsi="Arial" w:cs="Arial"/>
                <w:b/>
                <w:bCs/>
                <w:sz w:val="22"/>
                <w:szCs w:val="22"/>
                <w:lang w:eastAsia="zh-CN"/>
              </w:rPr>
            </w:pPr>
          </w:p>
        </w:tc>
      </w:tr>
      <w:tr w:rsidR="00E40657" w14:paraId="6596CE85" w14:textId="77777777" w:rsidTr="00732453">
        <w:trPr>
          <w:cantSplit/>
          <w:trHeight w:hRule="exact" w:val="609"/>
        </w:trPr>
        <w:tc>
          <w:tcPr>
            <w:tcW w:w="2266" w:type="dxa"/>
            <w:tcBorders>
              <w:left w:val="single" w:sz="4" w:space="0" w:color="000000"/>
              <w:bottom w:val="single" w:sz="4" w:space="0" w:color="000000"/>
            </w:tcBorders>
            <w:shd w:val="clear" w:color="auto" w:fill="auto"/>
            <w:vAlign w:val="center"/>
          </w:tcPr>
          <w:p w14:paraId="7581432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417" w:type="dxa"/>
            <w:tcBorders>
              <w:left w:val="single" w:sz="4" w:space="0" w:color="000000"/>
              <w:bottom w:val="single" w:sz="4" w:space="0" w:color="000000"/>
            </w:tcBorders>
            <w:shd w:val="clear" w:color="auto" w:fill="auto"/>
            <w:vAlign w:val="center"/>
          </w:tcPr>
          <w:p w14:paraId="7AF9A0DA"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TOC</w:t>
            </w:r>
            <w:r w:rsidRPr="0030358C">
              <w:rPr>
                <w:rFonts w:ascii="Arial" w:hAnsi="Arial" w:cs="Arial"/>
                <w:b/>
                <w:bCs/>
                <w:sz w:val="22"/>
                <w:szCs w:val="22"/>
                <w:vertAlign w:val="superscript"/>
                <w:lang w:eastAsia="zh-CN"/>
              </w:rPr>
              <w:t>2)</w:t>
            </w:r>
          </w:p>
        </w:tc>
        <w:tc>
          <w:tcPr>
            <w:tcW w:w="2040" w:type="dxa"/>
            <w:tcBorders>
              <w:left w:val="single" w:sz="4" w:space="0" w:color="000000"/>
              <w:bottom w:val="single" w:sz="4" w:space="0" w:color="000000"/>
            </w:tcBorders>
            <w:shd w:val="clear" w:color="auto" w:fill="auto"/>
            <w:vAlign w:val="center"/>
          </w:tcPr>
          <w:p w14:paraId="559CD73C"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Formaldehyd</w:t>
            </w:r>
            <w:r w:rsidRPr="0030358C">
              <w:rPr>
                <w:rFonts w:ascii="Arial" w:hAnsi="Arial" w:cs="Arial"/>
                <w:b/>
                <w:bCs/>
                <w:sz w:val="22"/>
                <w:szCs w:val="22"/>
                <w:vertAlign w:val="superscript"/>
                <w:lang w:eastAsia="zh-CN"/>
              </w:rPr>
              <w:t>3)</w:t>
            </w:r>
          </w:p>
        </w:tc>
        <w:tc>
          <w:tcPr>
            <w:tcW w:w="2047" w:type="dxa"/>
            <w:vMerge/>
            <w:tcBorders>
              <w:top w:val="single" w:sz="4" w:space="0" w:color="000000"/>
              <w:left w:val="single" w:sz="4" w:space="0" w:color="000000"/>
              <w:bottom w:val="single" w:sz="4" w:space="0" w:color="000000"/>
            </w:tcBorders>
            <w:shd w:val="clear" w:color="auto" w:fill="auto"/>
            <w:vAlign w:val="center"/>
          </w:tcPr>
          <w:p w14:paraId="7CFA055D" w14:textId="77777777" w:rsidR="008F52C8" w:rsidRPr="0030358C" w:rsidRDefault="008F52C8" w:rsidP="00732453">
            <w:pPr>
              <w:snapToGrid w:val="0"/>
              <w:rPr>
                <w:rFonts w:ascii="Arial" w:hAnsi="Arial" w:cs="Arial"/>
                <w:b/>
                <w:bCs/>
                <w:sz w:val="22"/>
                <w:szCs w:val="22"/>
                <w:lang w:eastAsia="zh-CN"/>
              </w:rPr>
            </w:pPr>
          </w:p>
        </w:tc>
        <w:tc>
          <w:tcPr>
            <w:tcW w:w="51" w:type="dxa"/>
            <w:tcBorders>
              <w:left w:val="single" w:sz="4" w:space="0" w:color="000000"/>
            </w:tcBorders>
            <w:shd w:val="clear" w:color="auto" w:fill="auto"/>
          </w:tcPr>
          <w:p w14:paraId="1EACC88F" w14:textId="77777777" w:rsidR="008F52C8" w:rsidRPr="0030358C" w:rsidRDefault="008F52C8" w:rsidP="00732453">
            <w:pPr>
              <w:snapToGrid w:val="0"/>
              <w:rPr>
                <w:rFonts w:ascii="Arial" w:hAnsi="Arial" w:cs="Arial"/>
                <w:b/>
                <w:bCs/>
                <w:sz w:val="22"/>
                <w:szCs w:val="22"/>
                <w:lang w:eastAsia="zh-CN"/>
              </w:rPr>
            </w:pPr>
          </w:p>
        </w:tc>
      </w:tr>
      <w:tr w:rsidR="00E40657" w14:paraId="1FE7A80D" w14:textId="77777777" w:rsidTr="00732453">
        <w:trPr>
          <w:trHeight w:hRule="exact" w:val="1438"/>
        </w:trPr>
        <w:tc>
          <w:tcPr>
            <w:tcW w:w="2266" w:type="dxa"/>
            <w:tcBorders>
              <w:left w:val="single" w:sz="4" w:space="0" w:color="000000"/>
              <w:bottom w:val="single" w:sz="4" w:space="0" w:color="000000"/>
            </w:tcBorders>
            <w:shd w:val="clear" w:color="auto" w:fill="auto"/>
            <w:vAlign w:val="center"/>
          </w:tcPr>
          <w:p w14:paraId="657DA37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30</w:t>
            </w:r>
          </w:p>
          <w:p w14:paraId="1FF54D06"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1)</w:t>
            </w:r>
          </w:p>
        </w:tc>
        <w:tc>
          <w:tcPr>
            <w:tcW w:w="2417" w:type="dxa"/>
            <w:tcBorders>
              <w:left w:val="single" w:sz="4" w:space="0" w:color="000000"/>
              <w:bottom w:val="single" w:sz="4" w:space="0" w:color="000000"/>
            </w:tcBorders>
            <w:shd w:val="clear" w:color="auto" w:fill="auto"/>
            <w:vAlign w:val="center"/>
          </w:tcPr>
          <w:p w14:paraId="2098A085" w14:textId="77777777" w:rsidR="008F52C8" w:rsidRPr="0030358C" w:rsidRDefault="008F52C8" w:rsidP="00732453">
            <w:pPr>
              <w:snapToGrid w:val="0"/>
              <w:jc w:val="center"/>
              <w:rPr>
                <w:rFonts w:ascii="Arial" w:hAnsi="Arial" w:cs="Arial"/>
                <w:b/>
                <w:bCs/>
                <w:sz w:val="22"/>
                <w:szCs w:val="22"/>
                <w:lang w:eastAsia="zh-CN"/>
              </w:rPr>
            </w:pPr>
          </w:p>
          <w:p w14:paraId="1A52D0C8"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 xml:space="preserve">  250</w:t>
            </w:r>
          </w:p>
          <w:p w14:paraId="7620408D" w14:textId="77777777" w:rsidR="008F52C8" w:rsidRPr="0030358C" w:rsidRDefault="008F52C8" w:rsidP="00732453">
            <w:pPr>
              <w:snapToGrid w:val="0"/>
              <w:jc w:val="center"/>
              <w:rPr>
                <w:rFonts w:ascii="Arial" w:hAnsi="Arial" w:cs="Arial"/>
                <w:b/>
                <w:bCs/>
                <w:sz w:val="22"/>
                <w:szCs w:val="22"/>
                <w:vertAlign w:val="superscript"/>
                <w:lang w:eastAsia="zh-CN"/>
              </w:rPr>
            </w:pPr>
          </w:p>
        </w:tc>
        <w:tc>
          <w:tcPr>
            <w:tcW w:w="2040" w:type="dxa"/>
            <w:tcBorders>
              <w:left w:val="single" w:sz="4" w:space="0" w:color="000000"/>
              <w:bottom w:val="single" w:sz="4" w:space="0" w:color="000000"/>
            </w:tcBorders>
            <w:shd w:val="clear" w:color="auto" w:fill="auto"/>
            <w:vAlign w:val="center"/>
          </w:tcPr>
          <w:p w14:paraId="4E594E6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15</w:t>
            </w:r>
          </w:p>
        </w:tc>
        <w:tc>
          <w:tcPr>
            <w:tcW w:w="2047" w:type="dxa"/>
            <w:tcBorders>
              <w:left w:val="single" w:sz="4" w:space="0" w:color="000000"/>
              <w:bottom w:val="single" w:sz="4" w:space="0" w:color="000000"/>
            </w:tcBorders>
            <w:shd w:val="clear" w:color="auto" w:fill="auto"/>
            <w:vAlign w:val="center"/>
          </w:tcPr>
          <w:p w14:paraId="5321453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p w14:paraId="3E68541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B</w:t>
            </w:r>
            <w:r w:rsidRPr="0030358C">
              <w:rPr>
                <w:rFonts w:ascii="Arial" w:hAnsi="Arial" w:cs="Arial"/>
                <w:b/>
                <w:bCs/>
                <w:sz w:val="22"/>
                <w:szCs w:val="22"/>
                <w:vertAlign w:val="superscript"/>
                <w:lang w:eastAsia="zh-CN"/>
              </w:rPr>
              <w:t>2)</w:t>
            </w:r>
          </w:p>
          <w:p w14:paraId="436F211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r w:rsidRPr="0030358C">
              <w:rPr>
                <w:rFonts w:ascii="Arial" w:hAnsi="Arial" w:cs="Arial"/>
                <w:b/>
                <w:bCs/>
                <w:sz w:val="22"/>
                <w:szCs w:val="22"/>
                <w:vertAlign w:val="superscript"/>
                <w:lang w:eastAsia="zh-CN"/>
              </w:rPr>
              <w:t>4)</w:t>
            </w:r>
          </w:p>
        </w:tc>
        <w:tc>
          <w:tcPr>
            <w:tcW w:w="51" w:type="dxa"/>
            <w:tcBorders>
              <w:left w:val="single" w:sz="4" w:space="0" w:color="000000"/>
            </w:tcBorders>
            <w:shd w:val="clear" w:color="auto" w:fill="auto"/>
          </w:tcPr>
          <w:p w14:paraId="1956542B" w14:textId="77777777" w:rsidR="008F52C8" w:rsidRPr="0030358C" w:rsidRDefault="008F52C8" w:rsidP="00732453">
            <w:pPr>
              <w:snapToGrid w:val="0"/>
              <w:rPr>
                <w:rFonts w:ascii="Arial" w:hAnsi="Arial" w:cs="Arial"/>
                <w:b/>
                <w:bCs/>
                <w:sz w:val="22"/>
                <w:szCs w:val="22"/>
                <w:lang w:eastAsia="zh-CN"/>
              </w:rPr>
            </w:pPr>
          </w:p>
        </w:tc>
      </w:tr>
    </w:tbl>
    <w:p w14:paraId="1526B791" w14:textId="77777777" w:rsidR="008F52C8" w:rsidRPr="0030358C" w:rsidRDefault="00000000" w:rsidP="008F52C8">
      <w:pPr>
        <w:widowControl w:val="0"/>
        <w:autoSpaceDE w:val="0"/>
        <w:spacing w:before="120"/>
        <w:jc w:val="both"/>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095CFC0A" w14:textId="77777777" w:rsidR="008F52C8" w:rsidRPr="0030358C" w:rsidRDefault="00000000" w:rsidP="008F52C8">
      <w:pPr>
        <w:widowControl w:val="0"/>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1) Platí pro broušení.</w:t>
      </w:r>
    </w:p>
    <w:p w14:paraId="4F3DAE40" w14:textId="77777777" w:rsidR="008F52C8" w:rsidRPr="0030358C" w:rsidRDefault="00000000" w:rsidP="008F52C8">
      <w:pPr>
        <w:widowControl w:val="0"/>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 xml:space="preserve">2) Platí pro sušení třísek a dřevních vláken. </w:t>
      </w:r>
    </w:p>
    <w:p w14:paraId="0C52A3F2" w14:textId="77777777" w:rsidR="008F52C8" w:rsidRPr="0030358C" w:rsidRDefault="00000000" w:rsidP="008F52C8">
      <w:pPr>
        <w:widowControl w:val="0"/>
        <w:tabs>
          <w:tab w:val="left" w:pos="284"/>
        </w:tabs>
        <w:autoSpaceDE w:val="0"/>
        <w:jc w:val="both"/>
        <w:rPr>
          <w:rFonts w:ascii="Arial" w:hAnsi="Arial" w:cs="Arial"/>
          <w:b/>
          <w:bCs/>
          <w:iCs/>
          <w:sz w:val="22"/>
          <w:szCs w:val="22"/>
          <w:lang w:eastAsia="zh-CN"/>
        </w:rPr>
      </w:pPr>
      <w:r w:rsidRPr="0030358C">
        <w:rPr>
          <w:rFonts w:ascii="Arial" w:hAnsi="Arial" w:cs="Arial"/>
          <w:b/>
          <w:bCs/>
          <w:iCs/>
          <w:sz w:val="22"/>
          <w:szCs w:val="22"/>
          <w:lang w:eastAsia="zh-CN"/>
        </w:rPr>
        <w:t xml:space="preserve">3) Platí pro lisování dřevotřískových, dřevovláknitých a OSB desek, kde je využíváno pryskyřic na bázi formaldehydu. </w:t>
      </w:r>
    </w:p>
    <w:p w14:paraId="59683475" w14:textId="77777777" w:rsidR="008F52C8" w:rsidRPr="0030358C" w:rsidRDefault="00000000" w:rsidP="008F52C8">
      <w:pPr>
        <w:widowControl w:val="0"/>
        <w:tabs>
          <w:tab w:val="left" w:pos="284"/>
        </w:tabs>
        <w:autoSpaceDE w:val="0"/>
        <w:jc w:val="both"/>
        <w:rPr>
          <w:rFonts w:ascii="Arial" w:hAnsi="Arial" w:cs="Arial"/>
          <w:b/>
          <w:bCs/>
          <w:sz w:val="22"/>
          <w:szCs w:val="22"/>
          <w:lang w:eastAsia="zh-CN"/>
        </w:rPr>
      </w:pPr>
      <w:r w:rsidRPr="0030358C">
        <w:rPr>
          <w:rFonts w:ascii="Arial" w:hAnsi="Arial" w:cs="Arial"/>
          <w:b/>
          <w:bCs/>
          <w:sz w:val="22"/>
          <w:szCs w:val="22"/>
          <w:lang w:eastAsia="zh-CN"/>
        </w:rPr>
        <w:t>4) Platí při výrobní kapacitě větší než 600 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 xml:space="preserve">/den. </w:t>
      </w:r>
    </w:p>
    <w:p w14:paraId="0DB15987" w14:textId="77777777" w:rsidR="008F52C8" w:rsidRPr="0030358C" w:rsidRDefault="008F52C8" w:rsidP="008F52C8">
      <w:pPr>
        <w:widowControl w:val="0"/>
        <w:tabs>
          <w:tab w:val="left" w:pos="284"/>
        </w:tabs>
        <w:autoSpaceDE w:val="0"/>
        <w:jc w:val="both"/>
        <w:rPr>
          <w:rFonts w:ascii="Arial" w:hAnsi="Arial" w:cs="Arial"/>
          <w:b/>
          <w:bCs/>
          <w:sz w:val="22"/>
          <w:szCs w:val="22"/>
          <w:lang w:eastAsia="zh-CN"/>
        </w:rPr>
      </w:pPr>
    </w:p>
    <w:p w14:paraId="67C44E88" w14:textId="77777777" w:rsidR="008F52C8" w:rsidRPr="0030358C" w:rsidRDefault="008F52C8" w:rsidP="008F52C8">
      <w:pPr>
        <w:ind w:left="284" w:hanging="284"/>
        <w:jc w:val="both"/>
        <w:rPr>
          <w:rFonts w:ascii="Arial" w:hAnsi="Arial" w:cs="Arial"/>
          <w:b/>
          <w:bCs/>
          <w:sz w:val="22"/>
          <w:szCs w:val="22"/>
          <w:lang w:eastAsia="zh-CN"/>
        </w:rPr>
      </w:pPr>
    </w:p>
    <w:p w14:paraId="7105A3FA" w14:textId="77777777" w:rsidR="008F52C8" w:rsidRPr="0030358C" w:rsidRDefault="00000000" w:rsidP="008F52C8">
      <w:pPr>
        <w:ind w:left="284" w:hanging="284"/>
        <w:jc w:val="both"/>
        <w:rPr>
          <w:rFonts w:ascii="Arial" w:hAnsi="Arial" w:cs="Arial"/>
          <w:b/>
          <w:bCs/>
          <w:sz w:val="22"/>
          <w:szCs w:val="22"/>
          <w:lang w:eastAsia="zh-CN"/>
        </w:rPr>
      </w:pPr>
      <w:r w:rsidRPr="0030358C">
        <w:rPr>
          <w:rFonts w:ascii="Arial" w:hAnsi="Arial" w:cs="Arial"/>
          <w:b/>
          <w:bCs/>
          <w:sz w:val="22"/>
          <w:szCs w:val="22"/>
          <w:lang w:eastAsia="zh-CN"/>
        </w:rPr>
        <w:lastRenderedPageBreak/>
        <w:t>Technická podmínka provozu:</w:t>
      </w:r>
    </w:p>
    <w:p w14:paraId="00708F3B" w14:textId="77777777" w:rsidR="008F52C8" w:rsidRPr="0030358C" w:rsidRDefault="00000000" w:rsidP="008F52C8">
      <w:pPr>
        <w:ind w:left="284" w:hanging="284"/>
        <w:jc w:val="both"/>
        <w:rPr>
          <w:rFonts w:ascii="Arial" w:hAnsi="Arial" w:cs="Arial"/>
          <w:b/>
          <w:bCs/>
          <w:sz w:val="22"/>
          <w:szCs w:val="22"/>
          <w:lang w:eastAsia="zh-CN"/>
        </w:rPr>
      </w:pPr>
      <w:r w:rsidRPr="0030358C">
        <w:rPr>
          <w:rFonts w:ascii="Arial" w:hAnsi="Arial" w:cs="Arial"/>
          <w:b/>
          <w:bCs/>
          <w:sz w:val="22"/>
          <w:szCs w:val="22"/>
          <w:lang w:eastAsia="zh-CN"/>
        </w:rPr>
        <w:t>Teplota při sušení třísek a pilin musí být omezena tak, aby nedocházelo k jejich doutnání.</w:t>
      </w:r>
    </w:p>
    <w:p w14:paraId="79338300" w14:textId="77777777" w:rsidR="008F52C8" w:rsidRPr="0030358C" w:rsidRDefault="008F52C8" w:rsidP="008F52C8">
      <w:pPr>
        <w:widowControl w:val="0"/>
        <w:tabs>
          <w:tab w:val="left" w:pos="284"/>
        </w:tabs>
        <w:autoSpaceDE w:val="0"/>
        <w:jc w:val="both"/>
        <w:rPr>
          <w:rFonts w:ascii="Arial" w:hAnsi="Arial" w:cs="Arial"/>
          <w:b/>
          <w:bCs/>
          <w:iCs/>
          <w:sz w:val="22"/>
          <w:szCs w:val="22"/>
          <w:lang w:eastAsia="zh-CN"/>
        </w:rPr>
      </w:pPr>
    </w:p>
    <w:p w14:paraId="48359C86" w14:textId="77777777" w:rsidR="008F52C8" w:rsidRPr="0030358C" w:rsidRDefault="008F52C8" w:rsidP="008F52C8">
      <w:pPr>
        <w:keepNext/>
        <w:keepLines/>
        <w:autoSpaceDE w:val="0"/>
        <w:jc w:val="both"/>
        <w:rPr>
          <w:rFonts w:ascii="Arial" w:hAnsi="Arial" w:cs="Arial"/>
          <w:b/>
          <w:bCs/>
          <w:sz w:val="22"/>
          <w:szCs w:val="22"/>
          <w:lang w:eastAsia="zh-CN"/>
        </w:rPr>
      </w:pPr>
    </w:p>
    <w:p w14:paraId="4BC299EB" w14:textId="77777777" w:rsidR="008F52C8" w:rsidRPr="0030358C" w:rsidRDefault="00000000" w:rsidP="008F52C8">
      <w:pPr>
        <w:keepNext/>
        <w:keepLines/>
        <w:numPr>
          <w:ilvl w:val="2"/>
          <w:numId w:val="0"/>
        </w:numPr>
        <w:tabs>
          <w:tab w:val="num" w:pos="0"/>
        </w:tabs>
        <w:outlineLvl w:val="2"/>
        <w:rPr>
          <w:rFonts w:ascii="Arial" w:hAnsi="Arial" w:cs="Arial"/>
          <w:b/>
          <w:bCs/>
          <w:sz w:val="22"/>
          <w:szCs w:val="22"/>
          <w:lang w:eastAsia="zh-CN"/>
        </w:rPr>
      </w:pPr>
      <w:r w:rsidRPr="0030358C">
        <w:rPr>
          <w:rFonts w:ascii="Arial" w:hAnsi="Arial" w:cs="Arial"/>
          <w:b/>
          <w:bCs/>
          <w:sz w:val="22"/>
          <w:szCs w:val="22"/>
          <w:lang w:eastAsia="zh-CN"/>
        </w:rPr>
        <w:t xml:space="preserve">6.8. Výroba buničiny ze dřeva nebo papíru z panenské buničiny (kód 7.9. dle přílohy č. 2 zákona) </w:t>
      </w:r>
    </w:p>
    <w:tbl>
      <w:tblPr>
        <w:tblW w:w="0" w:type="auto"/>
        <w:tblInd w:w="-15" w:type="dxa"/>
        <w:tblLayout w:type="fixed"/>
        <w:tblLook w:val="0000" w:firstRow="0" w:lastRow="0" w:firstColumn="0" w:lastColumn="0" w:noHBand="0" w:noVBand="0"/>
      </w:tblPr>
      <w:tblGrid>
        <w:gridCol w:w="2596"/>
        <w:gridCol w:w="3732"/>
        <w:gridCol w:w="1623"/>
        <w:gridCol w:w="1649"/>
      </w:tblGrid>
      <w:tr w:rsidR="00E40657" w14:paraId="55987E01" w14:textId="77777777" w:rsidTr="00732453">
        <w:trPr>
          <w:cantSplit/>
          <w:trHeight w:hRule="exact" w:val="686"/>
        </w:trPr>
        <w:tc>
          <w:tcPr>
            <w:tcW w:w="2596" w:type="dxa"/>
            <w:tcBorders>
              <w:top w:val="single" w:sz="4" w:space="0" w:color="000000"/>
              <w:left w:val="single" w:sz="4" w:space="0" w:color="000000"/>
              <w:bottom w:val="single" w:sz="4" w:space="0" w:color="000000"/>
            </w:tcBorders>
            <w:shd w:val="clear" w:color="auto" w:fill="auto"/>
            <w:vAlign w:val="center"/>
          </w:tcPr>
          <w:p w14:paraId="0397B307"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732" w:type="dxa"/>
            <w:tcBorders>
              <w:top w:val="single" w:sz="4" w:space="0" w:color="000000"/>
              <w:left w:val="single" w:sz="4" w:space="0" w:color="000000"/>
              <w:bottom w:val="single" w:sz="4" w:space="0" w:color="000000"/>
            </w:tcBorders>
            <w:shd w:val="clear" w:color="auto" w:fill="auto"/>
            <w:vAlign w:val="center"/>
          </w:tcPr>
          <w:p w14:paraId="6DBBC12C" w14:textId="77777777" w:rsidR="008F52C8" w:rsidRPr="0030358C" w:rsidRDefault="008F52C8" w:rsidP="00732453">
            <w:pPr>
              <w:keepNext/>
              <w:keepLines/>
              <w:snapToGrid w:val="0"/>
              <w:jc w:val="center"/>
              <w:rPr>
                <w:rFonts w:ascii="Arial" w:hAnsi="Arial" w:cs="Arial"/>
                <w:b/>
                <w:bCs/>
                <w:sz w:val="22"/>
                <w:szCs w:val="22"/>
                <w:lang w:eastAsia="zh-CN"/>
              </w:rPr>
            </w:pPr>
          </w:p>
          <w:p w14:paraId="56EEA69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[g/t]</w:t>
            </w:r>
          </w:p>
          <w:p w14:paraId="1C793D55" w14:textId="77777777" w:rsidR="008F52C8" w:rsidRPr="0030358C" w:rsidRDefault="008F52C8" w:rsidP="00732453">
            <w:pPr>
              <w:keepNext/>
              <w:keepLines/>
              <w:snapToGrid w:val="0"/>
              <w:jc w:val="center"/>
              <w:rPr>
                <w:rFonts w:ascii="Arial" w:hAnsi="Arial" w:cs="Arial"/>
                <w:b/>
                <w:bCs/>
                <w:sz w:val="22"/>
                <w:szCs w:val="22"/>
                <w:lang w:eastAsia="zh-CN"/>
              </w:rPr>
            </w:pPr>
          </w:p>
        </w:tc>
        <w:tc>
          <w:tcPr>
            <w:tcW w:w="1623" w:type="dxa"/>
            <w:vMerge w:val="restart"/>
            <w:tcBorders>
              <w:top w:val="single" w:sz="4" w:space="0" w:color="000000"/>
              <w:left w:val="single" w:sz="4" w:space="0" w:color="000000"/>
              <w:bottom w:val="single" w:sz="4" w:space="0" w:color="000000"/>
            </w:tcBorders>
            <w:shd w:val="clear" w:color="auto" w:fill="auto"/>
            <w:vAlign w:val="center"/>
          </w:tcPr>
          <w:p w14:paraId="723296E1" w14:textId="77777777" w:rsidR="008F52C8" w:rsidRPr="0030358C" w:rsidRDefault="00000000" w:rsidP="00732453">
            <w:pPr>
              <w:keepLines/>
              <w:snapToGrid w:val="0"/>
              <w:jc w:val="center"/>
              <w:rPr>
                <w:rFonts w:ascii="Arial" w:hAnsi="Arial" w:cs="Arial"/>
                <w:b/>
                <w:bCs/>
                <w:sz w:val="22"/>
                <w:szCs w:val="22"/>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2R</w:t>
            </w:r>
            <w:r w:rsidRPr="0030358C">
              <w:rPr>
                <w:rFonts w:ascii="Arial" w:hAnsi="Arial" w:cs="Arial"/>
                <w:b/>
                <w:bCs/>
                <w:sz w:val="22"/>
                <w:szCs w:val="22"/>
                <w:lang w:eastAsia="zh-CN"/>
              </w:rPr>
              <w:t xml:space="preserve"> [%]</w:t>
            </w:r>
          </w:p>
        </w:tc>
        <w:tc>
          <w:tcPr>
            <w:tcW w:w="16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D32E00"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314ACF51" w14:textId="77777777" w:rsidTr="00732453">
        <w:trPr>
          <w:cantSplit/>
          <w:trHeight w:hRule="exact" w:val="569"/>
        </w:trPr>
        <w:tc>
          <w:tcPr>
            <w:tcW w:w="2596" w:type="dxa"/>
            <w:tcBorders>
              <w:top w:val="single" w:sz="4" w:space="0" w:color="000000"/>
              <w:left w:val="single" w:sz="4" w:space="0" w:color="000000"/>
              <w:bottom w:val="single" w:sz="4" w:space="0" w:color="000000"/>
            </w:tcBorders>
            <w:shd w:val="clear" w:color="auto" w:fill="auto"/>
            <w:vAlign w:val="center"/>
          </w:tcPr>
          <w:p w14:paraId="5626DB8E" w14:textId="77777777" w:rsidR="008F52C8" w:rsidRPr="0030358C" w:rsidRDefault="00000000" w:rsidP="00732453">
            <w:pPr>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3732" w:type="dxa"/>
            <w:tcBorders>
              <w:top w:val="single" w:sz="4" w:space="0" w:color="000000"/>
              <w:left w:val="single" w:sz="4" w:space="0" w:color="000000"/>
              <w:bottom w:val="single" w:sz="4" w:space="0" w:color="000000"/>
            </w:tcBorders>
            <w:shd w:val="clear" w:color="auto" w:fill="auto"/>
            <w:vAlign w:val="center"/>
          </w:tcPr>
          <w:p w14:paraId="2BC1C5B5" w14:textId="77777777" w:rsidR="008F52C8" w:rsidRPr="0030358C" w:rsidRDefault="00000000" w:rsidP="00732453">
            <w:pPr>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síra a její sloučeniny</w:t>
            </w:r>
            <w:r w:rsidRPr="0030358C">
              <w:rPr>
                <w:rFonts w:ascii="Arial" w:hAnsi="Arial" w:cs="Arial"/>
                <w:b/>
                <w:bCs/>
                <w:sz w:val="22"/>
                <w:szCs w:val="22"/>
                <w:vertAlign w:val="superscript"/>
                <w:lang w:eastAsia="zh-CN"/>
              </w:rPr>
              <w:t>1)</w:t>
            </w:r>
          </w:p>
        </w:tc>
        <w:tc>
          <w:tcPr>
            <w:tcW w:w="1623" w:type="dxa"/>
            <w:vMerge/>
            <w:tcBorders>
              <w:top w:val="single" w:sz="4" w:space="0" w:color="000000"/>
              <w:left w:val="single" w:sz="4" w:space="0" w:color="000000"/>
              <w:bottom w:val="single" w:sz="4" w:space="0" w:color="000000"/>
            </w:tcBorders>
            <w:shd w:val="clear" w:color="auto" w:fill="auto"/>
            <w:vAlign w:val="center"/>
          </w:tcPr>
          <w:p w14:paraId="43CA728B" w14:textId="77777777" w:rsidR="008F52C8" w:rsidRPr="0030358C" w:rsidRDefault="008F52C8" w:rsidP="00732453">
            <w:pPr>
              <w:keepLines/>
              <w:snapToGrid w:val="0"/>
              <w:jc w:val="center"/>
              <w:rPr>
                <w:rFonts w:ascii="Arial" w:hAnsi="Arial" w:cs="Arial"/>
                <w:b/>
                <w:bCs/>
                <w:sz w:val="22"/>
                <w:szCs w:val="22"/>
                <w:lang w:eastAsia="zh-CN"/>
              </w:rPr>
            </w:pPr>
          </w:p>
        </w:tc>
        <w:tc>
          <w:tcPr>
            <w:tcW w:w="16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990467" w14:textId="77777777" w:rsidR="008F52C8" w:rsidRPr="0030358C" w:rsidRDefault="008F52C8" w:rsidP="00732453">
            <w:pPr>
              <w:keepLines/>
              <w:snapToGrid w:val="0"/>
              <w:jc w:val="center"/>
              <w:rPr>
                <w:rFonts w:ascii="Arial" w:hAnsi="Arial" w:cs="Arial"/>
                <w:b/>
                <w:bCs/>
                <w:sz w:val="22"/>
                <w:szCs w:val="22"/>
                <w:lang w:eastAsia="zh-CN"/>
              </w:rPr>
            </w:pPr>
          </w:p>
        </w:tc>
      </w:tr>
      <w:tr w:rsidR="00E40657" w14:paraId="37279007" w14:textId="77777777" w:rsidTr="00732453">
        <w:trPr>
          <w:trHeight w:hRule="exact" w:val="705"/>
        </w:trPr>
        <w:tc>
          <w:tcPr>
            <w:tcW w:w="2596" w:type="dxa"/>
            <w:tcBorders>
              <w:top w:val="single" w:sz="4" w:space="0" w:color="000000"/>
              <w:left w:val="single" w:sz="4" w:space="0" w:color="000000"/>
              <w:bottom w:val="single" w:sz="4" w:space="0" w:color="000000"/>
            </w:tcBorders>
            <w:shd w:val="clear" w:color="auto" w:fill="auto"/>
            <w:vAlign w:val="center"/>
          </w:tcPr>
          <w:p w14:paraId="1E001F7C" w14:textId="77777777" w:rsidR="008F52C8" w:rsidRPr="0030358C" w:rsidRDefault="00000000" w:rsidP="00732453">
            <w:pPr>
              <w:keepLines/>
              <w:snapToGrid w:val="0"/>
              <w:jc w:val="center"/>
              <w:rPr>
                <w:rFonts w:ascii="Arial" w:hAnsi="Arial" w:cs="Arial"/>
                <w:b/>
                <w:bCs/>
                <w:sz w:val="22"/>
                <w:szCs w:val="22"/>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2), 5)</w:t>
            </w:r>
          </w:p>
        </w:tc>
        <w:tc>
          <w:tcPr>
            <w:tcW w:w="3732" w:type="dxa"/>
            <w:tcBorders>
              <w:top w:val="single" w:sz="4" w:space="0" w:color="000000"/>
              <w:left w:val="single" w:sz="4" w:space="0" w:color="000000"/>
              <w:bottom w:val="single" w:sz="4" w:space="0" w:color="000000"/>
            </w:tcBorders>
            <w:shd w:val="clear" w:color="auto" w:fill="auto"/>
            <w:vAlign w:val="center"/>
          </w:tcPr>
          <w:p w14:paraId="05C48F59" w14:textId="77777777" w:rsidR="008F52C8" w:rsidRPr="0030358C" w:rsidRDefault="00000000" w:rsidP="00732453">
            <w:pPr>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2000</w:t>
            </w:r>
            <w:r w:rsidRPr="0030358C">
              <w:rPr>
                <w:rFonts w:ascii="Arial" w:hAnsi="Arial" w:cs="Arial"/>
                <w:b/>
                <w:bCs/>
                <w:sz w:val="22"/>
                <w:szCs w:val="22"/>
                <w:vertAlign w:val="superscript"/>
                <w:lang w:eastAsia="zh-CN"/>
              </w:rPr>
              <w:t>3)</w:t>
            </w:r>
          </w:p>
          <w:p w14:paraId="60BBFEC1" w14:textId="77777777" w:rsidR="008F52C8" w:rsidRPr="0030358C" w:rsidRDefault="00000000" w:rsidP="00732453">
            <w:pPr>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350</w:t>
            </w:r>
            <w:r w:rsidRPr="0030358C">
              <w:rPr>
                <w:rFonts w:ascii="Arial" w:hAnsi="Arial" w:cs="Arial"/>
                <w:b/>
                <w:bCs/>
                <w:sz w:val="22"/>
                <w:szCs w:val="22"/>
                <w:vertAlign w:val="superscript"/>
                <w:lang w:eastAsia="zh-CN"/>
              </w:rPr>
              <w:t>4)</w:t>
            </w:r>
          </w:p>
        </w:tc>
        <w:tc>
          <w:tcPr>
            <w:tcW w:w="1623" w:type="dxa"/>
            <w:tcBorders>
              <w:top w:val="single" w:sz="4" w:space="0" w:color="000000"/>
              <w:left w:val="single" w:sz="4" w:space="0" w:color="000000"/>
              <w:bottom w:val="single" w:sz="4" w:space="0" w:color="000000"/>
            </w:tcBorders>
            <w:shd w:val="clear" w:color="auto" w:fill="auto"/>
            <w:vAlign w:val="center"/>
          </w:tcPr>
          <w:p w14:paraId="27291F83" w14:textId="77777777" w:rsidR="008F52C8" w:rsidRPr="0030358C" w:rsidRDefault="00000000" w:rsidP="00732453">
            <w:pPr>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w:t>
            </w:r>
            <w:r w:rsidRPr="0030358C">
              <w:rPr>
                <w:rFonts w:ascii="Arial" w:hAnsi="Arial" w:cs="Arial"/>
                <w:b/>
                <w:bCs/>
                <w:sz w:val="22"/>
                <w:szCs w:val="22"/>
                <w:vertAlign w:val="superscript"/>
                <w:lang w:eastAsia="zh-CN"/>
              </w:rPr>
              <w:t>2)</w:t>
            </w:r>
          </w:p>
          <w:p w14:paraId="6FAA9F8E" w14:textId="77777777" w:rsidR="008F52C8" w:rsidRPr="0030358C" w:rsidRDefault="00000000" w:rsidP="00732453">
            <w:pPr>
              <w:keepLines/>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6</w:t>
            </w:r>
            <w:r w:rsidRPr="0030358C">
              <w:rPr>
                <w:rFonts w:ascii="Arial" w:hAnsi="Arial" w:cs="Arial"/>
                <w:b/>
                <w:bCs/>
                <w:sz w:val="22"/>
                <w:szCs w:val="22"/>
                <w:vertAlign w:val="superscript"/>
                <w:lang w:eastAsia="zh-CN"/>
              </w:rPr>
              <w:t>5)</w:t>
            </w:r>
          </w:p>
          <w:p w14:paraId="7FB808E9" w14:textId="77777777" w:rsidR="008F52C8" w:rsidRPr="0030358C" w:rsidRDefault="008F52C8" w:rsidP="00732453">
            <w:pPr>
              <w:keepLines/>
              <w:snapToGrid w:val="0"/>
              <w:jc w:val="center"/>
              <w:rPr>
                <w:rFonts w:ascii="Arial" w:hAnsi="Arial" w:cs="Arial"/>
                <w:b/>
                <w:bCs/>
                <w:sz w:val="22"/>
                <w:szCs w:val="22"/>
                <w:vertAlign w:val="superscript"/>
                <w:lang w:eastAsia="zh-CN"/>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ADC70" w14:textId="77777777" w:rsidR="008F52C8" w:rsidRPr="0030358C" w:rsidRDefault="00000000" w:rsidP="00732453">
            <w:pPr>
              <w:keepLines/>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03CD2022" w14:textId="77777777" w:rsidR="008F52C8" w:rsidRPr="0030358C" w:rsidRDefault="00000000" w:rsidP="008F52C8">
      <w:pPr>
        <w:keepLines/>
        <w:spacing w:before="120"/>
        <w:jc w:val="both"/>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6F5665AE" w14:textId="77777777" w:rsidR="008F52C8" w:rsidRPr="0030358C" w:rsidRDefault="00000000" w:rsidP="002E5F15">
      <w:pPr>
        <w:keepLines/>
        <w:suppressAutoHyphens/>
        <w:jc w:val="both"/>
        <w:rPr>
          <w:rFonts w:ascii="Arial" w:hAnsi="Arial" w:cs="Arial"/>
          <w:b/>
          <w:bCs/>
          <w:sz w:val="22"/>
          <w:szCs w:val="22"/>
          <w:lang w:eastAsia="zh-CN"/>
        </w:rPr>
      </w:pPr>
      <w:r w:rsidRPr="0030358C">
        <w:rPr>
          <w:rFonts w:ascii="Arial" w:hAnsi="Arial" w:cs="Arial"/>
          <w:b/>
          <w:bCs/>
          <w:iCs/>
          <w:sz w:val="22"/>
          <w:szCs w:val="22"/>
          <w:lang w:eastAsia="zh-CN"/>
        </w:rPr>
        <w:t xml:space="preserve">1) Vyjádřené jako síra na hmotnostní </w:t>
      </w:r>
      <w:r w:rsidRPr="0030358C">
        <w:rPr>
          <w:rFonts w:ascii="Arial" w:hAnsi="Arial" w:cs="Arial"/>
          <w:b/>
          <w:bCs/>
          <w:sz w:val="22"/>
          <w:szCs w:val="22"/>
          <w:lang w:eastAsia="zh-CN"/>
        </w:rPr>
        <w:t>jednotku vyrobené absolutně suché vařákové buničiny.</w:t>
      </w:r>
    </w:p>
    <w:p w14:paraId="6087C04A" w14:textId="77777777" w:rsidR="008F52C8" w:rsidRPr="0030358C" w:rsidRDefault="00000000" w:rsidP="002E5F15">
      <w:pPr>
        <w:keepLines/>
        <w:widowControl w:val="0"/>
        <w:tabs>
          <w:tab w:val="left" w:pos="426"/>
        </w:tabs>
        <w:suppressAutoHyphens/>
        <w:autoSpaceDE w:val="0"/>
        <w:snapToGrid w:val="0"/>
        <w:jc w:val="both"/>
        <w:rPr>
          <w:rFonts w:ascii="Arial" w:hAnsi="Arial" w:cs="Arial"/>
          <w:b/>
          <w:bCs/>
          <w:sz w:val="22"/>
          <w:szCs w:val="22"/>
          <w:lang w:eastAsia="zh-CN"/>
        </w:rPr>
      </w:pPr>
      <w:r w:rsidRPr="0030358C">
        <w:rPr>
          <w:rFonts w:ascii="Arial" w:hAnsi="Arial" w:cs="Arial"/>
          <w:b/>
          <w:bCs/>
          <w:sz w:val="22"/>
          <w:szCs w:val="22"/>
          <w:lang w:eastAsia="zh-CN"/>
        </w:rPr>
        <w:t xml:space="preserve">2) Platí pro regenerační kotle při sulfitovém způsobu výroby. </w:t>
      </w:r>
    </w:p>
    <w:p w14:paraId="52E8CF4B" w14:textId="77777777" w:rsidR="008F52C8" w:rsidRPr="0030358C" w:rsidRDefault="00000000" w:rsidP="002E5F15">
      <w:pPr>
        <w:keepLines/>
        <w:widowControl w:val="0"/>
        <w:tabs>
          <w:tab w:val="left" w:pos="426"/>
        </w:tabs>
        <w:suppressAutoHyphens/>
        <w:autoSpaceDE w:val="0"/>
        <w:snapToGrid w:val="0"/>
        <w:jc w:val="both"/>
        <w:rPr>
          <w:rFonts w:ascii="Arial" w:hAnsi="Arial" w:cs="Arial"/>
          <w:b/>
          <w:bCs/>
          <w:iCs/>
          <w:sz w:val="22"/>
          <w:szCs w:val="22"/>
          <w:lang w:eastAsia="zh-CN"/>
        </w:rPr>
      </w:pPr>
      <w:r w:rsidRPr="0030358C">
        <w:rPr>
          <w:rFonts w:ascii="Arial" w:hAnsi="Arial" w:cs="Arial"/>
          <w:b/>
          <w:bCs/>
          <w:sz w:val="22"/>
          <w:szCs w:val="22"/>
          <w:lang w:eastAsia="zh-CN"/>
        </w:rPr>
        <w:t>3) Platí při sulfitovém způsobu výroby včetně emisí ze spalování sulfitových výluhů.</w:t>
      </w:r>
      <w:r w:rsidRPr="0030358C">
        <w:rPr>
          <w:rFonts w:ascii="Arial" w:hAnsi="Arial" w:cs="Arial"/>
          <w:b/>
          <w:bCs/>
          <w:sz w:val="22"/>
          <w:szCs w:val="22"/>
          <w:lang w:eastAsia="zh-CN"/>
        </w:rPr>
        <w:tab/>
      </w:r>
      <w:r w:rsidRPr="0030358C">
        <w:rPr>
          <w:rFonts w:ascii="Arial" w:hAnsi="Arial" w:cs="Arial"/>
          <w:b/>
          <w:bCs/>
          <w:iCs/>
          <w:sz w:val="22"/>
          <w:szCs w:val="22"/>
          <w:lang w:eastAsia="zh-CN"/>
        </w:rPr>
        <w:t xml:space="preserve"> </w:t>
      </w:r>
    </w:p>
    <w:p w14:paraId="4865461D" w14:textId="77777777" w:rsidR="008F52C8" w:rsidRPr="0030358C" w:rsidRDefault="00000000" w:rsidP="002E5F15">
      <w:pPr>
        <w:keepNext/>
        <w:keepLines/>
        <w:tabs>
          <w:tab w:val="left" w:pos="284"/>
        </w:tabs>
        <w:suppressAutoHyphens/>
        <w:autoSpaceDE w:val="0"/>
        <w:snapToGrid w:val="0"/>
        <w:jc w:val="both"/>
        <w:rPr>
          <w:rFonts w:ascii="Arial" w:hAnsi="Arial" w:cs="Arial"/>
          <w:b/>
          <w:bCs/>
          <w:sz w:val="22"/>
          <w:szCs w:val="22"/>
          <w:lang w:eastAsia="zh-CN"/>
        </w:rPr>
      </w:pPr>
      <w:r w:rsidRPr="0030358C">
        <w:rPr>
          <w:rFonts w:ascii="Arial" w:hAnsi="Arial" w:cs="Arial"/>
          <w:b/>
          <w:bCs/>
          <w:sz w:val="22"/>
          <w:szCs w:val="22"/>
          <w:lang w:eastAsia="zh-CN"/>
        </w:rPr>
        <w:t>4) Platí při sulfátovém způsobu výroby pro centrálním odstraňování zapáchajících látek.</w:t>
      </w:r>
    </w:p>
    <w:p w14:paraId="703FA684" w14:textId="77777777" w:rsidR="008F52C8" w:rsidRPr="0030358C" w:rsidRDefault="00000000" w:rsidP="002E5F15">
      <w:pPr>
        <w:keepNext/>
        <w:keepLines/>
        <w:tabs>
          <w:tab w:val="left" w:pos="284"/>
        </w:tabs>
        <w:suppressAutoHyphens/>
        <w:autoSpaceDE w:val="0"/>
        <w:snapToGrid w:val="0"/>
        <w:jc w:val="both"/>
        <w:rPr>
          <w:rFonts w:ascii="Arial" w:hAnsi="Arial" w:cs="Arial"/>
          <w:b/>
          <w:bCs/>
          <w:sz w:val="22"/>
          <w:szCs w:val="22"/>
          <w:lang w:eastAsia="zh-CN"/>
        </w:rPr>
      </w:pPr>
      <w:r w:rsidRPr="0030358C">
        <w:rPr>
          <w:rFonts w:ascii="Arial" w:hAnsi="Arial" w:cs="Arial"/>
          <w:b/>
          <w:bCs/>
          <w:sz w:val="22"/>
          <w:szCs w:val="22"/>
          <w:lang w:eastAsia="zh-CN"/>
        </w:rPr>
        <w:t>5) Platí pro regenerační kotle a vápenné pece při sulfátovém způsobu výroby.</w:t>
      </w:r>
    </w:p>
    <w:p w14:paraId="54E409F1" w14:textId="77777777" w:rsidR="008F52C8" w:rsidRPr="0030358C" w:rsidRDefault="008F52C8" w:rsidP="008F52C8">
      <w:pPr>
        <w:keepNext/>
        <w:keepLines/>
        <w:tabs>
          <w:tab w:val="left" w:pos="284"/>
        </w:tabs>
        <w:autoSpaceDE w:val="0"/>
        <w:snapToGrid w:val="0"/>
        <w:ind w:left="360"/>
        <w:jc w:val="both"/>
        <w:rPr>
          <w:rFonts w:ascii="Arial" w:hAnsi="Arial" w:cs="Arial"/>
          <w:b/>
          <w:bCs/>
          <w:sz w:val="22"/>
          <w:szCs w:val="22"/>
          <w:lang w:eastAsia="zh-CN"/>
        </w:rPr>
      </w:pPr>
    </w:p>
    <w:p w14:paraId="4B5E4348" w14:textId="77777777" w:rsidR="008F52C8" w:rsidRPr="0030358C" w:rsidRDefault="00000000" w:rsidP="008F52C8">
      <w:pPr>
        <w:keepNext/>
        <w:keepLines/>
        <w:autoSpaceDE w:val="0"/>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7A480E19"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Za účelem předcházení emisí znečišťujících látek obtěžujících zápachem využívat opatření ke snižování emisí znečišťujících látek, např. provedením místního nebo centrálního odsávání odpadních plynů z varny, z odparky, vyvařovací kolony do zařízení ke snižování emisí.</w:t>
      </w:r>
    </w:p>
    <w:p w14:paraId="3951D955" w14:textId="77777777" w:rsidR="008F52C8" w:rsidRPr="0030358C" w:rsidRDefault="008F52C8" w:rsidP="008F52C8">
      <w:pPr>
        <w:keepNext/>
        <w:keepLines/>
        <w:autoSpaceDE w:val="0"/>
        <w:jc w:val="both"/>
        <w:rPr>
          <w:rFonts w:ascii="Arial" w:hAnsi="Arial" w:cs="Arial"/>
          <w:b/>
          <w:bCs/>
          <w:sz w:val="22"/>
          <w:szCs w:val="22"/>
          <w:lang w:eastAsia="zh-CN"/>
        </w:rPr>
      </w:pPr>
    </w:p>
    <w:p w14:paraId="140B5C49" w14:textId="77777777" w:rsidR="008F52C8" w:rsidRPr="0030358C" w:rsidRDefault="008F52C8" w:rsidP="008F52C8">
      <w:pPr>
        <w:keepNext/>
        <w:keepLines/>
        <w:autoSpaceDE w:val="0"/>
        <w:jc w:val="both"/>
        <w:rPr>
          <w:rFonts w:ascii="Arial" w:hAnsi="Arial" w:cs="Arial"/>
          <w:b/>
          <w:bCs/>
          <w:sz w:val="22"/>
          <w:szCs w:val="22"/>
          <w:lang w:eastAsia="zh-CN"/>
        </w:rPr>
      </w:pPr>
    </w:p>
    <w:p w14:paraId="12E01E29"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6.9. Výroby papíru nebo lepenky, které nespadají pod bod 6.8. (kód 7.10. dle přílohy č. 2 zákona)</w:t>
      </w:r>
    </w:p>
    <w:p w14:paraId="3AF1C2DE" w14:textId="77777777" w:rsidR="008F52C8" w:rsidRPr="0030358C" w:rsidRDefault="00000000" w:rsidP="008F52C8">
      <w:pPr>
        <w:spacing w:before="60"/>
        <w:jc w:val="both"/>
        <w:rPr>
          <w:rFonts w:ascii="Arial" w:hAnsi="Arial" w:cs="Arial"/>
          <w:b/>
          <w:bCs/>
          <w:sz w:val="22"/>
          <w:szCs w:val="22"/>
          <w:lang w:eastAsia="zh-CN"/>
        </w:rPr>
      </w:pPr>
      <w:r w:rsidRPr="0030358C">
        <w:rPr>
          <w:rFonts w:ascii="Arial" w:hAnsi="Arial" w:cs="Arial"/>
          <w:b/>
          <w:bCs/>
          <w:sz w:val="22"/>
          <w:szCs w:val="22"/>
          <w:lang w:eastAsia="zh-CN"/>
        </w:rPr>
        <w:t>Platí pro výroby papíru a lepenky papírenskou technologií, které přímo nenavazují na výrobu buničiny nebo výroby lepenky z papíru.</w:t>
      </w:r>
    </w:p>
    <w:tbl>
      <w:tblPr>
        <w:tblW w:w="0" w:type="auto"/>
        <w:tblInd w:w="-15" w:type="dxa"/>
        <w:tblLayout w:type="fixed"/>
        <w:tblLook w:val="0000" w:firstRow="0" w:lastRow="0" w:firstColumn="0" w:lastColumn="0" w:noHBand="0" w:noVBand="0"/>
      </w:tblPr>
      <w:tblGrid>
        <w:gridCol w:w="5110"/>
        <w:gridCol w:w="4490"/>
      </w:tblGrid>
      <w:tr w:rsidR="00E40657" w14:paraId="7BCFF79E" w14:textId="77777777" w:rsidTr="00732453">
        <w:trPr>
          <w:cantSplit/>
          <w:trHeight w:hRule="exact" w:val="630"/>
        </w:trPr>
        <w:tc>
          <w:tcPr>
            <w:tcW w:w="5110" w:type="dxa"/>
            <w:tcBorders>
              <w:top w:val="single" w:sz="4" w:space="0" w:color="000000"/>
              <w:left w:val="single" w:sz="4" w:space="0" w:color="000000"/>
              <w:bottom w:val="single" w:sz="4" w:space="0" w:color="000000"/>
            </w:tcBorders>
            <w:shd w:val="clear" w:color="auto" w:fill="auto"/>
            <w:vAlign w:val="center"/>
          </w:tcPr>
          <w:p w14:paraId="67CD8C6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0F9E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C56B8BC" w14:textId="77777777" w:rsidTr="00732453">
        <w:trPr>
          <w:cantSplit/>
          <w:trHeight w:val="439"/>
        </w:trPr>
        <w:tc>
          <w:tcPr>
            <w:tcW w:w="5110" w:type="dxa"/>
            <w:tcBorders>
              <w:left w:val="single" w:sz="4" w:space="0" w:color="000000"/>
              <w:bottom w:val="single" w:sz="4" w:space="0" w:color="000000"/>
            </w:tcBorders>
            <w:shd w:val="clear" w:color="auto" w:fill="auto"/>
            <w:vAlign w:val="center"/>
          </w:tcPr>
          <w:p w14:paraId="745B6D65"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TOC</w:t>
            </w:r>
            <w:r w:rsidRPr="0030358C">
              <w:rPr>
                <w:rFonts w:ascii="Arial" w:hAnsi="Arial" w:cs="Arial"/>
                <w:b/>
                <w:bCs/>
                <w:sz w:val="22"/>
                <w:szCs w:val="22"/>
                <w:vertAlign w:val="superscript"/>
                <w:lang w:eastAsia="zh-CN"/>
              </w:rPr>
              <w:t>1)</w:t>
            </w:r>
          </w:p>
        </w:tc>
        <w:tc>
          <w:tcPr>
            <w:tcW w:w="4490" w:type="dxa"/>
            <w:vMerge w:val="restart"/>
            <w:tcBorders>
              <w:top w:val="single" w:sz="4" w:space="0" w:color="000000"/>
              <w:left w:val="single" w:sz="4" w:space="0" w:color="000000"/>
              <w:right w:val="single" w:sz="4" w:space="0" w:color="000000"/>
            </w:tcBorders>
            <w:shd w:val="clear" w:color="auto" w:fill="auto"/>
            <w:vAlign w:val="center"/>
          </w:tcPr>
          <w:p w14:paraId="7280A56A"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B</w:t>
            </w:r>
          </w:p>
        </w:tc>
      </w:tr>
      <w:tr w:rsidR="00E40657" w14:paraId="7B3D2F0C" w14:textId="77777777" w:rsidTr="00732453">
        <w:trPr>
          <w:cantSplit/>
          <w:trHeight w:val="439"/>
        </w:trPr>
        <w:tc>
          <w:tcPr>
            <w:tcW w:w="5110" w:type="dxa"/>
            <w:tcBorders>
              <w:left w:val="single" w:sz="4" w:space="0" w:color="000000"/>
              <w:bottom w:val="single" w:sz="4" w:space="0" w:color="000000"/>
            </w:tcBorders>
            <w:shd w:val="clear" w:color="auto" w:fill="auto"/>
            <w:vAlign w:val="center"/>
          </w:tcPr>
          <w:p w14:paraId="35F9ED6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40</w:t>
            </w:r>
          </w:p>
        </w:tc>
        <w:tc>
          <w:tcPr>
            <w:tcW w:w="4490" w:type="dxa"/>
            <w:vMerge/>
            <w:tcBorders>
              <w:left w:val="single" w:sz="4" w:space="0" w:color="000000"/>
              <w:bottom w:val="single" w:sz="4" w:space="0" w:color="000000"/>
              <w:right w:val="single" w:sz="4" w:space="0" w:color="000000"/>
            </w:tcBorders>
            <w:shd w:val="clear" w:color="auto" w:fill="auto"/>
            <w:vAlign w:val="center"/>
          </w:tcPr>
          <w:p w14:paraId="50161C01" w14:textId="77777777" w:rsidR="008F52C8" w:rsidRPr="0030358C" w:rsidRDefault="008F52C8" w:rsidP="00732453">
            <w:pPr>
              <w:snapToGrid w:val="0"/>
              <w:jc w:val="center"/>
              <w:rPr>
                <w:rFonts w:ascii="Arial" w:hAnsi="Arial" w:cs="Arial"/>
                <w:b/>
                <w:bCs/>
                <w:sz w:val="22"/>
                <w:szCs w:val="22"/>
                <w:lang w:eastAsia="zh-CN"/>
              </w:rPr>
            </w:pPr>
          </w:p>
        </w:tc>
      </w:tr>
    </w:tbl>
    <w:p w14:paraId="7542D3A5"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Vysvětlivka</w:t>
      </w:r>
      <w:r w:rsidRPr="0030358C">
        <w:rPr>
          <w:rFonts w:ascii="Arial" w:hAnsi="Arial" w:cs="Arial"/>
          <w:b/>
          <w:bCs/>
          <w:sz w:val="22"/>
          <w:szCs w:val="22"/>
          <w:lang w:eastAsia="cs-CZ"/>
        </w:rPr>
        <w:t>:</w:t>
      </w:r>
    </w:p>
    <w:p w14:paraId="1FBE5D8D" w14:textId="77777777" w:rsidR="008F52C8" w:rsidRPr="0030358C" w:rsidRDefault="00000000" w:rsidP="008F52C8">
      <w:pPr>
        <w:spacing w:before="60"/>
        <w:rPr>
          <w:rFonts w:ascii="Arial" w:hAnsi="Arial" w:cs="Arial"/>
          <w:b/>
          <w:bCs/>
          <w:sz w:val="22"/>
          <w:szCs w:val="22"/>
          <w:lang w:eastAsia="cs-CZ"/>
        </w:rPr>
      </w:pPr>
      <w:r w:rsidRPr="0030358C">
        <w:rPr>
          <w:rFonts w:ascii="Arial" w:hAnsi="Arial" w:cs="Arial"/>
          <w:b/>
          <w:bCs/>
          <w:sz w:val="22"/>
          <w:szCs w:val="22"/>
          <w:lang w:eastAsia="cs-CZ"/>
        </w:rPr>
        <w:t>1) Platí při impregnaci s použitím těkavých organických látek a při výrobě speciálních papírů s použitím těkavých organických látek ve výrobním procesu.</w:t>
      </w:r>
    </w:p>
    <w:p w14:paraId="6517A065" w14:textId="77777777" w:rsidR="008F52C8" w:rsidRPr="0030358C" w:rsidRDefault="008F52C8" w:rsidP="008F52C8">
      <w:pPr>
        <w:spacing w:before="120" w:after="120"/>
        <w:ind w:left="2880"/>
        <w:rPr>
          <w:rFonts w:ascii="Arial" w:hAnsi="Arial" w:cs="Arial"/>
          <w:b/>
          <w:bCs/>
          <w:sz w:val="22"/>
          <w:szCs w:val="22"/>
          <w:lang w:eastAsia="zh-CN"/>
        </w:rPr>
      </w:pPr>
    </w:p>
    <w:p w14:paraId="5671290B" w14:textId="77777777" w:rsidR="008F52C8" w:rsidRPr="0030358C" w:rsidRDefault="00000000" w:rsidP="008F52C8">
      <w:pPr>
        <w:keepNext/>
        <w:numPr>
          <w:ilvl w:val="2"/>
          <w:numId w:val="0"/>
        </w:numPr>
        <w:tabs>
          <w:tab w:val="num" w:pos="0"/>
        </w:tab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lastRenderedPageBreak/>
        <w:t>6.10. Předúpravy (operace jako praní, bělení, mercerace) nebo barvení vláken či textilií; technologická linka, jejíž celková projektovaná zpracovatelská kapacita je 10 t za den a více (kód 7.11. dle přílohy č. 2 zákona)</w:t>
      </w:r>
    </w:p>
    <w:p w14:paraId="4E40697B" w14:textId="77777777" w:rsidR="008F52C8" w:rsidRPr="0030358C" w:rsidRDefault="008F52C8" w:rsidP="008F52C8">
      <w:pPr>
        <w:keepNext/>
        <w:keepLines/>
        <w:rPr>
          <w:rFonts w:ascii="Arial" w:hAnsi="Arial" w:cs="Arial"/>
          <w:b/>
          <w:bCs/>
          <w:sz w:val="22"/>
          <w:szCs w:val="22"/>
          <w:lang w:eastAsia="zh-CN"/>
        </w:rPr>
      </w:pPr>
    </w:p>
    <w:p w14:paraId="181B6F66"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6F8D5C1E" w14:textId="77777777" w:rsidR="008F52C8" w:rsidRPr="0030358C" w:rsidRDefault="00000000" w:rsidP="008F52C8">
      <w:pPr>
        <w:keepNext/>
        <w:numPr>
          <w:ilvl w:val="2"/>
          <w:numId w:val="0"/>
        </w:numPr>
        <w:tabs>
          <w:tab w:val="num" w:pos="0"/>
        </w:tab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 xml:space="preserve">Za účelem předcházení emisí znečišťujících látek obtěžujících zápachem využívat opatření ke snižování emisí znečišťujících látek, například odsávání odpadních plynů do zařízení ke snižování emisí. </w:t>
      </w:r>
    </w:p>
    <w:p w14:paraId="1D13D05B" w14:textId="77777777" w:rsidR="008F52C8" w:rsidRPr="0030358C" w:rsidRDefault="008F52C8" w:rsidP="008F52C8">
      <w:pPr>
        <w:rPr>
          <w:rFonts w:ascii="Arial" w:hAnsi="Arial" w:cs="Arial"/>
          <w:b/>
          <w:bCs/>
          <w:sz w:val="22"/>
          <w:szCs w:val="22"/>
          <w:lang w:eastAsia="zh-CN"/>
        </w:rPr>
      </w:pPr>
    </w:p>
    <w:p w14:paraId="1C2CE470" w14:textId="77777777" w:rsidR="008F52C8" w:rsidRPr="0030358C" w:rsidRDefault="00000000" w:rsidP="008F52C8">
      <w:pPr>
        <w:keepNext/>
        <w:numPr>
          <w:ilvl w:val="2"/>
          <w:numId w:val="0"/>
        </w:numPr>
        <w:tabs>
          <w:tab w:val="num" w:pos="0"/>
        </w:tabs>
        <w:spacing w:before="60"/>
        <w:ind w:left="720" w:hanging="720"/>
        <w:jc w:val="both"/>
        <w:outlineLvl w:val="2"/>
        <w:rPr>
          <w:rFonts w:ascii="Arial" w:hAnsi="Arial" w:cs="Arial"/>
          <w:b/>
          <w:bCs/>
          <w:sz w:val="22"/>
          <w:szCs w:val="22"/>
          <w:lang w:eastAsia="zh-CN"/>
        </w:rPr>
      </w:pPr>
      <w:r w:rsidRPr="0030358C">
        <w:rPr>
          <w:rFonts w:ascii="Arial" w:hAnsi="Arial" w:cs="Arial"/>
          <w:b/>
          <w:bCs/>
          <w:sz w:val="22"/>
          <w:szCs w:val="22"/>
          <w:lang w:eastAsia="zh-CN"/>
        </w:rPr>
        <w:t>6.11. Vydělávání kůží nebo kožešin (kód 7.12. dle přílohy č. 2 zákona)</w:t>
      </w:r>
    </w:p>
    <w:p w14:paraId="01446B11" w14:textId="77777777" w:rsidR="008F52C8" w:rsidRPr="0030358C" w:rsidRDefault="008F52C8" w:rsidP="008F52C8">
      <w:pPr>
        <w:keepNext/>
        <w:keepLines/>
        <w:rPr>
          <w:rFonts w:ascii="Arial" w:hAnsi="Arial" w:cs="Arial"/>
          <w:b/>
          <w:bCs/>
          <w:i/>
          <w:sz w:val="22"/>
          <w:szCs w:val="22"/>
          <w:lang w:eastAsia="zh-CN"/>
        </w:rPr>
      </w:pPr>
    </w:p>
    <w:p w14:paraId="38CC1E81" w14:textId="77777777" w:rsidR="008F52C8" w:rsidRPr="0030358C" w:rsidRDefault="00000000" w:rsidP="008F52C8">
      <w:pPr>
        <w:keepNext/>
        <w:keepLines/>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09BAFE9A" w14:textId="77777777" w:rsidR="008F52C8" w:rsidRPr="0030358C" w:rsidRDefault="00000000" w:rsidP="008F52C8">
      <w:pPr>
        <w:keepNext/>
        <w:numPr>
          <w:ilvl w:val="2"/>
          <w:numId w:val="0"/>
        </w:numPr>
        <w:tabs>
          <w:tab w:val="num" w:pos="0"/>
        </w:tabs>
        <w:spacing w:before="60" w:line="300" w:lineRule="exact"/>
        <w:jc w:val="both"/>
        <w:outlineLvl w:val="2"/>
        <w:rPr>
          <w:rFonts w:ascii="Arial" w:hAnsi="Arial" w:cs="Arial"/>
          <w:b/>
          <w:bCs/>
          <w:sz w:val="22"/>
          <w:szCs w:val="22"/>
          <w:lang w:eastAsia="zh-CN"/>
        </w:rPr>
      </w:pPr>
      <w:r w:rsidRPr="0030358C">
        <w:rPr>
          <w:rFonts w:ascii="Arial" w:hAnsi="Arial" w:cs="Arial"/>
          <w:b/>
          <w:bCs/>
          <w:sz w:val="22"/>
          <w:szCs w:val="22"/>
          <w:lang w:eastAsia="zh-CN"/>
        </w:rPr>
        <w:t>Za účelem předcházení emisím znečišťujících látek obtěžujících zápachem zajistit např. pravidelnou údržbu a čištění výrobních zařízení a skladovacích prostor, surové kůže a odpady skladovat v uzavřených prostorech, popřípadě prostory chladit, řízené odsávání emisí těchto látek do zařízení ke snižování emisí (např. mokrá pračka, biofiltr).</w:t>
      </w:r>
    </w:p>
    <w:p w14:paraId="65C620AD" w14:textId="77777777" w:rsidR="008F52C8" w:rsidRPr="0030358C" w:rsidRDefault="00000000" w:rsidP="008F52C8">
      <w:pPr>
        <w:keepNext/>
        <w:keepLines/>
        <w:jc w:val="both"/>
        <w:rPr>
          <w:rFonts w:ascii="Arial" w:hAnsi="Arial" w:cs="Arial"/>
          <w:b/>
          <w:bCs/>
          <w:sz w:val="22"/>
          <w:szCs w:val="22"/>
          <w:lang w:eastAsia="zh-CN"/>
        </w:rPr>
      </w:pPr>
      <w:r w:rsidRPr="0030358C">
        <w:rPr>
          <w:rFonts w:ascii="Arial" w:hAnsi="Arial" w:cs="Arial"/>
          <w:b/>
          <w:bCs/>
          <w:sz w:val="22"/>
          <w:szCs w:val="22"/>
          <w:lang w:eastAsia="zh-CN"/>
        </w:rPr>
        <w:t>Technická podmínka provozu neplatí pro provozy s projektovanou kapacitou nižší než 12 t hotových výrobků ročně.</w:t>
      </w:r>
    </w:p>
    <w:p w14:paraId="7CE078AB" w14:textId="77777777" w:rsidR="008F52C8" w:rsidRPr="0030358C" w:rsidRDefault="008F52C8" w:rsidP="008F52C8">
      <w:pPr>
        <w:rPr>
          <w:rFonts w:ascii="Arial" w:hAnsi="Arial" w:cs="Arial"/>
          <w:b/>
          <w:bCs/>
          <w:sz w:val="22"/>
          <w:szCs w:val="22"/>
          <w:lang w:eastAsia="zh-CN"/>
        </w:rPr>
      </w:pPr>
    </w:p>
    <w:p w14:paraId="4A822092" w14:textId="77777777" w:rsidR="00067E26" w:rsidRPr="0030358C" w:rsidRDefault="00067E26" w:rsidP="008F52C8">
      <w:pPr>
        <w:keepNext/>
        <w:numPr>
          <w:ilvl w:val="2"/>
          <w:numId w:val="0"/>
        </w:numPr>
        <w:tabs>
          <w:tab w:val="num" w:pos="0"/>
        </w:tabs>
        <w:spacing w:before="60"/>
        <w:jc w:val="both"/>
        <w:outlineLvl w:val="2"/>
        <w:rPr>
          <w:rFonts w:ascii="Arial" w:hAnsi="Arial" w:cs="Arial"/>
          <w:b/>
          <w:bCs/>
          <w:sz w:val="22"/>
          <w:szCs w:val="22"/>
          <w:lang w:eastAsia="zh-CN"/>
        </w:rPr>
      </w:pPr>
    </w:p>
    <w:p w14:paraId="7D2862F8" w14:textId="77777777" w:rsidR="008F52C8" w:rsidRPr="0030358C" w:rsidRDefault="00000000" w:rsidP="008F52C8">
      <w:pPr>
        <w:keepNext/>
        <w:numPr>
          <w:ilvl w:val="2"/>
          <w:numId w:val="0"/>
        </w:numPr>
        <w:tabs>
          <w:tab w:val="num" w:pos="0"/>
        </w:tabs>
        <w:spacing w:before="60"/>
        <w:jc w:val="both"/>
        <w:outlineLvl w:val="2"/>
        <w:rPr>
          <w:rFonts w:ascii="Arial" w:hAnsi="Arial" w:cs="Arial"/>
          <w:b/>
          <w:bCs/>
          <w:sz w:val="22"/>
          <w:szCs w:val="22"/>
          <w:lang w:eastAsia="zh-CN"/>
        </w:rPr>
      </w:pPr>
      <w:r w:rsidRPr="0030358C">
        <w:rPr>
          <w:rFonts w:ascii="Arial" w:hAnsi="Arial" w:cs="Arial"/>
          <w:b/>
          <w:bCs/>
          <w:sz w:val="22"/>
          <w:szCs w:val="22"/>
          <w:lang w:eastAsia="zh-CN"/>
        </w:rPr>
        <w:t>6.12. Zařízení na výrobu uhlíku (vysokoteplotní karbonizací uhlí) nebo elekrografitu vypalováním nebo grafitací, výroba nebo zpracování grafitu (kód 7.14. dle přílohy č. 2 zákona)</w:t>
      </w:r>
    </w:p>
    <w:tbl>
      <w:tblPr>
        <w:tblW w:w="0" w:type="auto"/>
        <w:tblInd w:w="-15" w:type="dxa"/>
        <w:tblLayout w:type="fixed"/>
        <w:tblLook w:val="0000" w:firstRow="0" w:lastRow="0" w:firstColumn="0" w:lastColumn="0" w:noHBand="0" w:noVBand="0"/>
      </w:tblPr>
      <w:tblGrid>
        <w:gridCol w:w="2390"/>
        <w:gridCol w:w="2391"/>
        <w:gridCol w:w="2391"/>
        <w:gridCol w:w="2428"/>
      </w:tblGrid>
      <w:tr w:rsidR="00E40657" w14:paraId="26A15FA3" w14:textId="77777777" w:rsidTr="00732453">
        <w:trPr>
          <w:cantSplit/>
          <w:trHeight w:hRule="exact" w:val="340"/>
        </w:trPr>
        <w:tc>
          <w:tcPr>
            <w:tcW w:w="7172" w:type="dxa"/>
            <w:gridSpan w:val="3"/>
            <w:tcBorders>
              <w:top w:val="single" w:sz="4" w:space="0" w:color="000000"/>
              <w:left w:val="single" w:sz="4" w:space="0" w:color="000000"/>
              <w:bottom w:val="single" w:sz="6" w:space="0" w:color="000000"/>
            </w:tcBorders>
            <w:shd w:val="clear" w:color="auto" w:fill="auto"/>
            <w:vAlign w:val="center"/>
          </w:tcPr>
          <w:p w14:paraId="1169AD7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2428"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14:paraId="1E2FB0E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45AD3667" w14:textId="77777777" w:rsidTr="00732453">
        <w:trPr>
          <w:cantSplit/>
          <w:trHeight w:hRule="exact" w:val="340"/>
        </w:trPr>
        <w:tc>
          <w:tcPr>
            <w:tcW w:w="2390" w:type="dxa"/>
            <w:tcBorders>
              <w:top w:val="single" w:sz="6" w:space="0" w:color="000000"/>
              <w:left w:val="single" w:sz="4" w:space="0" w:color="000000"/>
              <w:bottom w:val="single" w:sz="6" w:space="0" w:color="000000"/>
            </w:tcBorders>
            <w:shd w:val="clear" w:color="auto" w:fill="auto"/>
            <w:vAlign w:val="center"/>
          </w:tcPr>
          <w:p w14:paraId="17DEB70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391" w:type="dxa"/>
            <w:tcBorders>
              <w:top w:val="single" w:sz="6" w:space="0" w:color="000000"/>
              <w:left w:val="single" w:sz="6" w:space="0" w:color="000000"/>
              <w:bottom w:val="single" w:sz="6" w:space="0" w:color="000000"/>
            </w:tcBorders>
            <w:shd w:val="clear" w:color="auto" w:fill="auto"/>
            <w:vAlign w:val="center"/>
          </w:tcPr>
          <w:p w14:paraId="56202D9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2391" w:type="dxa"/>
            <w:tcBorders>
              <w:top w:val="single" w:sz="6" w:space="0" w:color="000000"/>
              <w:left w:val="single" w:sz="6" w:space="0" w:color="000000"/>
              <w:bottom w:val="single" w:sz="6" w:space="0" w:color="000000"/>
            </w:tcBorders>
            <w:shd w:val="clear" w:color="auto" w:fill="auto"/>
            <w:vAlign w:val="center"/>
          </w:tcPr>
          <w:p w14:paraId="2B8277A4"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PAH</w:t>
            </w:r>
            <w:r w:rsidRPr="0030358C">
              <w:rPr>
                <w:rFonts w:ascii="Arial" w:hAnsi="Arial" w:cs="Arial"/>
                <w:b/>
                <w:bCs/>
                <w:sz w:val="22"/>
                <w:szCs w:val="22"/>
                <w:vertAlign w:val="superscript"/>
                <w:lang w:eastAsia="zh-CN"/>
              </w:rPr>
              <w:t>4)</w:t>
            </w:r>
          </w:p>
        </w:tc>
        <w:tc>
          <w:tcPr>
            <w:tcW w:w="2428"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47348A5F" w14:textId="77777777" w:rsidR="008F52C8" w:rsidRPr="0030358C" w:rsidRDefault="008F52C8" w:rsidP="00732453">
            <w:pPr>
              <w:snapToGrid w:val="0"/>
              <w:rPr>
                <w:rFonts w:ascii="Arial" w:hAnsi="Arial" w:cs="Arial"/>
                <w:b/>
                <w:bCs/>
                <w:sz w:val="22"/>
                <w:szCs w:val="22"/>
                <w:lang w:eastAsia="zh-CN"/>
              </w:rPr>
            </w:pPr>
          </w:p>
        </w:tc>
      </w:tr>
      <w:tr w:rsidR="00E40657" w14:paraId="6B61CE48" w14:textId="77777777" w:rsidTr="00732453">
        <w:trPr>
          <w:trHeight w:hRule="exact" w:val="935"/>
        </w:trPr>
        <w:tc>
          <w:tcPr>
            <w:tcW w:w="2390" w:type="dxa"/>
            <w:tcBorders>
              <w:top w:val="single" w:sz="6" w:space="0" w:color="000000"/>
              <w:left w:val="single" w:sz="4" w:space="0" w:color="000000"/>
              <w:bottom w:val="single" w:sz="4" w:space="0" w:color="000000"/>
            </w:tcBorders>
            <w:shd w:val="clear" w:color="auto" w:fill="auto"/>
            <w:vAlign w:val="center"/>
          </w:tcPr>
          <w:p w14:paraId="210CE9BB"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2391" w:type="dxa"/>
            <w:tcBorders>
              <w:top w:val="single" w:sz="6" w:space="0" w:color="000000"/>
              <w:left w:val="single" w:sz="6" w:space="0" w:color="000000"/>
              <w:bottom w:val="single" w:sz="4" w:space="0" w:color="000000"/>
            </w:tcBorders>
            <w:shd w:val="clear" w:color="auto" w:fill="auto"/>
            <w:vAlign w:val="center"/>
          </w:tcPr>
          <w:p w14:paraId="076F7C62"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100</w:t>
            </w:r>
            <w:r w:rsidRPr="0030358C">
              <w:rPr>
                <w:rFonts w:ascii="Arial" w:hAnsi="Arial" w:cs="Arial"/>
                <w:b/>
                <w:bCs/>
                <w:sz w:val="22"/>
                <w:szCs w:val="22"/>
                <w:vertAlign w:val="superscript"/>
                <w:lang w:eastAsia="zh-CN"/>
              </w:rPr>
              <w:t>1)</w:t>
            </w:r>
          </w:p>
          <w:p w14:paraId="5B038016"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200</w:t>
            </w:r>
            <w:r w:rsidRPr="0030358C">
              <w:rPr>
                <w:rFonts w:ascii="Arial" w:hAnsi="Arial" w:cs="Arial"/>
                <w:b/>
                <w:bCs/>
                <w:sz w:val="22"/>
                <w:szCs w:val="22"/>
                <w:vertAlign w:val="superscript"/>
                <w:lang w:eastAsia="zh-CN"/>
              </w:rPr>
              <w:t>2)</w:t>
            </w:r>
          </w:p>
          <w:p w14:paraId="3055A695" w14:textId="77777777" w:rsidR="008F52C8" w:rsidRPr="0030358C" w:rsidRDefault="00000000" w:rsidP="00732453">
            <w:pPr>
              <w:snapToGrid w:val="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3)</w:t>
            </w:r>
          </w:p>
        </w:tc>
        <w:tc>
          <w:tcPr>
            <w:tcW w:w="2391" w:type="dxa"/>
            <w:tcBorders>
              <w:top w:val="single" w:sz="6" w:space="0" w:color="000000"/>
              <w:left w:val="single" w:sz="6" w:space="0" w:color="000000"/>
              <w:bottom w:val="single" w:sz="4" w:space="0" w:color="000000"/>
            </w:tcBorders>
            <w:shd w:val="clear" w:color="auto" w:fill="auto"/>
            <w:vAlign w:val="center"/>
          </w:tcPr>
          <w:p w14:paraId="60E46CC1"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0,2</w:t>
            </w:r>
          </w:p>
        </w:tc>
        <w:tc>
          <w:tcPr>
            <w:tcW w:w="2428"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62D250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w:t>
            </w:r>
          </w:p>
          <w:p w14:paraId="7CF202C9"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r w:rsidRPr="0030358C">
              <w:rPr>
                <w:rFonts w:ascii="Arial" w:hAnsi="Arial" w:cs="Arial"/>
                <w:b/>
                <w:bCs/>
                <w:sz w:val="22"/>
                <w:szCs w:val="22"/>
                <w:vertAlign w:val="superscript"/>
                <w:lang w:eastAsia="zh-CN"/>
              </w:rPr>
              <w:t>5)</w:t>
            </w:r>
          </w:p>
        </w:tc>
      </w:tr>
    </w:tbl>
    <w:p w14:paraId="22338456" w14:textId="77777777" w:rsidR="008F52C8" w:rsidRPr="0030358C" w:rsidRDefault="00000000" w:rsidP="008F52C8">
      <w:pPr>
        <w:spacing w:before="60"/>
        <w:jc w:val="both"/>
        <w:rPr>
          <w:rFonts w:ascii="Arial" w:hAnsi="Arial" w:cs="Arial"/>
          <w:b/>
          <w:bCs/>
          <w:iCs/>
          <w:sz w:val="22"/>
          <w:szCs w:val="22"/>
          <w:lang w:eastAsia="zh-CN"/>
        </w:rPr>
      </w:pPr>
      <w:r w:rsidRPr="0030358C">
        <w:rPr>
          <w:rFonts w:ascii="Arial" w:hAnsi="Arial" w:cs="Arial"/>
          <w:b/>
          <w:bCs/>
          <w:sz w:val="22"/>
          <w:szCs w:val="22"/>
          <w:lang w:eastAsia="zh-CN"/>
        </w:rPr>
        <w:t>Vysvětlivky</w:t>
      </w:r>
      <w:r w:rsidRPr="0030358C">
        <w:rPr>
          <w:rFonts w:ascii="Arial" w:hAnsi="Arial" w:cs="Arial"/>
          <w:b/>
          <w:bCs/>
          <w:iCs/>
          <w:sz w:val="22"/>
          <w:szCs w:val="22"/>
          <w:lang w:eastAsia="zh-CN"/>
        </w:rPr>
        <w:t>:</w:t>
      </w:r>
    </w:p>
    <w:p w14:paraId="2D68AB8A" w14:textId="77777777" w:rsidR="008F52C8" w:rsidRPr="0030358C" w:rsidRDefault="00000000" w:rsidP="008F52C8">
      <w:pPr>
        <w:jc w:val="both"/>
        <w:rPr>
          <w:rFonts w:ascii="Arial" w:hAnsi="Arial" w:cs="Arial"/>
          <w:b/>
          <w:bCs/>
          <w:iCs/>
          <w:sz w:val="22"/>
          <w:szCs w:val="22"/>
          <w:lang w:eastAsia="zh-CN"/>
        </w:rPr>
      </w:pPr>
      <w:r w:rsidRPr="0030358C">
        <w:rPr>
          <w:rFonts w:ascii="Arial" w:hAnsi="Arial" w:cs="Arial"/>
          <w:b/>
          <w:bCs/>
          <w:iCs/>
          <w:sz w:val="22"/>
          <w:szCs w:val="22"/>
          <w:lang w:eastAsia="zh-CN"/>
        </w:rPr>
        <w:t>1) Platí pro formovací a mísicí zařízení, v nichž se zpracovávají smola, dehet nebo jiná kapalná pojiva při zvýšené teplotě.</w:t>
      </w:r>
    </w:p>
    <w:p w14:paraId="23898DDF" w14:textId="77777777" w:rsidR="008F52C8" w:rsidRPr="0030358C" w:rsidRDefault="00000000" w:rsidP="008F52C8">
      <w:pPr>
        <w:jc w:val="both"/>
        <w:rPr>
          <w:rFonts w:ascii="Arial" w:hAnsi="Arial" w:cs="Arial"/>
          <w:b/>
          <w:bCs/>
          <w:iCs/>
          <w:sz w:val="22"/>
          <w:szCs w:val="22"/>
          <w:lang w:eastAsia="zh-CN"/>
        </w:rPr>
      </w:pPr>
      <w:r w:rsidRPr="0030358C">
        <w:rPr>
          <w:rFonts w:ascii="Arial" w:hAnsi="Arial" w:cs="Arial"/>
          <w:b/>
          <w:bCs/>
          <w:iCs/>
          <w:sz w:val="22"/>
          <w:szCs w:val="22"/>
          <w:lang w:eastAsia="zh-CN"/>
        </w:rPr>
        <w:t>2) Platí pro kruhové pece pro grafitové elektrody, uhlíkové elektrody a uhlíkové cihly.</w:t>
      </w:r>
    </w:p>
    <w:p w14:paraId="6F147B73" w14:textId="77777777" w:rsidR="008F52C8" w:rsidRPr="0030358C" w:rsidRDefault="00000000" w:rsidP="008F52C8">
      <w:pPr>
        <w:jc w:val="both"/>
        <w:rPr>
          <w:rFonts w:ascii="Arial" w:hAnsi="Arial" w:cs="Arial"/>
          <w:b/>
          <w:bCs/>
          <w:iCs/>
          <w:sz w:val="22"/>
          <w:szCs w:val="22"/>
          <w:lang w:eastAsia="zh-CN"/>
        </w:rPr>
      </w:pPr>
      <w:r w:rsidRPr="0030358C">
        <w:rPr>
          <w:rFonts w:ascii="Arial" w:hAnsi="Arial" w:cs="Arial"/>
          <w:b/>
          <w:bCs/>
          <w:iCs/>
          <w:sz w:val="22"/>
          <w:szCs w:val="22"/>
          <w:lang w:eastAsia="zh-CN"/>
        </w:rPr>
        <w:t>3) Platí pro jednotlivé komorové pece, spojené komorové a tunelové pece z impregnačních zařízení, v nichž se používají impregnační prostředky na bázi dehtu.</w:t>
      </w:r>
    </w:p>
    <w:p w14:paraId="7FD0EA01"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iCs/>
          <w:sz w:val="22"/>
          <w:szCs w:val="22"/>
          <w:lang w:eastAsia="zh-CN"/>
        </w:rPr>
        <w:t xml:space="preserve">4) </w:t>
      </w:r>
      <w:r w:rsidRPr="0030358C">
        <w:rPr>
          <w:rFonts w:ascii="Arial" w:hAnsi="Arial" w:cs="Arial"/>
          <w:b/>
          <w:bCs/>
          <w:sz w:val="22"/>
          <w:szCs w:val="22"/>
          <w:lang w:eastAsia="zh-CN"/>
        </w:rPr>
        <w:t xml:space="preserve">Benzo(b)fluoranten, benzo(a)pyren, indeno(1,2,3-c,d)pyren, benzo(k)fluoranten. </w:t>
      </w:r>
      <w:r w:rsidRPr="0030358C">
        <w:rPr>
          <w:rFonts w:ascii="Arial" w:hAnsi="Arial" w:cs="Arial"/>
          <w:b/>
          <w:bCs/>
          <w:sz w:val="22"/>
          <w:szCs w:val="22"/>
        </w:rPr>
        <w:t>Platí pro zpracování pevného dehtu, z výroby surové pasty a surových bloků, z vypalování a opakovaného vypalování a z impregnace při výrobě uhlíku a/nebo grafitu.</w:t>
      </w:r>
    </w:p>
    <w:p w14:paraId="0CAE12B1"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5) Platí pouze pro stacionární zdroje zahrnuté do kategorie 6.8. přílohy č. 1 zákona č. 76/2002 Sb., o integrované prevenci a omezování znečištění, o integrovaném registru znečišťování a o změně některých zákonů (zákon o integrované prevenci).</w:t>
      </w:r>
    </w:p>
    <w:p w14:paraId="0D0FBA30" w14:textId="77777777" w:rsidR="008F52C8" w:rsidRPr="0030358C" w:rsidRDefault="008F52C8" w:rsidP="008F52C8">
      <w:pPr>
        <w:jc w:val="both"/>
        <w:rPr>
          <w:rFonts w:ascii="Arial" w:hAnsi="Arial" w:cs="Arial"/>
          <w:b/>
          <w:bCs/>
          <w:sz w:val="22"/>
          <w:szCs w:val="22"/>
          <w:lang w:eastAsia="zh-CN"/>
        </w:rPr>
      </w:pPr>
    </w:p>
    <w:p w14:paraId="2F668B85"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0C033D1E"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Odvádění emisí VOC z tepelných procesů při výrobě uhlíkatých materiálů do zařízení ke snižování emisí.</w:t>
      </w:r>
    </w:p>
    <w:p w14:paraId="734C6C88" w14:textId="77777777" w:rsidR="008F52C8" w:rsidRPr="0030358C" w:rsidRDefault="008F52C8" w:rsidP="008F52C8">
      <w:pPr>
        <w:spacing w:before="60"/>
        <w:jc w:val="both"/>
        <w:rPr>
          <w:rFonts w:ascii="Arial" w:hAnsi="Arial" w:cs="Arial"/>
          <w:b/>
          <w:bCs/>
          <w:sz w:val="22"/>
          <w:szCs w:val="22"/>
          <w:lang w:eastAsia="zh-CN"/>
        </w:rPr>
      </w:pPr>
    </w:p>
    <w:p w14:paraId="55EC85EE" w14:textId="77777777" w:rsidR="0058795B" w:rsidRPr="0030358C" w:rsidRDefault="0058795B" w:rsidP="008F52C8">
      <w:pPr>
        <w:keepNext/>
        <w:numPr>
          <w:ilvl w:val="2"/>
          <w:numId w:val="0"/>
        </w:numPr>
        <w:tabs>
          <w:tab w:val="num" w:pos="0"/>
          <w:tab w:val="left" w:pos="851"/>
        </w:tabs>
        <w:spacing w:before="60"/>
        <w:ind w:left="567" w:hanging="567"/>
        <w:jc w:val="both"/>
        <w:outlineLvl w:val="2"/>
        <w:rPr>
          <w:rFonts w:ascii="Arial" w:hAnsi="Arial" w:cs="Arial"/>
          <w:b/>
          <w:bCs/>
          <w:sz w:val="22"/>
          <w:szCs w:val="22"/>
          <w:lang w:eastAsia="zh-CN"/>
        </w:rPr>
      </w:pPr>
    </w:p>
    <w:p w14:paraId="6DDAE448" w14:textId="77777777" w:rsidR="008F52C8" w:rsidRPr="0030358C" w:rsidRDefault="00000000" w:rsidP="008F52C8">
      <w:pPr>
        <w:keepNext/>
        <w:numPr>
          <w:ilvl w:val="2"/>
          <w:numId w:val="0"/>
        </w:numPr>
        <w:tabs>
          <w:tab w:val="num" w:pos="0"/>
          <w:tab w:val="left" w:pos="851"/>
        </w:tabs>
        <w:spacing w:before="60"/>
        <w:ind w:left="567" w:hanging="567"/>
        <w:jc w:val="both"/>
        <w:outlineLvl w:val="2"/>
        <w:rPr>
          <w:rFonts w:ascii="Arial" w:hAnsi="Arial" w:cs="Arial"/>
          <w:b/>
          <w:bCs/>
          <w:sz w:val="22"/>
          <w:szCs w:val="22"/>
          <w:lang w:eastAsia="zh-CN"/>
        </w:rPr>
      </w:pPr>
      <w:r w:rsidRPr="0030358C">
        <w:rPr>
          <w:rFonts w:ascii="Arial" w:hAnsi="Arial" w:cs="Arial"/>
          <w:b/>
          <w:bCs/>
          <w:sz w:val="22"/>
          <w:szCs w:val="22"/>
          <w:lang w:eastAsia="zh-CN"/>
        </w:rPr>
        <w:t>6.13. Krematoria nebo zařízení k výhradnímu spalování těl zvířat (kód 7.15. dle přílohy č. 2 zákona)</w:t>
      </w:r>
    </w:p>
    <w:p w14:paraId="0174A2C9" w14:textId="77777777" w:rsidR="008F52C8" w:rsidRPr="0030358C" w:rsidRDefault="00000000" w:rsidP="008F52C8">
      <w:pPr>
        <w:spacing w:before="60"/>
        <w:rPr>
          <w:rFonts w:ascii="Arial" w:hAnsi="Arial" w:cs="Arial"/>
          <w:b/>
          <w:bCs/>
          <w:sz w:val="22"/>
          <w:szCs w:val="22"/>
          <w:lang w:eastAsia="zh-CN"/>
        </w:rPr>
      </w:pPr>
      <w:r w:rsidRPr="0030358C">
        <w:rPr>
          <w:rFonts w:ascii="Arial" w:hAnsi="Arial" w:cs="Arial"/>
          <w:b/>
          <w:bCs/>
          <w:sz w:val="22"/>
          <w:szCs w:val="22"/>
          <w:lang w:eastAsia="zh-CN"/>
        </w:rPr>
        <w:t>Platí i pro veterinární spalovny v případě výhradního spalování těl zvířat a živočišných zbytků.</w:t>
      </w:r>
    </w:p>
    <w:tbl>
      <w:tblPr>
        <w:tblW w:w="0" w:type="auto"/>
        <w:tblInd w:w="-15" w:type="dxa"/>
        <w:tblLayout w:type="fixed"/>
        <w:tblCellMar>
          <w:left w:w="70" w:type="dxa"/>
          <w:right w:w="70" w:type="dxa"/>
        </w:tblCellMar>
        <w:tblLook w:val="0000" w:firstRow="0" w:lastRow="0" w:firstColumn="0" w:lastColumn="0" w:noHBand="0" w:noVBand="0"/>
      </w:tblPr>
      <w:tblGrid>
        <w:gridCol w:w="1681"/>
        <w:gridCol w:w="1460"/>
        <w:gridCol w:w="1462"/>
        <w:gridCol w:w="1606"/>
        <w:gridCol w:w="1992"/>
        <w:gridCol w:w="1323"/>
      </w:tblGrid>
      <w:tr w:rsidR="00E40657" w14:paraId="65258B24" w14:textId="77777777" w:rsidTr="00732453">
        <w:trPr>
          <w:cantSplit/>
          <w:trHeight w:hRule="exact" w:val="340"/>
        </w:trPr>
        <w:tc>
          <w:tcPr>
            <w:tcW w:w="6209" w:type="dxa"/>
            <w:gridSpan w:val="4"/>
            <w:tcBorders>
              <w:top w:val="single" w:sz="4" w:space="0" w:color="000000"/>
              <w:left w:val="single" w:sz="4" w:space="0" w:color="000000"/>
              <w:bottom w:val="single" w:sz="4" w:space="0" w:color="000000"/>
            </w:tcBorders>
            <w:shd w:val="clear" w:color="auto" w:fill="auto"/>
            <w:vAlign w:val="center"/>
          </w:tcPr>
          <w:p w14:paraId="7295999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lastRenderedPageBreak/>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992" w:type="dxa"/>
            <w:vMerge w:val="restart"/>
            <w:tcBorders>
              <w:top w:val="single" w:sz="4" w:space="0" w:color="000000"/>
              <w:left w:val="single" w:sz="4" w:space="0" w:color="000000"/>
              <w:bottom w:val="single" w:sz="4" w:space="0" w:color="000000"/>
            </w:tcBorders>
            <w:shd w:val="clear" w:color="auto" w:fill="auto"/>
            <w:vAlign w:val="center"/>
          </w:tcPr>
          <w:p w14:paraId="7032F666"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 xml:space="preserve">2R </w:t>
            </w:r>
            <w:r w:rsidRPr="0030358C">
              <w:rPr>
                <w:rFonts w:ascii="Arial" w:hAnsi="Arial" w:cs="Arial"/>
                <w:b/>
                <w:bCs/>
                <w:sz w:val="22"/>
                <w:szCs w:val="22"/>
                <w:lang w:eastAsia="zh-CN"/>
              </w:rPr>
              <w:t>[%]</w:t>
            </w:r>
          </w:p>
        </w:tc>
        <w:tc>
          <w:tcPr>
            <w:tcW w:w="13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238EA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0B34A344" w14:textId="77777777" w:rsidTr="00732453">
        <w:trPr>
          <w:cantSplit/>
          <w:trHeight w:hRule="exact" w:val="568"/>
        </w:trPr>
        <w:tc>
          <w:tcPr>
            <w:tcW w:w="1681" w:type="dxa"/>
            <w:tcBorders>
              <w:left w:val="single" w:sz="4" w:space="0" w:color="000000"/>
              <w:bottom w:val="single" w:sz="4" w:space="0" w:color="000000"/>
            </w:tcBorders>
            <w:shd w:val="clear" w:color="auto" w:fill="auto"/>
            <w:vAlign w:val="center"/>
          </w:tcPr>
          <w:p w14:paraId="6C57CD80"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460" w:type="dxa"/>
            <w:tcBorders>
              <w:left w:val="single" w:sz="4" w:space="0" w:color="000000"/>
              <w:bottom w:val="single" w:sz="4" w:space="0" w:color="000000"/>
            </w:tcBorders>
            <w:shd w:val="clear" w:color="auto" w:fill="auto"/>
            <w:vAlign w:val="center"/>
          </w:tcPr>
          <w:p w14:paraId="7F739724" w14:textId="77777777" w:rsidR="008F52C8" w:rsidRPr="0030358C" w:rsidRDefault="00000000" w:rsidP="00732453">
            <w:pPr>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462" w:type="dxa"/>
            <w:tcBorders>
              <w:left w:val="single" w:sz="4" w:space="0" w:color="000000"/>
              <w:bottom w:val="single" w:sz="4" w:space="0" w:color="000000"/>
            </w:tcBorders>
            <w:shd w:val="clear" w:color="auto" w:fill="auto"/>
            <w:vAlign w:val="center"/>
          </w:tcPr>
          <w:p w14:paraId="107A32CC"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CO</w:t>
            </w:r>
          </w:p>
        </w:tc>
        <w:tc>
          <w:tcPr>
            <w:tcW w:w="1606" w:type="dxa"/>
            <w:tcBorders>
              <w:left w:val="single" w:sz="4" w:space="0" w:color="000000"/>
              <w:bottom w:val="single" w:sz="4" w:space="0" w:color="000000"/>
            </w:tcBorders>
            <w:shd w:val="clear" w:color="auto" w:fill="auto"/>
            <w:vAlign w:val="center"/>
          </w:tcPr>
          <w:p w14:paraId="3AFB732F"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1992" w:type="dxa"/>
            <w:vMerge/>
            <w:tcBorders>
              <w:top w:val="single" w:sz="4" w:space="0" w:color="000000"/>
              <w:left w:val="single" w:sz="4" w:space="0" w:color="000000"/>
              <w:bottom w:val="single" w:sz="4" w:space="0" w:color="000000"/>
            </w:tcBorders>
            <w:shd w:val="clear" w:color="auto" w:fill="auto"/>
            <w:vAlign w:val="center"/>
          </w:tcPr>
          <w:p w14:paraId="5B7E98F4" w14:textId="77777777" w:rsidR="008F52C8" w:rsidRPr="0030358C" w:rsidRDefault="008F52C8" w:rsidP="00732453">
            <w:pPr>
              <w:snapToGrid w:val="0"/>
              <w:rPr>
                <w:rFonts w:ascii="Arial" w:hAnsi="Arial" w:cs="Arial"/>
                <w:b/>
                <w:bCs/>
                <w:sz w:val="22"/>
                <w:szCs w:val="22"/>
                <w:lang w:eastAsia="zh-CN"/>
              </w:rPr>
            </w:pPr>
          </w:p>
        </w:tc>
        <w:tc>
          <w:tcPr>
            <w:tcW w:w="13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BEC267" w14:textId="77777777" w:rsidR="008F52C8" w:rsidRPr="0030358C" w:rsidRDefault="008F52C8" w:rsidP="00732453">
            <w:pPr>
              <w:snapToGrid w:val="0"/>
              <w:rPr>
                <w:rFonts w:ascii="Arial" w:hAnsi="Arial" w:cs="Arial"/>
                <w:b/>
                <w:bCs/>
                <w:sz w:val="22"/>
                <w:szCs w:val="22"/>
                <w:lang w:eastAsia="zh-CN"/>
              </w:rPr>
            </w:pPr>
          </w:p>
        </w:tc>
      </w:tr>
      <w:tr w:rsidR="00E40657" w14:paraId="1AA1D065" w14:textId="77777777" w:rsidTr="00732453">
        <w:trPr>
          <w:trHeight w:hRule="exact" w:val="621"/>
        </w:trPr>
        <w:tc>
          <w:tcPr>
            <w:tcW w:w="1681" w:type="dxa"/>
            <w:tcBorders>
              <w:left w:val="single" w:sz="4" w:space="0" w:color="000000"/>
              <w:bottom w:val="single" w:sz="4" w:space="0" w:color="000000"/>
            </w:tcBorders>
            <w:shd w:val="clear" w:color="auto" w:fill="auto"/>
            <w:vAlign w:val="center"/>
          </w:tcPr>
          <w:p w14:paraId="7D6823DE"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460" w:type="dxa"/>
            <w:tcBorders>
              <w:left w:val="single" w:sz="4" w:space="0" w:color="000000"/>
              <w:bottom w:val="single" w:sz="4" w:space="0" w:color="000000"/>
            </w:tcBorders>
            <w:shd w:val="clear" w:color="auto" w:fill="auto"/>
            <w:vAlign w:val="center"/>
          </w:tcPr>
          <w:p w14:paraId="1F34F662"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350</w:t>
            </w:r>
          </w:p>
        </w:tc>
        <w:tc>
          <w:tcPr>
            <w:tcW w:w="1462" w:type="dxa"/>
            <w:tcBorders>
              <w:left w:val="single" w:sz="4" w:space="0" w:color="000000"/>
              <w:bottom w:val="single" w:sz="4" w:space="0" w:color="000000"/>
            </w:tcBorders>
            <w:shd w:val="clear" w:color="auto" w:fill="auto"/>
            <w:vAlign w:val="center"/>
          </w:tcPr>
          <w:p w14:paraId="4DDCD575"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100</w:t>
            </w:r>
          </w:p>
        </w:tc>
        <w:tc>
          <w:tcPr>
            <w:tcW w:w="1606" w:type="dxa"/>
            <w:tcBorders>
              <w:left w:val="single" w:sz="4" w:space="0" w:color="000000"/>
              <w:bottom w:val="single" w:sz="4" w:space="0" w:color="000000"/>
            </w:tcBorders>
            <w:shd w:val="clear" w:color="auto" w:fill="auto"/>
            <w:vAlign w:val="center"/>
          </w:tcPr>
          <w:p w14:paraId="2BF5CAC3"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15</w:t>
            </w:r>
          </w:p>
        </w:tc>
        <w:tc>
          <w:tcPr>
            <w:tcW w:w="1992" w:type="dxa"/>
            <w:tcBorders>
              <w:left w:val="single" w:sz="4" w:space="0" w:color="000000"/>
              <w:bottom w:val="single" w:sz="4" w:space="0" w:color="000000"/>
            </w:tcBorders>
            <w:shd w:val="clear" w:color="auto" w:fill="auto"/>
            <w:vAlign w:val="center"/>
          </w:tcPr>
          <w:p w14:paraId="0F706BD7"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17</w:t>
            </w:r>
          </w:p>
        </w:tc>
        <w:tc>
          <w:tcPr>
            <w:tcW w:w="1323" w:type="dxa"/>
            <w:tcBorders>
              <w:left w:val="single" w:sz="4" w:space="0" w:color="000000"/>
              <w:bottom w:val="single" w:sz="4" w:space="0" w:color="000000"/>
              <w:right w:val="single" w:sz="4" w:space="0" w:color="000000"/>
            </w:tcBorders>
            <w:shd w:val="clear" w:color="auto" w:fill="auto"/>
            <w:vAlign w:val="center"/>
          </w:tcPr>
          <w:p w14:paraId="66E5D824" w14:textId="77777777" w:rsidR="008F52C8" w:rsidRPr="0030358C" w:rsidRDefault="00000000" w:rsidP="00732453">
            <w:pPr>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4CC47B12" w14:textId="77777777" w:rsidR="008F52C8" w:rsidRPr="0030358C" w:rsidRDefault="008F52C8" w:rsidP="008F52C8">
      <w:pPr>
        <w:rPr>
          <w:rFonts w:ascii="Arial" w:hAnsi="Arial" w:cs="Arial"/>
          <w:b/>
          <w:bCs/>
          <w:sz w:val="22"/>
          <w:szCs w:val="22"/>
          <w:lang w:eastAsia="zh-CN"/>
        </w:rPr>
      </w:pPr>
    </w:p>
    <w:p w14:paraId="28B24D36" w14:textId="77777777" w:rsidR="008F52C8" w:rsidRPr="0030358C" w:rsidRDefault="00000000" w:rsidP="008F52C8">
      <w:pPr>
        <w:spacing w:before="144"/>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5B48EB21" w14:textId="77777777" w:rsidR="008F52C8" w:rsidRPr="0030358C" w:rsidRDefault="00000000" w:rsidP="008F52C8">
      <w:pPr>
        <w:widowControl w:val="0"/>
        <w:autoSpaceDE w:val="0"/>
        <w:jc w:val="both"/>
        <w:rPr>
          <w:rFonts w:ascii="Arial" w:hAnsi="Arial" w:cs="Arial"/>
          <w:b/>
          <w:bCs/>
          <w:sz w:val="22"/>
          <w:szCs w:val="22"/>
          <w:lang w:eastAsia="zh-CN"/>
        </w:rPr>
      </w:pPr>
      <w:r w:rsidRPr="0030358C">
        <w:rPr>
          <w:rFonts w:ascii="Arial" w:hAnsi="Arial" w:cs="Arial"/>
          <w:b/>
          <w:bCs/>
          <w:sz w:val="22"/>
          <w:szCs w:val="22"/>
          <w:lang w:eastAsia="zh-CN"/>
        </w:rPr>
        <w:t xml:space="preserve">Udržování takové teploty ve spalovacím prostoru za posledním přívodem vzduchu, která zajišťuje termickou a oxidační destrukci všech odcházejících znečišťujících látek (nejméně </w:t>
      </w:r>
      <w:r w:rsidR="00B623A4" w:rsidRPr="0030358C">
        <w:rPr>
          <w:rFonts w:ascii="Arial" w:hAnsi="Arial" w:cs="Arial"/>
          <w:b/>
          <w:bCs/>
          <w:sz w:val="22"/>
          <w:szCs w:val="22"/>
          <w:lang w:eastAsia="zh-CN"/>
        </w:rPr>
        <w:t>850 °C</w:t>
      </w:r>
      <w:r w:rsidRPr="0030358C">
        <w:rPr>
          <w:rFonts w:ascii="Arial" w:hAnsi="Arial" w:cs="Arial"/>
          <w:b/>
          <w:bCs/>
          <w:sz w:val="22"/>
          <w:szCs w:val="22"/>
          <w:lang w:eastAsia="zh-CN"/>
        </w:rPr>
        <w:t>) s dobou setrvání spalin nejméně 2 s.</w:t>
      </w:r>
    </w:p>
    <w:p w14:paraId="17713B04" w14:textId="77777777" w:rsidR="008F52C8" w:rsidRPr="0030358C" w:rsidRDefault="008F52C8" w:rsidP="008F52C8">
      <w:pPr>
        <w:spacing w:before="120"/>
        <w:rPr>
          <w:rFonts w:ascii="Arial" w:hAnsi="Arial" w:cs="Arial"/>
          <w:b/>
          <w:bCs/>
          <w:sz w:val="22"/>
          <w:szCs w:val="22"/>
          <w:lang w:eastAsia="zh-CN"/>
        </w:rPr>
      </w:pPr>
    </w:p>
    <w:p w14:paraId="6DF1BCC0" w14:textId="77777777" w:rsidR="008F52C8" w:rsidRPr="0030358C" w:rsidRDefault="00000000" w:rsidP="008F52C8">
      <w:pPr>
        <w:keepNext/>
        <w:numPr>
          <w:ilvl w:val="2"/>
          <w:numId w:val="0"/>
        </w:numPr>
        <w:tabs>
          <w:tab w:val="num" w:pos="0"/>
        </w:tabs>
        <w:spacing w:before="60" w:line="300" w:lineRule="exact"/>
        <w:ind w:left="720" w:hanging="720"/>
        <w:jc w:val="both"/>
        <w:outlineLvl w:val="2"/>
        <w:rPr>
          <w:rFonts w:ascii="Arial" w:hAnsi="Arial" w:cs="Arial"/>
          <w:b/>
          <w:bCs/>
          <w:sz w:val="22"/>
          <w:szCs w:val="22"/>
          <w:lang w:eastAsia="zh-CN"/>
        </w:rPr>
      </w:pPr>
      <w:r w:rsidRPr="0030358C">
        <w:rPr>
          <w:rFonts w:ascii="Arial" w:hAnsi="Arial" w:cs="Arial"/>
          <w:b/>
          <w:bCs/>
          <w:sz w:val="22"/>
          <w:szCs w:val="22"/>
          <w:lang w:eastAsia="zh-CN"/>
        </w:rPr>
        <w:t>6.14. Veterinární asanační zařízení (kód 7.16. dle přílohy č. 2 zákona)</w:t>
      </w:r>
    </w:p>
    <w:p w14:paraId="6DE309B5" w14:textId="77777777" w:rsidR="008F52C8" w:rsidRPr="0030358C" w:rsidRDefault="00000000" w:rsidP="008F52C8">
      <w:pPr>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Platí pro sběr, přepravu a neškodné odstraňování a další zpracování vedlejších živočišných produktů</w:t>
      </w:r>
      <w:r>
        <w:rPr>
          <w:rStyle w:val="Znakapoznpodarou"/>
          <w:rFonts w:ascii="Arial" w:hAnsi="Arial" w:cs="Arial"/>
          <w:b/>
          <w:bCs/>
          <w:sz w:val="22"/>
          <w:szCs w:val="22"/>
          <w:lang w:eastAsia="zh-CN"/>
        </w:rPr>
        <w:footnoteReference w:customMarkFollows="1" w:id="3"/>
        <w:t>7</w:t>
      </w:r>
      <w:r w:rsidRPr="0030358C">
        <w:rPr>
          <w:rFonts w:ascii="Arial" w:hAnsi="Arial" w:cs="Arial"/>
          <w:b/>
          <w:bCs/>
          <w:sz w:val="22"/>
          <w:szCs w:val="22"/>
          <w:vertAlign w:val="superscript"/>
          <w:lang w:eastAsia="zh-CN"/>
        </w:rPr>
        <w:t>)</w:t>
      </w:r>
      <w:r w:rsidRPr="0030358C">
        <w:rPr>
          <w:rFonts w:ascii="Arial" w:hAnsi="Arial" w:cs="Arial"/>
          <w:b/>
          <w:bCs/>
          <w:sz w:val="22"/>
          <w:szCs w:val="22"/>
          <w:lang w:eastAsia="zh-CN"/>
        </w:rPr>
        <w:t xml:space="preserve"> kategorie 1, 2</w:t>
      </w:r>
      <w:r w:rsidRPr="0030358C">
        <w:rPr>
          <w:rFonts w:ascii="Arial" w:hAnsi="Arial" w:cs="Arial"/>
          <w:b/>
          <w:bCs/>
          <w:sz w:val="22"/>
          <w:szCs w:val="22"/>
          <w:vertAlign w:val="superscript"/>
          <w:lang w:eastAsia="zh-CN"/>
        </w:rPr>
        <w:t xml:space="preserve"> </w:t>
      </w:r>
      <w:r w:rsidRPr="0030358C">
        <w:rPr>
          <w:rFonts w:ascii="Arial" w:hAnsi="Arial" w:cs="Arial"/>
          <w:b/>
          <w:bCs/>
          <w:sz w:val="22"/>
          <w:szCs w:val="22"/>
          <w:lang w:eastAsia="zh-CN"/>
        </w:rPr>
        <w:t xml:space="preserve">nebo 3 </w:t>
      </w:r>
      <w:r w:rsidRPr="0030358C">
        <w:rPr>
          <w:rFonts w:ascii="Arial" w:hAnsi="Arial" w:cs="Arial"/>
          <w:b/>
          <w:bCs/>
          <w:sz w:val="22"/>
          <w:szCs w:val="22"/>
          <w:lang w:eastAsia="cs-CZ"/>
        </w:rPr>
        <w:t xml:space="preserve">podle </w:t>
      </w:r>
      <w:r w:rsidRPr="0030358C">
        <w:rPr>
          <w:rFonts w:ascii="Arial" w:hAnsi="Arial" w:cs="Arial"/>
          <w:b/>
          <w:bCs/>
          <w:sz w:val="22"/>
          <w:szCs w:val="22"/>
          <w:lang w:eastAsia="zh-CN"/>
        </w:rPr>
        <w:t xml:space="preserve">Nařízení Evropského parlamentu a Rady </w:t>
      </w:r>
      <w:r w:rsidRPr="0030358C">
        <w:rPr>
          <w:rFonts w:ascii="Arial" w:hAnsi="Arial" w:cs="Arial"/>
          <w:b/>
          <w:bCs/>
          <w:sz w:val="22"/>
          <w:szCs w:val="22"/>
          <w:lang w:eastAsia="cs-CZ"/>
        </w:rPr>
        <w:t xml:space="preserve">č. 1069/2009 </w:t>
      </w:r>
      <w:r w:rsidRPr="0030358C">
        <w:rPr>
          <w:rFonts w:ascii="Arial" w:hAnsi="Arial" w:cs="Arial"/>
          <w:b/>
          <w:bCs/>
          <w:sz w:val="22"/>
          <w:szCs w:val="22"/>
          <w:lang w:eastAsia="zh-CN"/>
        </w:rPr>
        <w:t>na masokostní moučku, zpracované živočišné bílkoviny a tavený tuk</w:t>
      </w:r>
      <w:r>
        <w:rPr>
          <w:rStyle w:val="Znakapoznpodarou"/>
          <w:rFonts w:ascii="Arial" w:hAnsi="Arial" w:cs="Arial"/>
          <w:b/>
          <w:bCs/>
          <w:sz w:val="22"/>
          <w:szCs w:val="22"/>
          <w:lang w:eastAsia="zh-CN"/>
        </w:rPr>
        <w:footnoteReference w:customMarkFollows="1" w:id="4"/>
        <w:t>8</w:t>
      </w:r>
      <w:r w:rsidRPr="0030358C">
        <w:rPr>
          <w:rFonts w:ascii="Arial" w:hAnsi="Arial" w:cs="Arial"/>
          <w:b/>
          <w:bCs/>
          <w:sz w:val="22"/>
          <w:szCs w:val="22"/>
          <w:vertAlign w:val="superscript"/>
          <w:lang w:eastAsia="zh-CN"/>
        </w:rPr>
        <w:t>)</w:t>
      </w:r>
      <w:r w:rsidRPr="0030358C">
        <w:rPr>
          <w:rFonts w:ascii="Arial" w:hAnsi="Arial" w:cs="Arial"/>
          <w:b/>
          <w:bCs/>
          <w:sz w:val="22"/>
          <w:szCs w:val="22"/>
          <w:lang w:eastAsia="zh-CN"/>
        </w:rPr>
        <w:t xml:space="preserve">. </w:t>
      </w:r>
    </w:p>
    <w:p w14:paraId="39F85D9D" w14:textId="77777777" w:rsidR="008F52C8" w:rsidRPr="0030358C" w:rsidRDefault="008F52C8" w:rsidP="008F52C8">
      <w:pPr>
        <w:spacing w:before="60" w:line="300" w:lineRule="exact"/>
        <w:jc w:val="both"/>
        <w:rPr>
          <w:rFonts w:ascii="Arial" w:hAnsi="Arial" w:cs="Arial"/>
          <w:b/>
          <w:bCs/>
          <w:sz w:val="22"/>
          <w:szCs w:val="22"/>
          <w:lang w:eastAsia="zh-CN"/>
        </w:rPr>
      </w:pPr>
    </w:p>
    <w:p w14:paraId="082C296E" w14:textId="77777777" w:rsidR="008F52C8" w:rsidRPr="0030358C" w:rsidRDefault="00000000" w:rsidP="008F52C8">
      <w:pPr>
        <w:widowControl w:val="0"/>
        <w:autoSpaceDE w:val="0"/>
        <w:spacing w:before="60" w:line="300" w:lineRule="exact"/>
        <w:jc w:val="both"/>
        <w:rPr>
          <w:rFonts w:ascii="Arial" w:hAnsi="Arial" w:cs="Arial"/>
          <w:b/>
          <w:bCs/>
          <w:sz w:val="22"/>
          <w:szCs w:val="22"/>
          <w:lang w:eastAsia="zh-CN"/>
        </w:rPr>
      </w:pPr>
      <w:r w:rsidRPr="0030358C">
        <w:rPr>
          <w:rFonts w:ascii="Arial" w:hAnsi="Arial" w:cs="Arial"/>
          <w:b/>
          <w:bCs/>
          <w:sz w:val="22"/>
          <w:szCs w:val="22"/>
          <w:lang w:eastAsia="zh-CN"/>
        </w:rPr>
        <w:t>Technická podmínka provozu:</w:t>
      </w:r>
    </w:p>
    <w:p w14:paraId="213E08D3" w14:textId="77777777" w:rsidR="008F52C8" w:rsidRPr="0030358C" w:rsidRDefault="00000000" w:rsidP="008F52C8">
      <w:pPr>
        <w:spacing w:before="62" w:after="57"/>
        <w:jc w:val="both"/>
        <w:rPr>
          <w:rFonts w:ascii="Arial" w:hAnsi="Arial" w:cs="Arial"/>
          <w:b/>
          <w:bCs/>
          <w:sz w:val="22"/>
          <w:szCs w:val="22"/>
          <w:lang w:eastAsia="zh-CN"/>
        </w:rPr>
      </w:pPr>
      <w:r w:rsidRPr="0030358C">
        <w:rPr>
          <w:rFonts w:ascii="Arial" w:hAnsi="Arial" w:cs="Arial"/>
          <w:b/>
          <w:bCs/>
          <w:sz w:val="22"/>
          <w:szCs w:val="22"/>
          <w:lang w:eastAsia="zh-CN"/>
        </w:rPr>
        <w:t xml:space="preserve">Za účelem předcházení emisí znečišťujících látek obtěžujících zápachem zajistit např. odsávání odpadních plynů do zařízení k omezování emisí, skladování v uzavřených zásobnících a čištění přepravních zásobníků v uzavřených prostorech. </w:t>
      </w:r>
    </w:p>
    <w:p w14:paraId="63E55267" w14:textId="77777777" w:rsidR="008F52C8" w:rsidRPr="0030358C" w:rsidRDefault="008F52C8" w:rsidP="008F52C8">
      <w:pPr>
        <w:spacing w:before="62" w:after="57"/>
        <w:jc w:val="both"/>
        <w:rPr>
          <w:rFonts w:ascii="Arial" w:hAnsi="Arial" w:cs="Arial"/>
          <w:b/>
          <w:bCs/>
          <w:sz w:val="22"/>
          <w:szCs w:val="22"/>
          <w:lang w:eastAsia="zh-CN"/>
        </w:rPr>
      </w:pPr>
    </w:p>
    <w:p w14:paraId="6F972BC2" w14:textId="77777777" w:rsidR="008F52C8" w:rsidRPr="0030358C" w:rsidRDefault="00000000" w:rsidP="008F52C8">
      <w:pPr>
        <w:spacing w:before="62" w:after="57"/>
        <w:rPr>
          <w:rFonts w:ascii="Arial" w:hAnsi="Arial" w:cs="Arial"/>
          <w:b/>
          <w:bCs/>
          <w:sz w:val="22"/>
          <w:szCs w:val="22"/>
          <w:lang w:eastAsia="zh-CN"/>
        </w:rPr>
      </w:pPr>
      <w:r w:rsidRPr="0030358C">
        <w:rPr>
          <w:rFonts w:ascii="Arial" w:hAnsi="Arial" w:cs="Arial"/>
          <w:b/>
          <w:bCs/>
          <w:sz w:val="22"/>
          <w:szCs w:val="22"/>
          <w:lang w:eastAsia="zh-CN"/>
        </w:rPr>
        <w:t>6.15. Regenerace nebo aktivace katalyzátorů pro katalytické štěpení ve fluidní vrstvě (kód 7.17. dle přílohy č. 2 zákona)</w:t>
      </w:r>
    </w:p>
    <w:tbl>
      <w:tblPr>
        <w:tblW w:w="0" w:type="auto"/>
        <w:tblInd w:w="-15" w:type="dxa"/>
        <w:tblLayout w:type="fixed"/>
        <w:tblLook w:val="0000" w:firstRow="0" w:lastRow="0" w:firstColumn="0" w:lastColumn="0" w:noHBand="0" w:noVBand="0"/>
      </w:tblPr>
      <w:tblGrid>
        <w:gridCol w:w="1884"/>
        <w:gridCol w:w="1884"/>
        <w:gridCol w:w="1883"/>
        <w:gridCol w:w="1569"/>
        <w:gridCol w:w="2380"/>
      </w:tblGrid>
      <w:tr w:rsidR="00E40657" w14:paraId="7525132D" w14:textId="77777777" w:rsidTr="00732453">
        <w:trPr>
          <w:cantSplit/>
          <w:trHeight w:hRule="exact" w:val="348"/>
        </w:trPr>
        <w:tc>
          <w:tcPr>
            <w:tcW w:w="5651" w:type="dxa"/>
            <w:gridSpan w:val="3"/>
            <w:tcBorders>
              <w:top w:val="single" w:sz="4" w:space="0" w:color="000000"/>
              <w:left w:val="single" w:sz="4" w:space="0" w:color="000000"/>
              <w:bottom w:val="single" w:sz="4" w:space="0" w:color="000000"/>
            </w:tcBorders>
            <w:shd w:val="clear" w:color="auto" w:fill="auto"/>
            <w:vAlign w:val="center"/>
          </w:tcPr>
          <w:p w14:paraId="1576925D"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1569" w:type="dxa"/>
            <w:vMerge w:val="restart"/>
            <w:tcBorders>
              <w:top w:val="single" w:sz="4" w:space="0" w:color="000000"/>
              <w:left w:val="single" w:sz="4" w:space="0" w:color="000000"/>
              <w:bottom w:val="single" w:sz="4" w:space="0" w:color="000000"/>
            </w:tcBorders>
            <w:shd w:val="clear" w:color="auto" w:fill="auto"/>
            <w:vAlign w:val="center"/>
          </w:tcPr>
          <w:p w14:paraId="00D9A805" w14:textId="77777777" w:rsidR="008F52C8" w:rsidRPr="0030358C" w:rsidRDefault="00000000" w:rsidP="00732453">
            <w:pPr>
              <w:keepNext/>
              <w:keepLines/>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O</w:t>
            </w:r>
            <w:r w:rsidRPr="0030358C">
              <w:rPr>
                <w:rFonts w:ascii="Arial" w:hAnsi="Arial" w:cs="Arial"/>
                <w:b/>
                <w:bCs/>
                <w:sz w:val="22"/>
                <w:szCs w:val="22"/>
                <w:vertAlign w:val="subscript"/>
                <w:lang w:eastAsia="zh-CN"/>
              </w:rPr>
              <w:t>2R</w:t>
            </w:r>
          </w:p>
          <w:p w14:paraId="390F7E11" w14:textId="77777777" w:rsidR="008F52C8" w:rsidRPr="0030358C" w:rsidRDefault="00000000" w:rsidP="00732453">
            <w:pPr>
              <w:keepNext/>
              <w:keepLines/>
              <w:jc w:val="center"/>
              <w:rPr>
                <w:rFonts w:ascii="Arial" w:hAnsi="Arial" w:cs="Arial"/>
                <w:b/>
                <w:bCs/>
                <w:sz w:val="22"/>
                <w:szCs w:val="22"/>
                <w:lang w:eastAsia="zh-CN"/>
              </w:rPr>
            </w:pPr>
            <w:r w:rsidRPr="0030358C">
              <w:rPr>
                <w:rFonts w:ascii="Arial" w:hAnsi="Arial" w:cs="Arial"/>
                <w:b/>
                <w:bCs/>
                <w:sz w:val="22"/>
                <w:szCs w:val="22"/>
                <w:lang w:eastAsia="zh-CN"/>
              </w:rPr>
              <w:t>[%]</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641923"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74F7537B" w14:textId="77777777" w:rsidTr="00732453">
        <w:trPr>
          <w:cantSplit/>
          <w:trHeight w:hRule="exact" w:val="586"/>
        </w:trPr>
        <w:tc>
          <w:tcPr>
            <w:tcW w:w="1884" w:type="dxa"/>
            <w:tcBorders>
              <w:left w:val="single" w:sz="4" w:space="0" w:color="000000"/>
              <w:bottom w:val="single" w:sz="4" w:space="0" w:color="000000"/>
            </w:tcBorders>
            <w:shd w:val="clear" w:color="auto" w:fill="auto"/>
            <w:vAlign w:val="center"/>
          </w:tcPr>
          <w:p w14:paraId="2A5D9FC8"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1884" w:type="dxa"/>
            <w:tcBorders>
              <w:left w:val="single" w:sz="4" w:space="0" w:color="000000"/>
              <w:bottom w:val="single" w:sz="4" w:space="0" w:color="000000"/>
            </w:tcBorders>
            <w:shd w:val="clear" w:color="auto" w:fill="auto"/>
            <w:vAlign w:val="center"/>
          </w:tcPr>
          <w:p w14:paraId="64C78E00" w14:textId="77777777" w:rsidR="008F52C8" w:rsidRPr="0030358C" w:rsidRDefault="00000000" w:rsidP="00732453">
            <w:pPr>
              <w:keepNext/>
              <w:keepLines/>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SO</w:t>
            </w:r>
            <w:r w:rsidRPr="0030358C">
              <w:rPr>
                <w:rFonts w:ascii="Arial" w:hAnsi="Arial" w:cs="Arial"/>
                <w:b/>
                <w:bCs/>
                <w:sz w:val="22"/>
                <w:szCs w:val="22"/>
                <w:vertAlign w:val="subscript"/>
                <w:lang w:eastAsia="zh-CN"/>
              </w:rPr>
              <w:t>2</w:t>
            </w:r>
          </w:p>
        </w:tc>
        <w:tc>
          <w:tcPr>
            <w:tcW w:w="1883" w:type="dxa"/>
            <w:tcBorders>
              <w:left w:val="single" w:sz="4" w:space="0" w:color="000000"/>
              <w:bottom w:val="single" w:sz="4" w:space="0" w:color="000000"/>
            </w:tcBorders>
            <w:shd w:val="clear" w:color="auto" w:fill="auto"/>
            <w:vAlign w:val="center"/>
          </w:tcPr>
          <w:p w14:paraId="569F87BD" w14:textId="77777777" w:rsidR="008F52C8" w:rsidRPr="0030358C" w:rsidRDefault="00000000" w:rsidP="00732453">
            <w:pPr>
              <w:keepNext/>
              <w:keepLines/>
              <w:snapToGrid w:val="0"/>
              <w:jc w:val="center"/>
              <w:rPr>
                <w:rFonts w:ascii="Arial" w:hAnsi="Arial" w:cs="Arial"/>
                <w:b/>
                <w:bCs/>
                <w:sz w:val="22"/>
                <w:szCs w:val="22"/>
                <w:vertAlign w:val="subscript"/>
                <w:lang w:eastAsia="zh-CN"/>
              </w:rPr>
            </w:pPr>
            <w:r w:rsidRPr="0030358C">
              <w:rPr>
                <w:rFonts w:ascii="Arial" w:hAnsi="Arial" w:cs="Arial"/>
                <w:b/>
                <w:bCs/>
                <w:sz w:val="22"/>
                <w:szCs w:val="22"/>
                <w:lang w:eastAsia="zh-CN"/>
              </w:rPr>
              <w:t>NO</w:t>
            </w:r>
            <w:r w:rsidRPr="0030358C">
              <w:rPr>
                <w:rFonts w:ascii="Arial" w:hAnsi="Arial" w:cs="Arial"/>
                <w:b/>
                <w:bCs/>
                <w:sz w:val="22"/>
                <w:szCs w:val="22"/>
                <w:vertAlign w:val="subscript"/>
                <w:lang w:eastAsia="zh-CN"/>
              </w:rPr>
              <w:t>x</w:t>
            </w:r>
          </w:p>
        </w:tc>
        <w:tc>
          <w:tcPr>
            <w:tcW w:w="1569" w:type="dxa"/>
            <w:vMerge/>
            <w:tcBorders>
              <w:top w:val="single" w:sz="4" w:space="0" w:color="000000"/>
              <w:left w:val="single" w:sz="4" w:space="0" w:color="000000"/>
              <w:bottom w:val="single" w:sz="4" w:space="0" w:color="000000"/>
            </w:tcBorders>
            <w:shd w:val="clear" w:color="auto" w:fill="auto"/>
            <w:vAlign w:val="center"/>
          </w:tcPr>
          <w:p w14:paraId="41275386" w14:textId="77777777" w:rsidR="008F52C8" w:rsidRPr="0030358C" w:rsidRDefault="008F52C8" w:rsidP="00732453">
            <w:pPr>
              <w:keepNext/>
              <w:keepLines/>
              <w:snapToGrid w:val="0"/>
              <w:rPr>
                <w:rFonts w:ascii="Arial" w:hAnsi="Arial" w:cs="Arial"/>
                <w:b/>
                <w:bCs/>
                <w:sz w:val="22"/>
                <w:szCs w:val="22"/>
                <w:lang w:eastAsia="zh-CN"/>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BC0ACE" w14:textId="77777777" w:rsidR="008F52C8" w:rsidRPr="0030358C" w:rsidRDefault="008F52C8" w:rsidP="00732453">
            <w:pPr>
              <w:keepNext/>
              <w:keepLines/>
              <w:snapToGrid w:val="0"/>
              <w:rPr>
                <w:rFonts w:ascii="Arial" w:hAnsi="Arial" w:cs="Arial"/>
                <w:b/>
                <w:bCs/>
                <w:sz w:val="22"/>
                <w:szCs w:val="22"/>
                <w:lang w:eastAsia="zh-CN"/>
              </w:rPr>
            </w:pPr>
          </w:p>
        </w:tc>
      </w:tr>
      <w:tr w:rsidR="00E40657" w14:paraId="4B91C6B4" w14:textId="77777777" w:rsidTr="00732453">
        <w:trPr>
          <w:trHeight w:hRule="exact" w:val="348"/>
        </w:trPr>
        <w:tc>
          <w:tcPr>
            <w:tcW w:w="1884" w:type="dxa"/>
            <w:tcBorders>
              <w:left w:val="single" w:sz="4" w:space="0" w:color="000000"/>
              <w:bottom w:val="single" w:sz="4" w:space="0" w:color="000000"/>
            </w:tcBorders>
            <w:shd w:val="clear" w:color="auto" w:fill="auto"/>
            <w:vAlign w:val="center"/>
          </w:tcPr>
          <w:p w14:paraId="4F4A7CEF"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50</w:t>
            </w:r>
          </w:p>
        </w:tc>
        <w:tc>
          <w:tcPr>
            <w:tcW w:w="1884" w:type="dxa"/>
            <w:tcBorders>
              <w:left w:val="single" w:sz="4" w:space="0" w:color="000000"/>
              <w:bottom w:val="single" w:sz="4" w:space="0" w:color="000000"/>
            </w:tcBorders>
            <w:shd w:val="clear" w:color="auto" w:fill="auto"/>
            <w:vAlign w:val="center"/>
          </w:tcPr>
          <w:p w14:paraId="77A7C259"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1700</w:t>
            </w:r>
          </w:p>
        </w:tc>
        <w:tc>
          <w:tcPr>
            <w:tcW w:w="1883" w:type="dxa"/>
            <w:tcBorders>
              <w:left w:val="single" w:sz="4" w:space="0" w:color="000000"/>
              <w:bottom w:val="single" w:sz="4" w:space="0" w:color="000000"/>
            </w:tcBorders>
            <w:shd w:val="clear" w:color="auto" w:fill="auto"/>
            <w:vAlign w:val="center"/>
          </w:tcPr>
          <w:p w14:paraId="79D7D540"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700</w:t>
            </w:r>
          </w:p>
        </w:tc>
        <w:tc>
          <w:tcPr>
            <w:tcW w:w="1569" w:type="dxa"/>
            <w:tcBorders>
              <w:left w:val="single" w:sz="4" w:space="0" w:color="000000"/>
              <w:bottom w:val="single" w:sz="4" w:space="0" w:color="000000"/>
            </w:tcBorders>
            <w:shd w:val="clear" w:color="auto" w:fill="auto"/>
            <w:vAlign w:val="center"/>
          </w:tcPr>
          <w:p w14:paraId="681D0171"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17</w:t>
            </w:r>
          </w:p>
        </w:tc>
        <w:tc>
          <w:tcPr>
            <w:tcW w:w="2380" w:type="dxa"/>
            <w:tcBorders>
              <w:left w:val="single" w:sz="4" w:space="0" w:color="000000"/>
              <w:bottom w:val="single" w:sz="4" w:space="0" w:color="000000"/>
              <w:right w:val="single" w:sz="4" w:space="0" w:color="000000"/>
            </w:tcBorders>
            <w:shd w:val="clear" w:color="auto" w:fill="auto"/>
            <w:vAlign w:val="center"/>
          </w:tcPr>
          <w:p w14:paraId="3BCD3C5E" w14:textId="77777777" w:rsidR="008F52C8" w:rsidRPr="0030358C" w:rsidRDefault="00000000" w:rsidP="00732453">
            <w:pPr>
              <w:keepNext/>
              <w:keepLines/>
              <w:snapToGrid w:val="0"/>
              <w:jc w:val="center"/>
              <w:rPr>
                <w:rFonts w:ascii="Arial" w:hAnsi="Arial" w:cs="Arial"/>
                <w:b/>
                <w:bCs/>
                <w:sz w:val="22"/>
                <w:szCs w:val="22"/>
                <w:lang w:eastAsia="zh-CN"/>
              </w:rPr>
            </w:pPr>
            <w:r w:rsidRPr="0030358C">
              <w:rPr>
                <w:rFonts w:ascii="Arial" w:hAnsi="Arial" w:cs="Arial"/>
                <w:b/>
                <w:bCs/>
                <w:sz w:val="22"/>
                <w:szCs w:val="22"/>
                <w:lang w:eastAsia="zh-CN"/>
              </w:rPr>
              <w:t>A</w:t>
            </w:r>
          </w:p>
        </w:tc>
      </w:tr>
    </w:tbl>
    <w:p w14:paraId="3280B817" w14:textId="77777777" w:rsidR="008F52C8" w:rsidRPr="0030358C" w:rsidRDefault="008F52C8" w:rsidP="008F52C8">
      <w:pPr>
        <w:rPr>
          <w:rFonts w:ascii="Arial" w:hAnsi="Arial" w:cs="Arial"/>
          <w:b/>
          <w:bCs/>
          <w:sz w:val="22"/>
          <w:szCs w:val="22"/>
          <w:lang w:eastAsia="zh-CN"/>
        </w:rPr>
      </w:pPr>
    </w:p>
    <w:p w14:paraId="0F2315E3"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6.16. Výroba lihu, včetně biolihu, o celkové projektované kapacitě 10 000 hl bezvodého lihu za rok a více (kód 7.18. dle přílohy č. 2 zákona)</w:t>
      </w:r>
    </w:p>
    <w:p w14:paraId="500B5C89" w14:textId="77777777" w:rsidR="00B623A4" w:rsidRPr="0030358C" w:rsidRDefault="00B623A4" w:rsidP="008F52C8">
      <w:pPr>
        <w:rPr>
          <w:rFonts w:ascii="Arial" w:hAnsi="Arial" w:cs="Arial"/>
          <w:b/>
          <w:bCs/>
          <w:sz w:val="22"/>
          <w:szCs w:val="22"/>
          <w:lang w:eastAsia="zh-CN"/>
        </w:rPr>
      </w:pPr>
    </w:p>
    <w:p w14:paraId="5EE9E103" w14:textId="77777777" w:rsidR="00B623A4" w:rsidRPr="0030358C" w:rsidRDefault="00000000" w:rsidP="008F52C8">
      <w:pPr>
        <w:rPr>
          <w:rFonts w:ascii="Arial" w:hAnsi="Arial" w:cs="Arial"/>
          <w:sz w:val="22"/>
          <w:szCs w:val="22"/>
          <w:lang w:eastAsia="zh-CN"/>
        </w:rPr>
      </w:pPr>
      <w:r w:rsidRPr="0030358C">
        <w:rPr>
          <w:rFonts w:ascii="Arial" w:hAnsi="Arial" w:cs="Arial"/>
          <w:sz w:val="22"/>
          <w:szCs w:val="22"/>
          <w:lang w:eastAsia="zh-CN"/>
        </w:rPr>
        <w:t>Emisní limity a technické podmínky provozu platné od 1. 1. 2026</w:t>
      </w:r>
    </w:p>
    <w:p w14:paraId="4D6A29D9" w14:textId="77777777" w:rsidR="003A38B1" w:rsidRPr="0030358C" w:rsidRDefault="003A38B1" w:rsidP="008F52C8">
      <w:pPr>
        <w:rPr>
          <w:rFonts w:ascii="Arial" w:hAnsi="Arial" w:cs="Arial"/>
          <w:b/>
          <w:bCs/>
          <w:sz w:val="22"/>
          <w:szCs w:val="22"/>
          <w:lang w:eastAsia="zh-CN"/>
        </w:rPr>
      </w:pPr>
    </w:p>
    <w:tbl>
      <w:tblPr>
        <w:tblW w:w="967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26"/>
        <w:gridCol w:w="2596"/>
        <w:gridCol w:w="3856"/>
      </w:tblGrid>
      <w:tr w:rsidR="00E40657" w14:paraId="0528D3B5" w14:textId="77777777" w:rsidTr="00276D2F">
        <w:trPr>
          <w:trHeight w:val="218"/>
        </w:trPr>
        <w:tc>
          <w:tcPr>
            <w:tcW w:w="5822" w:type="dxa"/>
            <w:gridSpan w:val="2"/>
          </w:tcPr>
          <w:p w14:paraId="7CD44A09" w14:textId="77777777" w:rsidR="003A38B1" w:rsidRPr="0030358C" w:rsidRDefault="00000000" w:rsidP="00276D2F">
            <w:pPr>
              <w:spacing w:after="120"/>
              <w:jc w:val="center"/>
              <w:rPr>
                <w:rFonts w:ascii="Arial" w:hAnsi="Arial" w:cs="Arial"/>
                <w:b/>
                <w:bCs/>
                <w:sz w:val="22"/>
                <w:szCs w:val="22"/>
                <w:lang w:eastAsia="zh-CN"/>
              </w:rPr>
            </w:pPr>
            <w:r w:rsidRPr="0030358C">
              <w:rPr>
                <w:rFonts w:ascii="Arial" w:hAnsi="Arial" w:cs="Arial"/>
                <w:b/>
                <w:bCs/>
                <w:sz w:val="22"/>
                <w:szCs w:val="22"/>
                <w:lang w:eastAsia="zh-CN"/>
              </w:rPr>
              <w:t>Emisní limity [mg/m</w:t>
            </w:r>
            <w:r w:rsidRPr="0030358C">
              <w:rPr>
                <w:rFonts w:ascii="Arial" w:hAnsi="Arial" w:cs="Arial"/>
                <w:b/>
                <w:bCs/>
                <w:sz w:val="22"/>
                <w:szCs w:val="22"/>
                <w:vertAlign w:val="superscript"/>
                <w:lang w:eastAsia="zh-CN"/>
              </w:rPr>
              <w:t>3</w:t>
            </w:r>
            <w:r w:rsidRPr="0030358C">
              <w:rPr>
                <w:rFonts w:ascii="Arial" w:hAnsi="Arial" w:cs="Arial"/>
                <w:b/>
                <w:bCs/>
                <w:sz w:val="22"/>
                <w:szCs w:val="22"/>
                <w:lang w:eastAsia="zh-CN"/>
              </w:rPr>
              <w:t>]</w:t>
            </w:r>
          </w:p>
        </w:tc>
        <w:tc>
          <w:tcPr>
            <w:tcW w:w="3856" w:type="dxa"/>
          </w:tcPr>
          <w:p w14:paraId="77294429" w14:textId="77777777" w:rsidR="003A38B1" w:rsidRPr="0030358C" w:rsidRDefault="00000000" w:rsidP="00276D2F">
            <w:pPr>
              <w:spacing w:after="120"/>
              <w:jc w:val="center"/>
              <w:rPr>
                <w:rFonts w:ascii="Arial" w:hAnsi="Arial" w:cs="Arial"/>
                <w:b/>
                <w:bCs/>
                <w:sz w:val="22"/>
                <w:szCs w:val="22"/>
                <w:lang w:eastAsia="zh-CN"/>
              </w:rPr>
            </w:pPr>
            <w:r w:rsidRPr="0030358C">
              <w:rPr>
                <w:rFonts w:ascii="Arial" w:hAnsi="Arial" w:cs="Arial"/>
                <w:b/>
                <w:bCs/>
                <w:sz w:val="22"/>
                <w:szCs w:val="22"/>
                <w:lang w:eastAsia="zh-CN"/>
              </w:rPr>
              <w:t>Vztažné podmínky</w:t>
            </w:r>
          </w:p>
        </w:tc>
      </w:tr>
      <w:tr w:rsidR="00E40657" w14:paraId="73B658D1" w14:textId="77777777" w:rsidTr="00276D2F">
        <w:trPr>
          <w:trHeight w:val="218"/>
        </w:trPr>
        <w:tc>
          <w:tcPr>
            <w:tcW w:w="3226" w:type="dxa"/>
          </w:tcPr>
          <w:p w14:paraId="0A4E6F25" w14:textId="77777777" w:rsidR="003A38B1" w:rsidRPr="0030358C" w:rsidRDefault="00000000" w:rsidP="00276D2F">
            <w:pPr>
              <w:spacing w:after="120"/>
              <w:jc w:val="center"/>
              <w:rPr>
                <w:rFonts w:ascii="Arial" w:hAnsi="Arial" w:cs="Arial"/>
                <w:b/>
                <w:bCs/>
                <w:sz w:val="22"/>
                <w:szCs w:val="22"/>
                <w:lang w:eastAsia="zh-CN"/>
              </w:rPr>
            </w:pPr>
            <w:r w:rsidRPr="0030358C">
              <w:rPr>
                <w:rFonts w:ascii="Arial" w:hAnsi="Arial" w:cs="Arial"/>
                <w:b/>
                <w:bCs/>
                <w:sz w:val="22"/>
                <w:szCs w:val="22"/>
                <w:lang w:eastAsia="zh-CN"/>
              </w:rPr>
              <w:t>TZL</w:t>
            </w:r>
          </w:p>
        </w:tc>
        <w:tc>
          <w:tcPr>
            <w:tcW w:w="2596" w:type="dxa"/>
          </w:tcPr>
          <w:p w14:paraId="7E0A8E3E" w14:textId="77777777" w:rsidR="003A38B1" w:rsidRPr="0030358C" w:rsidRDefault="00000000" w:rsidP="00276D2F">
            <w:pPr>
              <w:spacing w:after="120"/>
              <w:jc w:val="center"/>
              <w:rPr>
                <w:rFonts w:ascii="Arial" w:hAnsi="Arial" w:cs="Arial"/>
                <w:b/>
                <w:bCs/>
                <w:sz w:val="22"/>
                <w:szCs w:val="22"/>
                <w:lang w:eastAsia="zh-CN"/>
              </w:rPr>
            </w:pPr>
            <w:r w:rsidRPr="0030358C">
              <w:rPr>
                <w:rFonts w:ascii="Arial" w:hAnsi="Arial" w:cs="Arial"/>
                <w:b/>
                <w:bCs/>
                <w:sz w:val="22"/>
                <w:szCs w:val="22"/>
                <w:lang w:eastAsia="zh-CN"/>
              </w:rPr>
              <w:t>TOC</w:t>
            </w:r>
          </w:p>
        </w:tc>
        <w:tc>
          <w:tcPr>
            <w:tcW w:w="3856" w:type="dxa"/>
            <w:vMerge w:val="restart"/>
          </w:tcPr>
          <w:p w14:paraId="75FFDC60" w14:textId="77777777" w:rsidR="003A38B1" w:rsidRPr="0030358C" w:rsidRDefault="00000000" w:rsidP="00276D2F">
            <w:pPr>
              <w:spacing w:after="120"/>
              <w:jc w:val="center"/>
              <w:rPr>
                <w:rFonts w:ascii="Arial" w:hAnsi="Arial" w:cs="Arial"/>
                <w:b/>
                <w:bCs/>
                <w:sz w:val="22"/>
                <w:szCs w:val="22"/>
                <w:lang w:eastAsia="zh-CN"/>
              </w:rPr>
            </w:pPr>
            <w:r w:rsidRPr="0030358C">
              <w:rPr>
                <w:rFonts w:ascii="Arial" w:hAnsi="Arial" w:cs="Arial"/>
                <w:b/>
                <w:bCs/>
                <w:sz w:val="22"/>
                <w:szCs w:val="22"/>
                <w:lang w:eastAsia="zh-CN"/>
              </w:rPr>
              <w:t>C</w:t>
            </w:r>
          </w:p>
        </w:tc>
      </w:tr>
      <w:tr w:rsidR="00E40657" w14:paraId="00A8FBEF" w14:textId="77777777" w:rsidTr="00276D2F">
        <w:trPr>
          <w:trHeight w:val="218"/>
        </w:trPr>
        <w:tc>
          <w:tcPr>
            <w:tcW w:w="3226" w:type="dxa"/>
          </w:tcPr>
          <w:p w14:paraId="357A3333" w14:textId="77777777" w:rsidR="003A38B1" w:rsidRPr="0030358C" w:rsidRDefault="00000000" w:rsidP="00276D2F">
            <w:pPr>
              <w:spacing w:after="120"/>
              <w:jc w:val="center"/>
              <w:rPr>
                <w:rFonts w:ascii="Arial" w:hAnsi="Arial" w:cs="Arial"/>
                <w:b/>
                <w:bCs/>
                <w:sz w:val="22"/>
                <w:szCs w:val="22"/>
                <w:lang w:eastAsia="zh-CN"/>
              </w:rPr>
            </w:pPr>
            <w:r w:rsidRPr="0030358C">
              <w:rPr>
                <w:rFonts w:ascii="Arial" w:hAnsi="Arial" w:cs="Arial"/>
                <w:b/>
                <w:bCs/>
                <w:sz w:val="22"/>
                <w:szCs w:val="22"/>
                <w:lang w:eastAsia="zh-CN"/>
              </w:rPr>
              <w:t>10</w:t>
            </w:r>
            <w:r w:rsidRPr="0030358C">
              <w:rPr>
                <w:rFonts w:ascii="Arial" w:hAnsi="Arial" w:cs="Arial"/>
                <w:b/>
                <w:bCs/>
                <w:sz w:val="22"/>
                <w:szCs w:val="22"/>
                <w:vertAlign w:val="superscript"/>
                <w:lang w:eastAsia="zh-CN"/>
              </w:rPr>
              <w:t>1</w:t>
            </w:r>
          </w:p>
        </w:tc>
        <w:tc>
          <w:tcPr>
            <w:tcW w:w="2596" w:type="dxa"/>
          </w:tcPr>
          <w:p w14:paraId="2C0B0D4F" w14:textId="77777777" w:rsidR="003A38B1" w:rsidRPr="0030358C" w:rsidRDefault="00000000" w:rsidP="00276D2F">
            <w:pPr>
              <w:spacing w:after="120"/>
              <w:jc w:val="center"/>
              <w:rPr>
                <w:rFonts w:ascii="Arial" w:hAnsi="Arial" w:cs="Arial"/>
                <w:b/>
                <w:bCs/>
                <w:sz w:val="22"/>
                <w:szCs w:val="22"/>
                <w:vertAlign w:val="superscript"/>
                <w:lang w:eastAsia="zh-CN"/>
              </w:rPr>
            </w:pPr>
            <w:r w:rsidRPr="0030358C">
              <w:rPr>
                <w:rFonts w:ascii="Arial" w:hAnsi="Arial" w:cs="Arial"/>
                <w:b/>
                <w:bCs/>
                <w:sz w:val="22"/>
                <w:szCs w:val="22"/>
                <w:lang w:eastAsia="zh-CN"/>
              </w:rPr>
              <w:t>50</w:t>
            </w:r>
            <w:r w:rsidRPr="0030358C">
              <w:rPr>
                <w:rFonts w:ascii="Arial" w:hAnsi="Arial" w:cs="Arial"/>
                <w:b/>
                <w:bCs/>
                <w:sz w:val="22"/>
                <w:szCs w:val="22"/>
                <w:vertAlign w:val="superscript"/>
                <w:lang w:eastAsia="zh-CN"/>
              </w:rPr>
              <w:t>2</w:t>
            </w:r>
          </w:p>
          <w:p w14:paraId="3F0A6B1D" w14:textId="77777777" w:rsidR="003A38B1" w:rsidRPr="0030358C" w:rsidRDefault="00000000" w:rsidP="00276D2F">
            <w:pPr>
              <w:spacing w:after="120"/>
              <w:jc w:val="center"/>
              <w:rPr>
                <w:rFonts w:ascii="Arial" w:hAnsi="Arial" w:cs="Arial"/>
                <w:b/>
                <w:bCs/>
                <w:sz w:val="22"/>
                <w:szCs w:val="22"/>
                <w:vertAlign w:val="superscript"/>
                <w:lang w:eastAsia="zh-CN"/>
              </w:rPr>
            </w:pPr>
            <w:r w:rsidRPr="0030358C">
              <w:rPr>
                <w:rFonts w:ascii="Arial" w:hAnsi="Arial" w:cs="Arial"/>
                <w:b/>
                <w:bCs/>
                <w:sz w:val="22"/>
                <w:szCs w:val="22"/>
                <w:lang w:eastAsia="zh-CN"/>
              </w:rPr>
              <w:t>25</w:t>
            </w:r>
            <w:r w:rsidRPr="0030358C">
              <w:rPr>
                <w:rFonts w:ascii="Arial" w:hAnsi="Arial" w:cs="Arial"/>
                <w:b/>
                <w:bCs/>
                <w:sz w:val="22"/>
                <w:szCs w:val="22"/>
                <w:vertAlign w:val="superscript"/>
                <w:lang w:eastAsia="zh-CN"/>
              </w:rPr>
              <w:t>3</w:t>
            </w:r>
          </w:p>
        </w:tc>
        <w:tc>
          <w:tcPr>
            <w:tcW w:w="3856" w:type="dxa"/>
            <w:vMerge/>
          </w:tcPr>
          <w:p w14:paraId="0DBC0218" w14:textId="77777777" w:rsidR="003A38B1" w:rsidRPr="0030358C" w:rsidRDefault="003A38B1" w:rsidP="00276D2F">
            <w:pPr>
              <w:spacing w:after="120"/>
              <w:rPr>
                <w:rFonts w:ascii="Arial" w:hAnsi="Arial" w:cs="Arial"/>
                <w:b/>
                <w:bCs/>
                <w:sz w:val="22"/>
                <w:szCs w:val="22"/>
                <w:lang w:eastAsia="zh-CN"/>
              </w:rPr>
            </w:pPr>
          </w:p>
        </w:tc>
      </w:tr>
    </w:tbl>
    <w:p w14:paraId="6DD5AF8D" w14:textId="77777777" w:rsidR="003A38B1"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w:t>
      </w:r>
    </w:p>
    <w:p w14:paraId="39BCA91D"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 xml:space="preserve">Vysvětlivky: </w:t>
      </w:r>
    </w:p>
    <w:p w14:paraId="15B08A5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1) platí pro drcení a skladování obilí</w:t>
      </w:r>
    </w:p>
    <w:p w14:paraId="30B7E60D"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2) platí pro výrobu ethanolu</w:t>
      </w:r>
    </w:p>
    <w:p w14:paraId="1A014E47" w14:textId="77777777" w:rsidR="008F52C8" w:rsidRPr="0030358C" w:rsidRDefault="00000000" w:rsidP="008F52C8">
      <w:pPr>
        <w:rPr>
          <w:rFonts w:ascii="Arial" w:hAnsi="Arial" w:cs="Arial"/>
          <w:b/>
          <w:bCs/>
          <w:sz w:val="22"/>
          <w:szCs w:val="22"/>
          <w:lang w:eastAsia="zh-CN"/>
        </w:rPr>
      </w:pPr>
      <w:r w:rsidRPr="0030358C">
        <w:rPr>
          <w:rFonts w:ascii="Arial" w:hAnsi="Arial" w:cs="Arial"/>
          <w:b/>
          <w:bCs/>
          <w:sz w:val="22"/>
          <w:szCs w:val="22"/>
          <w:lang w:eastAsia="zh-CN"/>
        </w:rPr>
        <w:t>3) platí pro zpracování lihovarských výpalků</w:t>
      </w:r>
    </w:p>
    <w:p w14:paraId="3F24AD32" w14:textId="77777777" w:rsidR="008F52C8" w:rsidRPr="0030358C" w:rsidRDefault="008F52C8" w:rsidP="008F52C8">
      <w:pPr>
        <w:rPr>
          <w:rFonts w:ascii="Arial" w:hAnsi="Arial" w:cs="Arial"/>
          <w:b/>
          <w:bCs/>
          <w:sz w:val="22"/>
          <w:szCs w:val="22"/>
          <w:lang w:eastAsia="zh-CN"/>
        </w:rPr>
      </w:pPr>
    </w:p>
    <w:p w14:paraId="7D1521DD"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Technické podmínky provozu:</w:t>
      </w:r>
    </w:p>
    <w:p w14:paraId="2EC11F29"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Při zpracování lihovarských výpalků, využívat nejlepší dostupná a technicky realizovatelná opatření ke snižování emisí znečišťujících látek obtěžujících zápachem, např. svedením emisí organických látek na zařízení ke snižování emisí (jednotku termického spalování, na filtr s aktivním uhlím apod.).</w:t>
      </w:r>
    </w:p>
    <w:p w14:paraId="41D535BF" w14:textId="77777777" w:rsidR="008F52C8" w:rsidRPr="0030358C" w:rsidRDefault="00000000" w:rsidP="008F52C8">
      <w:pPr>
        <w:spacing w:before="120"/>
        <w:rPr>
          <w:rFonts w:ascii="Arial" w:hAnsi="Arial" w:cs="Arial"/>
          <w:b/>
          <w:bCs/>
          <w:sz w:val="22"/>
          <w:szCs w:val="22"/>
          <w:lang w:eastAsia="zh-CN"/>
        </w:rPr>
      </w:pPr>
      <w:r w:rsidRPr="0030358C">
        <w:rPr>
          <w:rFonts w:ascii="Arial" w:hAnsi="Arial" w:cs="Arial"/>
          <w:b/>
          <w:bCs/>
          <w:sz w:val="22"/>
          <w:szCs w:val="22"/>
          <w:lang w:eastAsia="zh-CN"/>
        </w:rPr>
        <w:t>Pro omezení emisí TZL ze zpracování sladu využívat technologie ke snižování emisí.</w:t>
      </w:r>
    </w:p>
    <w:p w14:paraId="2B7BAFAA" w14:textId="77777777" w:rsidR="008F52C8" w:rsidRPr="0030358C" w:rsidRDefault="008F52C8" w:rsidP="008F52C8">
      <w:pPr>
        <w:rPr>
          <w:rFonts w:ascii="Arial" w:hAnsi="Arial" w:cs="Arial"/>
          <w:b/>
          <w:bCs/>
          <w:sz w:val="22"/>
          <w:szCs w:val="22"/>
          <w:lang w:eastAsia="zh-CN"/>
        </w:rPr>
      </w:pPr>
    </w:p>
    <w:p w14:paraId="430EC6FA" w14:textId="77777777" w:rsidR="008F52C8" w:rsidRPr="0030358C" w:rsidRDefault="008F52C8" w:rsidP="008F52C8">
      <w:pPr>
        <w:jc w:val="both"/>
        <w:rPr>
          <w:rFonts w:ascii="Arial" w:hAnsi="Arial" w:cs="Arial"/>
          <w:b/>
          <w:bCs/>
          <w:sz w:val="22"/>
          <w:szCs w:val="22"/>
          <w:lang w:eastAsia="zh-CN"/>
        </w:rPr>
      </w:pPr>
    </w:p>
    <w:p w14:paraId="28F443D5"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7. CHOVY HOSPODÁŘSKÝCH ZVÍŘAT</w:t>
      </w:r>
    </w:p>
    <w:p w14:paraId="3DDB0225" w14:textId="77777777" w:rsidR="008F52C8" w:rsidRPr="0030358C" w:rsidRDefault="008F52C8" w:rsidP="008F52C8">
      <w:pPr>
        <w:jc w:val="both"/>
        <w:rPr>
          <w:rFonts w:ascii="Arial" w:hAnsi="Arial" w:cs="Arial"/>
          <w:b/>
          <w:bCs/>
          <w:sz w:val="22"/>
          <w:szCs w:val="22"/>
          <w:lang w:eastAsia="zh-CN"/>
        </w:rPr>
      </w:pPr>
    </w:p>
    <w:p w14:paraId="15EE0F06" w14:textId="77777777" w:rsidR="008F52C8" w:rsidRPr="0030358C" w:rsidRDefault="00000000" w:rsidP="008F52C8">
      <w:pPr>
        <w:jc w:val="both"/>
        <w:rPr>
          <w:rFonts w:ascii="Arial" w:hAnsi="Arial" w:cs="Arial"/>
          <w:b/>
          <w:bCs/>
          <w:sz w:val="22"/>
          <w:szCs w:val="22"/>
          <w:lang w:eastAsia="zh-CN"/>
        </w:rPr>
      </w:pPr>
      <w:r w:rsidRPr="0030358C">
        <w:rPr>
          <w:rFonts w:ascii="Arial" w:hAnsi="Arial" w:cs="Arial"/>
          <w:b/>
          <w:bCs/>
          <w:sz w:val="22"/>
          <w:szCs w:val="22"/>
          <w:lang w:eastAsia="zh-CN"/>
        </w:rPr>
        <w:t>7.1. Chovy hospodářských zvířat s celkovou projektovanou roční emisí amoniaku 5 t a více (kód 8. přílohy č. 2 zákona)</w:t>
      </w:r>
    </w:p>
    <w:p w14:paraId="68C31AE4" w14:textId="77777777" w:rsidR="008F52C8" w:rsidRPr="0030358C" w:rsidRDefault="008F52C8" w:rsidP="008F52C8">
      <w:pPr>
        <w:jc w:val="both"/>
        <w:rPr>
          <w:rFonts w:ascii="Arial" w:hAnsi="Arial" w:cs="Arial"/>
          <w:b/>
          <w:bCs/>
          <w:sz w:val="22"/>
          <w:szCs w:val="22"/>
          <w:lang w:eastAsia="zh-CN"/>
        </w:rPr>
      </w:pPr>
    </w:p>
    <w:p w14:paraId="1FEB8222" w14:textId="77777777" w:rsidR="008F52C8" w:rsidRPr="0030358C" w:rsidRDefault="00000000" w:rsidP="008F52C8">
      <w:pPr>
        <w:widowControl w:val="0"/>
        <w:autoSpaceDE w:val="0"/>
        <w:spacing w:after="120"/>
        <w:jc w:val="both"/>
        <w:rPr>
          <w:rFonts w:ascii="Arial" w:hAnsi="Arial" w:cs="Arial"/>
          <w:b/>
          <w:bCs/>
          <w:sz w:val="22"/>
          <w:szCs w:val="22"/>
          <w:lang w:eastAsia="cs-CZ"/>
        </w:rPr>
      </w:pPr>
      <w:r w:rsidRPr="0030358C">
        <w:rPr>
          <w:rFonts w:ascii="Arial" w:hAnsi="Arial" w:cs="Arial"/>
          <w:b/>
          <w:bCs/>
          <w:sz w:val="22"/>
          <w:szCs w:val="22"/>
          <w:lang w:eastAsia="cs-CZ"/>
        </w:rPr>
        <w:t>Technická podmínka provozu:</w:t>
      </w:r>
    </w:p>
    <w:p w14:paraId="28EC1C02" w14:textId="77777777" w:rsidR="008F52C8" w:rsidRPr="0030358C" w:rsidRDefault="00000000" w:rsidP="008F52C8">
      <w:pPr>
        <w:widowControl w:val="0"/>
        <w:autoSpaceDE w:val="0"/>
        <w:autoSpaceDN w:val="0"/>
        <w:adjustRightInd w:val="0"/>
        <w:jc w:val="both"/>
        <w:rPr>
          <w:rFonts w:ascii="Arial" w:hAnsi="Arial" w:cs="Arial"/>
          <w:b/>
          <w:bCs/>
          <w:sz w:val="22"/>
          <w:szCs w:val="22"/>
          <w:lang w:eastAsia="cs-CZ"/>
        </w:rPr>
      </w:pPr>
      <w:r w:rsidRPr="0030358C">
        <w:rPr>
          <w:rFonts w:ascii="Arial" w:hAnsi="Arial" w:cs="Arial"/>
          <w:b/>
          <w:bCs/>
          <w:sz w:val="22"/>
          <w:szCs w:val="22"/>
          <w:lang w:eastAsia="cs-CZ"/>
        </w:rPr>
        <w:t xml:space="preserve">Za účelem předcházení emisí znečišťujících látek obtěžujících zápachem </w:t>
      </w:r>
      <w:r w:rsidRPr="0030358C">
        <w:rPr>
          <w:rFonts w:ascii="Arial" w:hAnsi="Arial" w:cs="Arial"/>
          <w:b/>
          <w:bCs/>
          <w:sz w:val="22"/>
          <w:szCs w:val="22"/>
          <w:lang w:eastAsia="zh-CN"/>
        </w:rPr>
        <w:t>zajistit na všech částech technologie, včetně uskladnění a aplikace exkrementů, technicko-organizační opatření ke snížení těchto emisí např.</w:t>
      </w:r>
      <w:r w:rsidRPr="0030358C">
        <w:rPr>
          <w:rFonts w:ascii="Arial" w:hAnsi="Arial" w:cs="Arial"/>
          <w:b/>
          <w:bCs/>
          <w:sz w:val="22"/>
          <w:szCs w:val="22"/>
          <w:lang w:eastAsia="cs-CZ"/>
        </w:rPr>
        <w:t xml:space="preserve"> využitím snižujících technologii, jejichž seznam je uveden ve Věstníku Ministerstva životního prostředí.</w:t>
      </w:r>
    </w:p>
    <w:p w14:paraId="04FB4169" w14:textId="77777777" w:rsidR="008F52C8" w:rsidRPr="0030358C" w:rsidRDefault="008F52C8" w:rsidP="008F52C8">
      <w:pPr>
        <w:widowControl w:val="0"/>
        <w:autoSpaceDE w:val="0"/>
        <w:autoSpaceDN w:val="0"/>
        <w:adjustRightInd w:val="0"/>
        <w:jc w:val="both"/>
        <w:rPr>
          <w:rFonts w:ascii="Arial" w:hAnsi="Arial" w:cs="Arial"/>
          <w:b/>
          <w:bCs/>
          <w:sz w:val="22"/>
          <w:szCs w:val="22"/>
          <w:lang w:eastAsia="cs-CZ"/>
        </w:rPr>
      </w:pPr>
    </w:p>
    <w:p w14:paraId="360913F7" w14:textId="77777777" w:rsidR="008F52C8" w:rsidRPr="0030358C" w:rsidRDefault="00000000" w:rsidP="008F52C8">
      <w:pPr>
        <w:widowControl w:val="0"/>
        <w:autoSpaceDE w:val="0"/>
        <w:autoSpaceDN w:val="0"/>
        <w:adjustRightInd w:val="0"/>
        <w:jc w:val="both"/>
        <w:rPr>
          <w:rFonts w:ascii="Arial" w:hAnsi="Arial" w:cs="Arial"/>
          <w:b/>
          <w:bCs/>
          <w:sz w:val="22"/>
          <w:szCs w:val="22"/>
          <w:lang w:eastAsia="cs-CZ"/>
        </w:rPr>
      </w:pPr>
      <w:r w:rsidRPr="0030358C">
        <w:rPr>
          <w:rFonts w:ascii="Arial" w:hAnsi="Arial" w:cs="Arial"/>
          <w:b/>
          <w:bCs/>
          <w:sz w:val="22"/>
          <w:szCs w:val="22"/>
          <w:lang w:eastAsia="cs-CZ"/>
        </w:rPr>
        <w:t>8. STACIONÁRNÍ ZDROJE NEZAŘADITELNÉ POD</w:t>
      </w:r>
      <w:r w:rsidR="006F7E06" w:rsidRPr="0030358C">
        <w:rPr>
          <w:rFonts w:ascii="Arial" w:hAnsi="Arial" w:cs="Arial"/>
          <w:b/>
          <w:bCs/>
          <w:sz w:val="22"/>
          <w:szCs w:val="22"/>
          <w:lang w:eastAsia="cs-CZ"/>
        </w:rPr>
        <w:t xml:space="preserve"> </w:t>
      </w:r>
      <w:r w:rsidRPr="0030358C">
        <w:rPr>
          <w:rFonts w:ascii="Arial" w:hAnsi="Arial" w:cs="Arial"/>
          <w:b/>
          <w:bCs/>
          <w:sz w:val="22"/>
          <w:szCs w:val="22"/>
          <w:lang w:eastAsia="cs-CZ"/>
        </w:rPr>
        <w:t>KÓDY 1.1</w:t>
      </w:r>
      <w:r w:rsidR="00B623A4" w:rsidRPr="0030358C">
        <w:rPr>
          <w:rFonts w:ascii="Arial" w:hAnsi="Arial" w:cs="Arial"/>
          <w:b/>
          <w:bCs/>
          <w:sz w:val="22"/>
          <w:szCs w:val="22"/>
          <w:lang w:eastAsia="cs-CZ"/>
        </w:rPr>
        <w:t>.</w:t>
      </w:r>
      <w:r w:rsidRPr="0030358C">
        <w:rPr>
          <w:rFonts w:ascii="Arial" w:hAnsi="Arial" w:cs="Arial"/>
          <w:b/>
          <w:bCs/>
          <w:sz w:val="22"/>
          <w:szCs w:val="22"/>
          <w:lang w:eastAsia="cs-CZ"/>
        </w:rPr>
        <w:t xml:space="preserve"> AŽ 10.2</w:t>
      </w:r>
      <w:r w:rsidR="00B623A4" w:rsidRPr="0030358C">
        <w:rPr>
          <w:rFonts w:ascii="Arial" w:hAnsi="Arial" w:cs="Arial"/>
          <w:b/>
          <w:bCs/>
          <w:sz w:val="22"/>
          <w:szCs w:val="22"/>
          <w:lang w:eastAsia="cs-CZ"/>
        </w:rPr>
        <w:t>.</w:t>
      </w:r>
    </w:p>
    <w:p w14:paraId="154FB4C3" w14:textId="77777777" w:rsidR="008F52C8" w:rsidRPr="0030358C" w:rsidRDefault="008F52C8" w:rsidP="008F52C8">
      <w:pPr>
        <w:widowControl w:val="0"/>
        <w:autoSpaceDE w:val="0"/>
        <w:autoSpaceDN w:val="0"/>
        <w:adjustRightInd w:val="0"/>
        <w:jc w:val="both"/>
        <w:rPr>
          <w:rFonts w:ascii="Arial" w:hAnsi="Arial" w:cs="Arial"/>
          <w:b/>
          <w:bCs/>
          <w:sz w:val="22"/>
          <w:szCs w:val="22"/>
          <w:lang w:eastAsia="cs-CZ"/>
        </w:rPr>
      </w:pPr>
    </w:p>
    <w:p w14:paraId="2DD66200" w14:textId="77777777" w:rsidR="008F52C8" w:rsidRPr="0030358C" w:rsidRDefault="00000000" w:rsidP="008F52C8">
      <w:pPr>
        <w:widowControl w:val="0"/>
        <w:autoSpaceDE w:val="0"/>
        <w:autoSpaceDN w:val="0"/>
        <w:adjustRightInd w:val="0"/>
        <w:jc w:val="both"/>
        <w:rPr>
          <w:rFonts w:ascii="Arial" w:hAnsi="Arial" w:cs="Arial"/>
          <w:b/>
          <w:bCs/>
          <w:sz w:val="22"/>
          <w:szCs w:val="22"/>
          <w:lang w:eastAsia="cs-CZ"/>
        </w:rPr>
      </w:pPr>
      <w:r w:rsidRPr="0030358C">
        <w:rPr>
          <w:rFonts w:ascii="Arial" w:hAnsi="Arial" w:cs="Arial"/>
          <w:b/>
          <w:bCs/>
          <w:sz w:val="22"/>
          <w:szCs w:val="22"/>
          <w:lang w:eastAsia="cs-CZ"/>
        </w:rPr>
        <w:t>8.1</w:t>
      </w:r>
      <w:r w:rsidR="00B623A4" w:rsidRPr="0030358C">
        <w:rPr>
          <w:rFonts w:ascii="Arial" w:hAnsi="Arial" w:cs="Arial"/>
          <w:b/>
          <w:bCs/>
          <w:sz w:val="22"/>
          <w:szCs w:val="22"/>
          <w:lang w:eastAsia="cs-CZ"/>
        </w:rPr>
        <w:t>.</w:t>
      </w:r>
      <w:r w:rsidRPr="0030358C">
        <w:rPr>
          <w:rFonts w:ascii="Arial" w:hAnsi="Arial" w:cs="Arial"/>
          <w:b/>
          <w:bCs/>
          <w:sz w:val="22"/>
          <w:szCs w:val="22"/>
          <w:lang w:eastAsia="cs-CZ"/>
        </w:rPr>
        <w:t xml:space="preserve"> Manipulace se sypkými materiály včetně jejich skladování na otevřených plochách jinde neuvedené s celkovou projektovanou plochou deponií 3000 m</w:t>
      </w:r>
      <w:r w:rsidRPr="0030358C">
        <w:rPr>
          <w:rFonts w:ascii="Arial" w:hAnsi="Arial" w:cs="Arial"/>
          <w:b/>
          <w:bCs/>
          <w:sz w:val="22"/>
          <w:szCs w:val="22"/>
          <w:vertAlign w:val="superscript"/>
          <w:lang w:eastAsia="cs-CZ"/>
        </w:rPr>
        <w:t>2</w:t>
      </w:r>
      <w:r w:rsidRPr="0030358C">
        <w:rPr>
          <w:rFonts w:ascii="Arial" w:hAnsi="Arial" w:cs="Arial"/>
          <w:b/>
          <w:bCs/>
          <w:sz w:val="22"/>
          <w:szCs w:val="22"/>
          <w:lang w:eastAsia="cs-CZ"/>
        </w:rPr>
        <w:t xml:space="preserve"> a více s výjimkou stavenišť (kód 12.1. přílohy č. 2 zákona).</w:t>
      </w:r>
    </w:p>
    <w:p w14:paraId="147A6694" w14:textId="77777777" w:rsidR="008F52C8" w:rsidRPr="0030358C" w:rsidRDefault="008F52C8" w:rsidP="008F52C8">
      <w:pPr>
        <w:widowControl w:val="0"/>
        <w:autoSpaceDE w:val="0"/>
        <w:autoSpaceDN w:val="0"/>
        <w:adjustRightInd w:val="0"/>
        <w:jc w:val="both"/>
        <w:rPr>
          <w:rFonts w:ascii="Arial" w:hAnsi="Arial" w:cs="Arial"/>
          <w:b/>
          <w:bCs/>
          <w:sz w:val="22"/>
          <w:szCs w:val="22"/>
          <w:lang w:eastAsia="cs-CZ"/>
        </w:rPr>
      </w:pPr>
    </w:p>
    <w:p w14:paraId="36BE07AB" w14:textId="77777777" w:rsidR="008F52C8" w:rsidRPr="0030358C" w:rsidRDefault="00000000" w:rsidP="008F52C8">
      <w:pPr>
        <w:widowControl w:val="0"/>
        <w:autoSpaceDE w:val="0"/>
        <w:autoSpaceDN w:val="0"/>
        <w:adjustRightInd w:val="0"/>
        <w:spacing w:before="120"/>
        <w:jc w:val="both"/>
        <w:rPr>
          <w:rFonts w:ascii="Arial" w:hAnsi="Arial" w:cs="Arial"/>
          <w:b/>
          <w:bCs/>
          <w:sz w:val="22"/>
          <w:szCs w:val="22"/>
          <w:lang w:eastAsia="cs-CZ"/>
        </w:rPr>
      </w:pPr>
      <w:r w:rsidRPr="0030358C">
        <w:rPr>
          <w:rFonts w:ascii="Arial" w:hAnsi="Arial" w:cs="Arial"/>
          <w:b/>
          <w:bCs/>
          <w:sz w:val="22"/>
          <w:szCs w:val="22"/>
          <w:lang w:eastAsia="cs-CZ"/>
        </w:rPr>
        <w:t>Technické podmínky provozu:</w:t>
      </w:r>
    </w:p>
    <w:p w14:paraId="33390509" w14:textId="77777777" w:rsidR="008F52C8" w:rsidRPr="0030358C" w:rsidRDefault="00000000" w:rsidP="008F52C8">
      <w:pPr>
        <w:widowControl w:val="0"/>
        <w:autoSpaceDE w:val="0"/>
        <w:autoSpaceDN w:val="0"/>
        <w:adjustRightInd w:val="0"/>
        <w:spacing w:before="120"/>
        <w:jc w:val="both"/>
        <w:rPr>
          <w:rFonts w:ascii="Arial" w:hAnsi="Arial" w:cs="Arial"/>
          <w:b/>
          <w:bCs/>
          <w:sz w:val="22"/>
          <w:szCs w:val="22"/>
          <w:lang w:eastAsia="cs-CZ"/>
        </w:rPr>
      </w:pPr>
      <w:r w:rsidRPr="0030358C">
        <w:rPr>
          <w:rFonts w:ascii="Arial" w:hAnsi="Arial" w:cs="Arial"/>
          <w:b/>
          <w:bCs/>
          <w:sz w:val="22"/>
          <w:szCs w:val="22"/>
          <w:lang w:eastAsia="cs-CZ"/>
        </w:rPr>
        <w:t>Aplikace některých z níže uvedených postupů s přihlédnutím ke kvalitě ovzduší v lokalitě, umístění lokality, povětrnostním podmínkám, teplotě vzduchu, vlhkosti vzduchu, charakter</w:t>
      </w:r>
      <w:r w:rsidR="00DB799A" w:rsidRPr="0030358C">
        <w:rPr>
          <w:rFonts w:ascii="Arial" w:hAnsi="Arial" w:cs="Arial"/>
          <w:b/>
          <w:bCs/>
          <w:sz w:val="22"/>
          <w:szCs w:val="22"/>
          <w:lang w:eastAsia="cs-CZ"/>
        </w:rPr>
        <w:t>u</w:t>
      </w:r>
      <w:r w:rsidRPr="0030358C">
        <w:rPr>
          <w:rFonts w:ascii="Arial" w:hAnsi="Arial" w:cs="Arial"/>
          <w:b/>
          <w:bCs/>
          <w:sz w:val="22"/>
          <w:szCs w:val="22"/>
          <w:lang w:eastAsia="cs-CZ"/>
        </w:rPr>
        <w:t xml:space="preserve"> manipulačních činností, velikosti frakcí (zrnitosti), kompaktnosti, pevnosti, sypným úhlem a fyzikálně – mechanickým vlastnostem materiálu, případně aplikaci minimálních vzdáleností:</w:t>
      </w:r>
    </w:p>
    <w:p w14:paraId="2D8302E9" w14:textId="77777777" w:rsidR="008F52C8" w:rsidRPr="0030358C" w:rsidRDefault="00000000" w:rsidP="008F52C8">
      <w:pPr>
        <w:widowControl w:val="0"/>
        <w:autoSpaceDE w:val="0"/>
        <w:autoSpaceDN w:val="0"/>
        <w:adjustRightInd w:val="0"/>
        <w:spacing w:before="120"/>
        <w:jc w:val="both"/>
        <w:rPr>
          <w:rFonts w:ascii="Arial" w:hAnsi="Arial" w:cs="Arial"/>
          <w:b/>
          <w:bCs/>
          <w:sz w:val="22"/>
          <w:szCs w:val="22"/>
          <w:lang w:eastAsia="cs-CZ"/>
        </w:rPr>
      </w:pPr>
      <w:r w:rsidRPr="0030358C">
        <w:rPr>
          <w:rFonts w:ascii="Arial" w:hAnsi="Arial" w:cs="Arial"/>
          <w:b/>
          <w:bCs/>
          <w:sz w:val="22"/>
          <w:szCs w:val="22"/>
          <w:lang w:eastAsia="cs-CZ"/>
        </w:rPr>
        <w:t>Instalovat čistící zařízení plochy deponie mokrou cestou a zavést postupy čištění po zpevněném výjezdu z deponie.</w:t>
      </w:r>
    </w:p>
    <w:p w14:paraId="161379EA" w14:textId="77777777" w:rsidR="008F52C8" w:rsidRPr="0030358C" w:rsidRDefault="00000000" w:rsidP="008F52C8">
      <w:pPr>
        <w:widowControl w:val="0"/>
        <w:autoSpaceDE w:val="0"/>
        <w:autoSpaceDN w:val="0"/>
        <w:adjustRightInd w:val="0"/>
        <w:spacing w:before="120"/>
        <w:jc w:val="both"/>
        <w:rPr>
          <w:rFonts w:ascii="Arial" w:hAnsi="Arial" w:cs="Arial"/>
          <w:b/>
          <w:bCs/>
          <w:sz w:val="22"/>
          <w:szCs w:val="22"/>
          <w:lang w:eastAsia="cs-CZ"/>
        </w:rPr>
      </w:pPr>
      <w:r w:rsidRPr="0030358C">
        <w:rPr>
          <w:rFonts w:ascii="Arial" w:hAnsi="Arial" w:cs="Arial"/>
          <w:b/>
          <w:bCs/>
          <w:sz w:val="22"/>
          <w:szCs w:val="22"/>
          <w:lang w:eastAsia="cs-CZ"/>
        </w:rPr>
        <w:t>Aplikovat disperzní směsi nebo vodu v souladu s technologickými požadavky pro zpevňování skládky.</w:t>
      </w:r>
    </w:p>
    <w:p w14:paraId="0438D49D" w14:textId="77777777" w:rsidR="008F52C8" w:rsidRPr="0030358C" w:rsidRDefault="00000000" w:rsidP="008F52C8">
      <w:pPr>
        <w:widowControl w:val="0"/>
        <w:autoSpaceDE w:val="0"/>
        <w:autoSpaceDN w:val="0"/>
        <w:adjustRightInd w:val="0"/>
        <w:spacing w:before="120"/>
        <w:jc w:val="both"/>
        <w:rPr>
          <w:rFonts w:ascii="Arial" w:hAnsi="Arial" w:cs="Arial"/>
          <w:b/>
          <w:bCs/>
          <w:sz w:val="22"/>
          <w:szCs w:val="22"/>
          <w:lang w:eastAsia="cs-CZ"/>
        </w:rPr>
      </w:pPr>
      <w:r w:rsidRPr="0030358C">
        <w:rPr>
          <w:rFonts w:ascii="Arial" w:hAnsi="Arial" w:cs="Arial"/>
          <w:b/>
          <w:bCs/>
          <w:sz w:val="22"/>
          <w:szCs w:val="22"/>
          <w:lang w:eastAsia="cs-CZ"/>
        </w:rPr>
        <w:t>V případě dlouhodobého skladování dle předpokládaného skladovaného množství minimalizace plochy jemnozrnného materiálu, pokud je to proveditelné.</w:t>
      </w:r>
    </w:p>
    <w:p w14:paraId="13412CE8" w14:textId="77777777" w:rsidR="008F52C8" w:rsidRPr="0030358C" w:rsidRDefault="00000000" w:rsidP="008F52C8">
      <w:pPr>
        <w:widowControl w:val="0"/>
        <w:autoSpaceDE w:val="0"/>
        <w:autoSpaceDN w:val="0"/>
        <w:adjustRightInd w:val="0"/>
        <w:spacing w:before="120"/>
        <w:jc w:val="both"/>
        <w:rPr>
          <w:rFonts w:ascii="Arial" w:hAnsi="Arial" w:cs="Arial"/>
          <w:b/>
          <w:bCs/>
          <w:sz w:val="22"/>
          <w:szCs w:val="22"/>
          <w:lang w:eastAsia="cs-CZ"/>
        </w:rPr>
      </w:pPr>
      <w:r w:rsidRPr="0030358C">
        <w:rPr>
          <w:rFonts w:ascii="Arial" w:hAnsi="Arial" w:cs="Arial"/>
          <w:b/>
          <w:bCs/>
          <w:sz w:val="22"/>
          <w:szCs w:val="22"/>
          <w:lang w:eastAsia="cs-CZ"/>
        </w:rPr>
        <w:t>V případě venkovního skladování umístění podélné osy hromady rovnoběžně s převládajícím směrem větru.</w:t>
      </w:r>
    </w:p>
    <w:p w14:paraId="466477A7" w14:textId="77777777" w:rsidR="008F52C8" w:rsidRPr="0030358C" w:rsidRDefault="00000000" w:rsidP="008F52C8">
      <w:pPr>
        <w:widowControl w:val="0"/>
        <w:autoSpaceDE w:val="0"/>
        <w:autoSpaceDN w:val="0"/>
        <w:adjustRightInd w:val="0"/>
        <w:spacing w:before="120"/>
        <w:jc w:val="both"/>
        <w:rPr>
          <w:rFonts w:ascii="Arial" w:hAnsi="Arial" w:cs="Arial"/>
          <w:b/>
          <w:bCs/>
          <w:sz w:val="22"/>
          <w:szCs w:val="22"/>
          <w:lang w:eastAsia="cs-CZ"/>
        </w:rPr>
      </w:pPr>
      <w:r w:rsidRPr="0030358C">
        <w:rPr>
          <w:rFonts w:ascii="Arial" w:hAnsi="Arial" w:cs="Arial"/>
          <w:b/>
          <w:bCs/>
          <w:sz w:val="22"/>
          <w:szCs w:val="22"/>
          <w:lang w:eastAsia="cs-CZ"/>
        </w:rPr>
        <w:t>Minimalizace spádové výšky při nakládce a vykládce. </w:t>
      </w:r>
    </w:p>
    <w:bookmarkEnd w:id="59"/>
    <w:p w14:paraId="174F246D" w14:textId="77777777" w:rsidR="008F52C8" w:rsidRPr="0030358C" w:rsidRDefault="008F52C8" w:rsidP="008F52C8">
      <w:pPr>
        <w:spacing w:after="160" w:line="259" w:lineRule="auto"/>
        <w:rPr>
          <w:rFonts w:ascii="Arial" w:hAnsi="Arial" w:cs="Arial"/>
          <w:sz w:val="22"/>
          <w:szCs w:val="22"/>
        </w:rPr>
      </w:pPr>
    </w:p>
    <w:p w14:paraId="52352C82"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t>Příloha č. 9    k vyhlášce č. 415/2012 Sb.</w:t>
      </w:r>
    </w:p>
    <w:p w14:paraId="5CF958EE"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OBECNÉ EMISNÍ LIMITY</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4100"/>
        <w:gridCol w:w="2025"/>
        <w:gridCol w:w="2743"/>
      </w:tblGrid>
      <w:tr w:rsidR="00E40657" w14:paraId="5215AA65"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4D59D44"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lastRenderedPageBreak/>
              <w:t>Název znečišťující látky</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1FF2EBD"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Hmotnostní tok [g/h]</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5B0FE38" w14:textId="77777777" w:rsidR="00A77B3E" w:rsidRPr="0030358C" w:rsidRDefault="00000000">
            <w:pPr>
              <w:pStyle w:val="16"/>
              <w:overflowPunct w:val="0"/>
              <w:jc w:val="center"/>
              <w:rPr>
                <w:rFonts w:ascii="Arial" w:hAnsi="Arial" w:cs="Arial"/>
                <w:b/>
                <w:bCs/>
                <w:strike/>
                <w:sz w:val="22"/>
                <w:szCs w:val="22"/>
              </w:rPr>
            </w:pPr>
            <w:r w:rsidRPr="0030358C">
              <w:rPr>
                <w:rFonts w:ascii="Arial" w:hAnsi="Arial" w:cs="Arial"/>
                <w:b/>
                <w:bCs/>
                <w:strike/>
                <w:sz w:val="22"/>
                <w:szCs w:val="22"/>
              </w:rPr>
              <w:t>Hmotnostní koncentrace [mg/m</w:t>
            </w:r>
            <w:r w:rsidRPr="0030358C">
              <w:rPr>
                <w:rFonts w:ascii="Arial" w:hAnsi="Arial" w:cs="Arial"/>
                <w:b/>
                <w:bCs/>
                <w:strike/>
                <w:sz w:val="22"/>
                <w:szCs w:val="22"/>
                <w:vertAlign w:val="superscript"/>
              </w:rPr>
              <w:t>3</w:t>
            </w:r>
            <w:r w:rsidRPr="0030358C">
              <w:rPr>
                <w:rFonts w:ascii="Arial" w:hAnsi="Arial" w:cs="Arial"/>
                <w:b/>
                <w:bCs/>
                <w:strike/>
                <w:sz w:val="22"/>
                <w:szCs w:val="22"/>
              </w:rPr>
              <w:t>]</w:t>
            </w:r>
          </w:p>
        </w:tc>
      </w:tr>
      <w:tr w:rsidR="00E40657" w14:paraId="05E13043" w14:textId="77777777">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2436CECB"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tuhé znečišťující látky</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5A7FD03"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8A24FED"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200</w:t>
            </w:r>
          </w:p>
        </w:tc>
      </w:tr>
      <w:tr w:rsidR="00E40657" w14:paraId="66CFAB27" w14:textId="77777777">
        <w:tc>
          <w:tcPr>
            <w:tcW w:w="0" w:type="auto"/>
            <w:vMerge/>
            <w:tcBorders>
              <w:bottom w:val="single" w:sz="3" w:space="0" w:color="000000"/>
              <w:right w:val="single" w:sz="3" w:space="0" w:color="000000"/>
            </w:tcBorders>
            <w:vAlign w:val="center"/>
            <w:hideMark/>
          </w:tcPr>
          <w:p w14:paraId="2B0522E1"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17CF7A"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&gt;2500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F7F6EE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r>
      <w:tr w:rsidR="00E40657" w14:paraId="13B0A72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7E5D95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oxidy síry vyjádřené jako oxid siřičitý</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7CF1D0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&gt;20000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F9A0B4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2500</w:t>
            </w:r>
          </w:p>
        </w:tc>
      </w:tr>
      <w:tr w:rsidR="00E40657" w14:paraId="0A18CAE9"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B092149"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oxidy dusíku vyjádřené jako oxid dusičitý</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84EEE7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&gt;10000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71F62A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500</w:t>
            </w:r>
          </w:p>
        </w:tc>
      </w:tr>
      <w:tr w:rsidR="00E40657" w14:paraId="4107139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42CF421"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oxid uhelnatý</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B9E8B9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&gt;5000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C5F59DC"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500</w:t>
            </w:r>
          </w:p>
        </w:tc>
      </w:tr>
      <w:tr w:rsidR="00E40657" w14:paraId="78CC0A6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786F99E"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organické látky vyjádřené jako celkový organický uhlík (TOC)</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0230EF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&gt;3000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C02217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150</w:t>
            </w:r>
          </w:p>
        </w:tc>
      </w:tr>
      <w:tr w:rsidR="00E40657" w14:paraId="07B69AE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6B9238F"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amoniak a soli amonné vyjádřené jako amoniak</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795F9B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&gt;500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F98E5D9"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r>
      <w:tr w:rsidR="00E40657" w14:paraId="2DEBFF7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361B7C3"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Sulfan</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6D36285"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&gt;100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6776861"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r>
      <w:tr w:rsidR="00E40657" w14:paraId="5E4EE54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1B47B34"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Sirouhlík</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3E76737"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&gt;100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F6F5CF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20</w:t>
            </w:r>
          </w:p>
        </w:tc>
      </w:tr>
      <w:tr w:rsidR="00E40657" w14:paraId="16AC4DA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3BE6AFA"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chlor a jeho plynné anorganické sloučeniny vyjádřené jako HCl</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B1AA34F"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&gt;500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7F7C0CE"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50</w:t>
            </w:r>
          </w:p>
        </w:tc>
      </w:tr>
      <w:tr w:rsidR="00E40657" w14:paraId="4F306901"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6B2C60C0" w14:textId="77777777" w:rsidR="00A77B3E" w:rsidRPr="0030358C" w:rsidRDefault="00000000">
            <w:pPr>
              <w:pStyle w:val="16"/>
              <w:overflowPunct w:val="0"/>
              <w:jc w:val="left"/>
              <w:rPr>
                <w:rFonts w:ascii="Arial" w:hAnsi="Arial" w:cs="Arial"/>
                <w:strike/>
                <w:sz w:val="22"/>
                <w:szCs w:val="22"/>
              </w:rPr>
            </w:pPr>
            <w:r w:rsidRPr="0030358C">
              <w:rPr>
                <w:rFonts w:ascii="Arial" w:hAnsi="Arial" w:cs="Arial"/>
                <w:strike/>
                <w:sz w:val="22"/>
                <w:szCs w:val="22"/>
              </w:rPr>
              <w:t>fluor a jeho plynné anorganické sloučeniny vyjádřené jako HF</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20889878"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&gt;100</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34DEAAB" w14:textId="77777777" w:rsidR="00A77B3E" w:rsidRPr="0030358C" w:rsidRDefault="00000000">
            <w:pPr>
              <w:pStyle w:val="16"/>
              <w:overflowPunct w:val="0"/>
              <w:jc w:val="center"/>
              <w:rPr>
                <w:rFonts w:ascii="Arial" w:hAnsi="Arial" w:cs="Arial"/>
                <w:strike/>
                <w:sz w:val="22"/>
                <w:szCs w:val="22"/>
              </w:rPr>
            </w:pPr>
            <w:r w:rsidRPr="0030358C">
              <w:rPr>
                <w:rFonts w:ascii="Arial" w:hAnsi="Arial" w:cs="Arial"/>
                <w:strike/>
                <w:sz w:val="22"/>
                <w:szCs w:val="22"/>
              </w:rPr>
              <w:t>10</w:t>
            </w:r>
          </w:p>
        </w:tc>
      </w:tr>
    </w:tbl>
    <w:p w14:paraId="0F391EC3" w14:textId="77777777" w:rsidR="00A77B3E" w:rsidRPr="0030358C" w:rsidRDefault="00A77B3E">
      <w:pPr>
        <w:pStyle w:val="16"/>
        <w:rPr>
          <w:rFonts w:ascii="Arial" w:hAnsi="Arial" w:cs="Arial"/>
          <w:sz w:val="22"/>
          <w:szCs w:val="22"/>
        </w:rPr>
      </w:pPr>
    </w:p>
    <w:p w14:paraId="1D5DD8B0" w14:textId="77777777" w:rsidR="008A1A8A" w:rsidRPr="0030358C" w:rsidRDefault="00000000" w:rsidP="008A1A8A">
      <w:pPr>
        <w:pStyle w:val="42"/>
        <w:rPr>
          <w:rFonts w:ascii="Arial" w:hAnsi="Arial" w:cs="Arial"/>
          <w:sz w:val="22"/>
          <w:szCs w:val="22"/>
        </w:rPr>
      </w:pPr>
      <w:bookmarkStart w:id="61" w:name="_Hlk181605366"/>
      <w:r w:rsidRPr="0030358C">
        <w:rPr>
          <w:rFonts w:ascii="Arial" w:hAnsi="Arial" w:cs="Arial"/>
          <w:sz w:val="22"/>
          <w:szCs w:val="22"/>
        </w:rPr>
        <w:t>Příloha č. 9 k vyhlášce č. 415/2012 Sb.</w:t>
      </w:r>
    </w:p>
    <w:p w14:paraId="344E941B" w14:textId="77777777" w:rsidR="008A1A8A" w:rsidRPr="0030358C" w:rsidRDefault="008A1A8A" w:rsidP="00915748">
      <w:pPr>
        <w:pStyle w:val="43"/>
        <w:rPr>
          <w:rFonts w:ascii="Arial" w:hAnsi="Arial" w:cs="Arial"/>
          <w:sz w:val="22"/>
          <w:szCs w:val="22"/>
        </w:rPr>
      </w:pPr>
    </w:p>
    <w:p w14:paraId="4594A42E" w14:textId="77777777" w:rsidR="00915748" w:rsidRPr="0030358C" w:rsidRDefault="00000000" w:rsidP="00915748">
      <w:pPr>
        <w:pStyle w:val="43"/>
        <w:rPr>
          <w:rFonts w:ascii="Arial" w:hAnsi="Arial" w:cs="Arial"/>
          <w:sz w:val="22"/>
          <w:szCs w:val="22"/>
        </w:rPr>
      </w:pPr>
      <w:r w:rsidRPr="0030358C">
        <w:rPr>
          <w:rFonts w:ascii="Arial" w:hAnsi="Arial" w:cs="Arial"/>
          <w:sz w:val="22"/>
          <w:szCs w:val="22"/>
        </w:rPr>
        <w:t>Obecné emisní limity</w:t>
      </w:r>
    </w:p>
    <w:p w14:paraId="726B406A" w14:textId="77777777" w:rsidR="00915748" w:rsidRPr="0030358C" w:rsidRDefault="00915748" w:rsidP="00915748">
      <w:pPr>
        <w:pStyle w:val="43"/>
        <w:rPr>
          <w:rFonts w:ascii="Arial" w:hAnsi="Arial" w:cs="Arial"/>
          <w:sz w:val="22"/>
          <w:szCs w:val="22"/>
        </w:rPr>
      </w:pPr>
    </w:p>
    <w:tbl>
      <w:tblPr>
        <w:tblW w:w="0" w:type="auto"/>
        <w:tblCellSpacing w:w="0" w:type="dxa"/>
        <w:tblInd w:w="119" w:type="dxa"/>
        <w:tblBorders>
          <w:top w:val="single" w:sz="4" w:space="0" w:color="auto"/>
          <w:bottom w:val="single" w:sz="4" w:space="0" w:color="auto"/>
          <w:insideH w:val="single" w:sz="4" w:space="0" w:color="000000"/>
          <w:insideV w:val="single" w:sz="4" w:space="0" w:color="000000"/>
        </w:tblBorders>
        <w:tblLook w:val="04A0" w:firstRow="1" w:lastRow="0" w:firstColumn="1" w:lastColumn="0" w:noHBand="0" w:noVBand="1"/>
      </w:tblPr>
      <w:tblGrid>
        <w:gridCol w:w="5204"/>
        <w:gridCol w:w="1672"/>
        <w:gridCol w:w="2067"/>
      </w:tblGrid>
      <w:tr w:rsidR="00E40657" w14:paraId="1381C530" w14:textId="77777777" w:rsidTr="00067E26">
        <w:trPr>
          <w:trHeight w:val="284"/>
          <w:tblCellSpacing w:w="0" w:type="dxa"/>
        </w:trPr>
        <w:tc>
          <w:tcPr>
            <w:tcW w:w="5204" w:type="dxa"/>
            <w:vAlign w:val="center"/>
          </w:tcPr>
          <w:p w14:paraId="17931C32"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Název znečišťující látky</w:t>
            </w:r>
          </w:p>
        </w:tc>
        <w:tc>
          <w:tcPr>
            <w:tcW w:w="1672" w:type="dxa"/>
            <w:vAlign w:val="center"/>
          </w:tcPr>
          <w:p w14:paraId="01AD5D0B"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 xml:space="preserve">Hmotnostní tok </w:t>
            </w:r>
          </w:p>
          <w:p w14:paraId="72D72F48"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[g/h]</w:t>
            </w:r>
          </w:p>
        </w:tc>
        <w:tc>
          <w:tcPr>
            <w:tcW w:w="2067" w:type="dxa"/>
            <w:vAlign w:val="center"/>
          </w:tcPr>
          <w:p w14:paraId="443DD784"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Hmotnostní koncentrace [mg/m</w:t>
            </w:r>
            <w:r w:rsidRPr="0030358C">
              <w:rPr>
                <w:rFonts w:ascii="Arial" w:hAnsi="Arial" w:cs="Arial"/>
                <w:b/>
                <w:bCs/>
                <w:color w:val="000000"/>
                <w:sz w:val="22"/>
                <w:szCs w:val="22"/>
                <w:vertAlign w:val="superscript"/>
                <w:lang w:eastAsia="cs-CZ"/>
              </w:rPr>
              <w:t>3</w:t>
            </w:r>
            <w:r w:rsidRPr="0030358C">
              <w:rPr>
                <w:rFonts w:ascii="Arial" w:hAnsi="Arial" w:cs="Arial"/>
                <w:b/>
                <w:bCs/>
                <w:color w:val="000000"/>
                <w:sz w:val="22"/>
                <w:szCs w:val="22"/>
                <w:lang w:eastAsia="cs-CZ"/>
              </w:rPr>
              <w:t>]</w:t>
            </w:r>
          </w:p>
        </w:tc>
      </w:tr>
      <w:tr w:rsidR="00E40657" w14:paraId="2D7636A1" w14:textId="77777777" w:rsidTr="00067E26">
        <w:trPr>
          <w:trHeight w:val="480"/>
          <w:tblCellSpacing w:w="0" w:type="dxa"/>
        </w:trPr>
        <w:tc>
          <w:tcPr>
            <w:tcW w:w="5204" w:type="dxa"/>
            <w:vAlign w:val="center"/>
          </w:tcPr>
          <w:p w14:paraId="74767AEE"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tuhé znečišťující látky</w:t>
            </w:r>
          </w:p>
        </w:tc>
        <w:tc>
          <w:tcPr>
            <w:tcW w:w="1672" w:type="dxa"/>
            <w:vAlign w:val="center"/>
          </w:tcPr>
          <w:p w14:paraId="0056FB05"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 &gt;1250</w:t>
            </w:r>
          </w:p>
        </w:tc>
        <w:tc>
          <w:tcPr>
            <w:tcW w:w="2067" w:type="dxa"/>
            <w:vAlign w:val="center"/>
          </w:tcPr>
          <w:p w14:paraId="23E89A5A"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 100</w:t>
            </w:r>
          </w:p>
        </w:tc>
      </w:tr>
      <w:tr w:rsidR="00E40657" w14:paraId="4BC7BB49" w14:textId="77777777" w:rsidTr="00067E26">
        <w:trPr>
          <w:trHeight w:val="284"/>
          <w:tblCellSpacing w:w="0" w:type="dxa"/>
        </w:trPr>
        <w:tc>
          <w:tcPr>
            <w:tcW w:w="5204" w:type="dxa"/>
            <w:vAlign w:val="center"/>
          </w:tcPr>
          <w:p w14:paraId="2B1A8EBD"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oxidy síry vyjádřené jako oxid siřičitý</w:t>
            </w:r>
          </w:p>
        </w:tc>
        <w:tc>
          <w:tcPr>
            <w:tcW w:w="1672" w:type="dxa"/>
            <w:vAlign w:val="center"/>
          </w:tcPr>
          <w:p w14:paraId="34E2B0BE"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&gt;2750</w:t>
            </w:r>
          </w:p>
        </w:tc>
        <w:tc>
          <w:tcPr>
            <w:tcW w:w="2067" w:type="dxa"/>
            <w:vAlign w:val="center"/>
          </w:tcPr>
          <w:p w14:paraId="77A338D2"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1700</w:t>
            </w:r>
          </w:p>
        </w:tc>
      </w:tr>
      <w:tr w:rsidR="00E40657" w14:paraId="2E4A2237" w14:textId="77777777" w:rsidTr="00067E26">
        <w:trPr>
          <w:trHeight w:val="284"/>
          <w:tblCellSpacing w:w="0" w:type="dxa"/>
        </w:trPr>
        <w:tc>
          <w:tcPr>
            <w:tcW w:w="5204" w:type="dxa"/>
            <w:vAlign w:val="center"/>
          </w:tcPr>
          <w:p w14:paraId="4868C80B"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oxidy dusíku vyjádřené jako oxid dusičitý</w:t>
            </w:r>
          </w:p>
        </w:tc>
        <w:tc>
          <w:tcPr>
            <w:tcW w:w="1672" w:type="dxa"/>
            <w:vAlign w:val="center"/>
          </w:tcPr>
          <w:p w14:paraId="76CF36BE"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&gt;2500</w:t>
            </w:r>
          </w:p>
        </w:tc>
        <w:tc>
          <w:tcPr>
            <w:tcW w:w="2067" w:type="dxa"/>
            <w:vAlign w:val="center"/>
          </w:tcPr>
          <w:p w14:paraId="067414AF"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500</w:t>
            </w:r>
          </w:p>
        </w:tc>
      </w:tr>
      <w:tr w:rsidR="00E40657" w14:paraId="045EE220" w14:textId="77777777" w:rsidTr="00067E26">
        <w:trPr>
          <w:trHeight w:val="284"/>
          <w:tblCellSpacing w:w="0" w:type="dxa"/>
        </w:trPr>
        <w:tc>
          <w:tcPr>
            <w:tcW w:w="5204" w:type="dxa"/>
            <w:vAlign w:val="center"/>
          </w:tcPr>
          <w:p w14:paraId="6D0F6B00"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oxid uhelnatý</w:t>
            </w:r>
          </w:p>
        </w:tc>
        <w:tc>
          <w:tcPr>
            <w:tcW w:w="1672" w:type="dxa"/>
            <w:vAlign w:val="center"/>
          </w:tcPr>
          <w:p w14:paraId="0388C2BC"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&gt;5000</w:t>
            </w:r>
          </w:p>
        </w:tc>
        <w:tc>
          <w:tcPr>
            <w:tcW w:w="2067" w:type="dxa"/>
            <w:vAlign w:val="center"/>
          </w:tcPr>
          <w:p w14:paraId="30A350C8"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500</w:t>
            </w:r>
          </w:p>
        </w:tc>
      </w:tr>
      <w:tr w:rsidR="00E40657" w14:paraId="35281C8A" w14:textId="77777777" w:rsidTr="00067E26">
        <w:trPr>
          <w:trHeight w:val="284"/>
          <w:tblCellSpacing w:w="0" w:type="dxa"/>
        </w:trPr>
        <w:tc>
          <w:tcPr>
            <w:tcW w:w="5204" w:type="dxa"/>
            <w:vAlign w:val="center"/>
          </w:tcPr>
          <w:p w14:paraId="47159475"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lastRenderedPageBreak/>
              <w:t>organické látky vyjádřené jako celkový organický uhlík (TOC)</w:t>
            </w:r>
          </w:p>
        </w:tc>
        <w:tc>
          <w:tcPr>
            <w:tcW w:w="1672" w:type="dxa"/>
            <w:vAlign w:val="center"/>
          </w:tcPr>
          <w:p w14:paraId="21ED1423"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&gt;500</w:t>
            </w:r>
          </w:p>
        </w:tc>
        <w:tc>
          <w:tcPr>
            <w:tcW w:w="2067" w:type="dxa"/>
            <w:vAlign w:val="center"/>
          </w:tcPr>
          <w:p w14:paraId="1F2A4F12"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150</w:t>
            </w:r>
          </w:p>
        </w:tc>
      </w:tr>
      <w:tr w:rsidR="00E40657" w14:paraId="6228E14E" w14:textId="77777777" w:rsidTr="00067E26">
        <w:trPr>
          <w:trHeight w:val="284"/>
          <w:tblCellSpacing w:w="0" w:type="dxa"/>
        </w:trPr>
        <w:tc>
          <w:tcPr>
            <w:tcW w:w="5204" w:type="dxa"/>
            <w:vAlign w:val="center"/>
          </w:tcPr>
          <w:p w14:paraId="5EDB9A0C"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amoniak a soli amonné vyjádřené jako amoniak</w:t>
            </w:r>
          </w:p>
        </w:tc>
        <w:tc>
          <w:tcPr>
            <w:tcW w:w="1672" w:type="dxa"/>
            <w:vAlign w:val="center"/>
          </w:tcPr>
          <w:p w14:paraId="29B195E1"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&gt;500</w:t>
            </w:r>
          </w:p>
        </w:tc>
        <w:tc>
          <w:tcPr>
            <w:tcW w:w="2067" w:type="dxa"/>
            <w:vAlign w:val="center"/>
          </w:tcPr>
          <w:p w14:paraId="1CCF9236"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50</w:t>
            </w:r>
          </w:p>
        </w:tc>
      </w:tr>
      <w:tr w:rsidR="00E40657" w14:paraId="58D01070" w14:textId="77777777" w:rsidTr="00067E26">
        <w:trPr>
          <w:trHeight w:val="284"/>
          <w:tblCellSpacing w:w="0" w:type="dxa"/>
        </w:trPr>
        <w:tc>
          <w:tcPr>
            <w:tcW w:w="5204" w:type="dxa"/>
            <w:vAlign w:val="center"/>
          </w:tcPr>
          <w:p w14:paraId="5558564F"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sulfan</w:t>
            </w:r>
          </w:p>
        </w:tc>
        <w:tc>
          <w:tcPr>
            <w:tcW w:w="1672" w:type="dxa"/>
            <w:vAlign w:val="center"/>
          </w:tcPr>
          <w:p w14:paraId="38F400E5"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&gt;50</w:t>
            </w:r>
          </w:p>
        </w:tc>
        <w:tc>
          <w:tcPr>
            <w:tcW w:w="2067" w:type="dxa"/>
            <w:vAlign w:val="center"/>
          </w:tcPr>
          <w:p w14:paraId="03D33620"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10</w:t>
            </w:r>
          </w:p>
        </w:tc>
      </w:tr>
      <w:tr w:rsidR="00E40657" w14:paraId="1E035991" w14:textId="77777777" w:rsidTr="00067E26">
        <w:trPr>
          <w:trHeight w:val="284"/>
          <w:tblCellSpacing w:w="0" w:type="dxa"/>
        </w:trPr>
        <w:tc>
          <w:tcPr>
            <w:tcW w:w="5204" w:type="dxa"/>
            <w:vAlign w:val="center"/>
          </w:tcPr>
          <w:p w14:paraId="411375F9"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sirouhlík</w:t>
            </w:r>
          </w:p>
        </w:tc>
        <w:tc>
          <w:tcPr>
            <w:tcW w:w="1672" w:type="dxa"/>
            <w:vAlign w:val="center"/>
          </w:tcPr>
          <w:p w14:paraId="22A1B0C5"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&gt;100</w:t>
            </w:r>
          </w:p>
        </w:tc>
        <w:tc>
          <w:tcPr>
            <w:tcW w:w="2067" w:type="dxa"/>
            <w:vAlign w:val="center"/>
          </w:tcPr>
          <w:p w14:paraId="30072AD7"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20</w:t>
            </w:r>
          </w:p>
        </w:tc>
      </w:tr>
      <w:tr w:rsidR="00E40657" w14:paraId="10315971" w14:textId="77777777" w:rsidTr="00067E26">
        <w:trPr>
          <w:trHeight w:val="284"/>
          <w:tblCellSpacing w:w="0" w:type="dxa"/>
        </w:trPr>
        <w:tc>
          <w:tcPr>
            <w:tcW w:w="5204" w:type="dxa"/>
            <w:vAlign w:val="center"/>
          </w:tcPr>
          <w:p w14:paraId="018FD2E4"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chlor a jeho plynné anorganické sloučeniny vyjádřené jako HCl</w:t>
            </w:r>
          </w:p>
        </w:tc>
        <w:tc>
          <w:tcPr>
            <w:tcW w:w="1672" w:type="dxa"/>
            <w:vAlign w:val="center"/>
          </w:tcPr>
          <w:p w14:paraId="059A25AF"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&gt;200</w:t>
            </w:r>
          </w:p>
        </w:tc>
        <w:tc>
          <w:tcPr>
            <w:tcW w:w="2067" w:type="dxa"/>
            <w:vAlign w:val="center"/>
          </w:tcPr>
          <w:p w14:paraId="05A46E8A"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50</w:t>
            </w:r>
          </w:p>
        </w:tc>
      </w:tr>
      <w:tr w:rsidR="00E40657" w14:paraId="0D3B8EC2" w14:textId="77777777" w:rsidTr="00067E26">
        <w:trPr>
          <w:trHeight w:val="284"/>
          <w:tblCellSpacing w:w="0" w:type="dxa"/>
        </w:trPr>
        <w:tc>
          <w:tcPr>
            <w:tcW w:w="5204" w:type="dxa"/>
            <w:vAlign w:val="center"/>
          </w:tcPr>
          <w:p w14:paraId="50410C2F"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fluor a jeho plynné anorganické sloučeniny vyjádřené jako HF</w:t>
            </w:r>
          </w:p>
        </w:tc>
        <w:tc>
          <w:tcPr>
            <w:tcW w:w="1672" w:type="dxa"/>
            <w:vAlign w:val="center"/>
          </w:tcPr>
          <w:p w14:paraId="6A7D3E10"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&gt;50</w:t>
            </w:r>
          </w:p>
        </w:tc>
        <w:tc>
          <w:tcPr>
            <w:tcW w:w="2067" w:type="dxa"/>
            <w:vAlign w:val="center"/>
          </w:tcPr>
          <w:p w14:paraId="61C2E798" w14:textId="77777777" w:rsidR="00915748" w:rsidRPr="0030358C" w:rsidRDefault="00000000" w:rsidP="00DF71C0">
            <w:pPr>
              <w:spacing w:before="120" w:after="120" w:line="271" w:lineRule="auto"/>
              <w:jc w:val="both"/>
              <w:rPr>
                <w:rFonts w:ascii="Arial" w:hAnsi="Arial" w:cs="Arial"/>
                <w:b/>
                <w:bCs/>
                <w:sz w:val="22"/>
                <w:szCs w:val="22"/>
                <w:lang w:eastAsia="cs-CZ"/>
              </w:rPr>
            </w:pPr>
            <w:r w:rsidRPr="0030358C">
              <w:rPr>
                <w:rFonts w:ascii="Arial" w:hAnsi="Arial" w:cs="Arial"/>
                <w:b/>
                <w:bCs/>
                <w:color w:val="000000"/>
                <w:sz w:val="22"/>
                <w:szCs w:val="22"/>
                <w:lang w:eastAsia="cs-CZ"/>
              </w:rPr>
              <w:t>10</w:t>
            </w:r>
          </w:p>
        </w:tc>
      </w:tr>
    </w:tbl>
    <w:p w14:paraId="40E06877" w14:textId="77777777" w:rsidR="00915748" w:rsidRPr="0030358C" w:rsidRDefault="00915748">
      <w:pPr>
        <w:pStyle w:val="16"/>
        <w:rPr>
          <w:rFonts w:ascii="Arial" w:hAnsi="Arial" w:cs="Arial"/>
          <w:sz w:val="22"/>
          <w:szCs w:val="22"/>
        </w:rPr>
      </w:pPr>
    </w:p>
    <w:p w14:paraId="7C147BB6" w14:textId="77777777" w:rsidR="00A77B3E" w:rsidRPr="0030358C" w:rsidRDefault="00A77B3E">
      <w:pPr>
        <w:pStyle w:val="1"/>
        <w:rPr>
          <w:rFonts w:ascii="Arial" w:hAnsi="Arial" w:cs="Arial"/>
          <w:sz w:val="22"/>
          <w:szCs w:val="22"/>
        </w:rPr>
      </w:pPr>
    </w:p>
    <w:bookmarkEnd w:id="61"/>
    <w:p w14:paraId="38DAF732"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t>Příloha č. 10    k vyhlášce č. 415/2012 Sb.</w:t>
      </w:r>
    </w:p>
    <w:p w14:paraId="4349F93A"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NÁLEŽITOSTI PROVOZNÍ EVIDENCE</w:t>
      </w:r>
    </w:p>
    <w:p w14:paraId="07EB0B87" w14:textId="77777777" w:rsidR="00A77B3E" w:rsidRPr="0030358C" w:rsidRDefault="00000000">
      <w:pPr>
        <w:pStyle w:val="46"/>
        <w:rPr>
          <w:rFonts w:ascii="Arial" w:hAnsi="Arial" w:cs="Arial"/>
          <w:strike/>
          <w:szCs w:val="22"/>
        </w:rPr>
      </w:pPr>
      <w:r w:rsidRPr="0030358C">
        <w:rPr>
          <w:rFonts w:ascii="Arial" w:hAnsi="Arial" w:cs="Arial"/>
          <w:strike/>
          <w:szCs w:val="22"/>
        </w:rPr>
        <w:t>1.1.    Identifikace provozovatele a provozovny</w:t>
      </w:r>
    </w:p>
    <w:p w14:paraId="5F25EB45"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Stálé údaje</w:t>
      </w:r>
    </w:p>
    <w:p w14:paraId="4CBF9CDE"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Údaje o provozovateli</w:t>
      </w:r>
    </w:p>
    <w:p w14:paraId="6DF1D294"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Identifikační číslo provozovatele (IČ), bylo-li přiděleno, obchodní firma, sídlo a statutární zástupce nebo jméno, příjmení a adresa místa trvalého pobytu.</w:t>
      </w:r>
    </w:p>
    <w:p w14:paraId="7128611D"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Údaje o provozovně</w:t>
      </w:r>
    </w:p>
    <w:p w14:paraId="35227E5C" w14:textId="77777777" w:rsidR="00A77B3E" w:rsidRPr="0030358C" w:rsidRDefault="00000000">
      <w:pPr>
        <w:pStyle w:val="56"/>
        <w:rPr>
          <w:rFonts w:ascii="Arial" w:hAnsi="Arial" w:cs="Arial"/>
          <w:strike/>
          <w:sz w:val="22"/>
          <w:szCs w:val="22"/>
        </w:rPr>
      </w:pPr>
      <w:r w:rsidRPr="0030358C">
        <w:rPr>
          <w:rFonts w:ascii="Arial" w:hAnsi="Arial" w:cs="Arial"/>
          <w:strike/>
          <w:sz w:val="22"/>
          <w:szCs w:val="22"/>
        </w:rPr>
        <w:t>Identifikační číslo provozovny (IČP), bylo-li přiděleno, název, počet stacionárních zdrojů v provozovně, adresa provozovny</w:t>
      </w:r>
      <w:hyperlink w:history="1">
        <w:r w:rsidR="00A77B3E" w:rsidRPr="0030358C">
          <w:rPr>
            <w:rFonts w:ascii="Arial" w:hAnsi="Arial" w:cs="Arial"/>
            <w:strike/>
            <w:sz w:val="22"/>
            <w:szCs w:val="22"/>
          </w:rPr>
          <w:t>*)</w:t>
        </w:r>
      </w:hyperlink>
      <w:r w:rsidRPr="0030358C">
        <w:rPr>
          <w:rFonts w:ascii="Arial" w:hAnsi="Arial" w:cs="Arial"/>
          <w:strike/>
          <w:sz w:val="22"/>
          <w:szCs w:val="22"/>
        </w:rPr>
        <w:t>, kód územně technické jednotky</w:t>
      </w:r>
      <w:hyperlink w:history="1">
        <w:r w:rsidR="00A77B3E" w:rsidRPr="0030358C">
          <w:rPr>
            <w:rFonts w:ascii="Arial" w:hAnsi="Arial" w:cs="Arial"/>
            <w:strike/>
            <w:sz w:val="22"/>
            <w:szCs w:val="22"/>
          </w:rPr>
          <w:t>*)</w:t>
        </w:r>
      </w:hyperlink>
      <w:r w:rsidRPr="0030358C">
        <w:rPr>
          <w:rFonts w:ascii="Arial" w:hAnsi="Arial" w:cs="Arial"/>
          <w:strike/>
          <w:sz w:val="22"/>
          <w:szCs w:val="22"/>
        </w:rPr>
        <w:t>, odpovědná osoba, aktuální znění povolení provozu.</w:t>
      </w:r>
    </w:p>
    <w:p w14:paraId="07566DC3" w14:textId="77777777" w:rsidR="00A77B3E" w:rsidRPr="0030358C" w:rsidRDefault="00000000">
      <w:pPr>
        <w:pStyle w:val="46"/>
        <w:rPr>
          <w:rFonts w:ascii="Arial" w:hAnsi="Arial" w:cs="Arial"/>
          <w:strike/>
          <w:szCs w:val="22"/>
        </w:rPr>
      </w:pPr>
      <w:r w:rsidRPr="0030358C">
        <w:rPr>
          <w:rFonts w:ascii="Arial" w:hAnsi="Arial" w:cs="Arial"/>
          <w:strike/>
          <w:szCs w:val="22"/>
        </w:rPr>
        <w:t>1.2.    Údaje o stacionárním zdroji</w:t>
      </w:r>
    </w:p>
    <w:p w14:paraId="19BD7941"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Stálé údaje</w:t>
      </w:r>
    </w:p>
    <w:p w14:paraId="14E17AEC"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 xml:space="preserve">Pořadové (příp. také evidenční) číslo každého stacionárního zdroje v rámci provozovny, název stacionárního zdroje dle provozního řádu nebo povolení k provozu nebo technické dokumentace, typ stacionárního zdroje, zařazení stacionárního zdroje podle </w:t>
      </w:r>
      <w:hyperlink w:history="1">
        <w:r w:rsidR="00A77B3E" w:rsidRPr="0030358C">
          <w:rPr>
            <w:rFonts w:ascii="Arial" w:hAnsi="Arial" w:cs="Arial"/>
            <w:strike/>
            <w:sz w:val="22"/>
            <w:szCs w:val="22"/>
          </w:rPr>
          <w:t>zákona</w:t>
        </w:r>
      </w:hyperlink>
      <w:r w:rsidRPr="0030358C">
        <w:rPr>
          <w:rFonts w:ascii="Arial" w:hAnsi="Arial" w:cs="Arial"/>
          <w:strike/>
          <w:sz w:val="22"/>
          <w:szCs w:val="22"/>
        </w:rPr>
        <w:t>, výrobce, datum uvedení do provozu, směnnost, denní, týdenní a roční rytmus, jmenovitý tepelný výkon a příkon, projektovaná kapacita spalovny odpadu nebo výroby, tepelná účinnost spalovacího stacionárního zdroje podle výrobce, druh topeniště, instalovaný elektrický výkon, druh výrobku, měrná jednotka množství výrobku, pořadová příp. evidenční čísla technologií ke snižování emisí a komínů nebo výduchů do nichž je stacionární zdroj zaústěn.</w:t>
      </w:r>
    </w:p>
    <w:p w14:paraId="29356E14"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Proměnné údaje</w:t>
      </w:r>
    </w:p>
    <w:p w14:paraId="01CCAD8A"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 xml:space="preserve">Provozní hodiny (rok, měsíc, den), využití kapacity v %, množství vyrobené elektrické energie a množství vyrobeného tepla, včetně podílu množství tepla dodaného do veřejné sítě dálkového vytápění ve formě páry či horké vody, množství výrobku, adresy lokalit, pokud by se jednalo o zdroj, u nějž byla kalendářním roce provozována činnost na několika místech. U stacionárních zdrojů tepelně zpracovávajících odpad, u nichž </w:t>
      </w:r>
      <w:r w:rsidRPr="0030358C">
        <w:rPr>
          <w:rFonts w:ascii="Arial" w:hAnsi="Arial" w:cs="Arial"/>
          <w:strike/>
          <w:sz w:val="22"/>
          <w:szCs w:val="22"/>
        </w:rPr>
        <w:lastRenderedPageBreak/>
        <w:t xml:space="preserve">byly v povolení provozu stanoveny odlišné podmínky podle </w:t>
      </w:r>
      <w:hyperlink w:history="1">
        <w:r w:rsidR="00A77B3E" w:rsidRPr="0030358C">
          <w:rPr>
            <w:rFonts w:ascii="Arial" w:hAnsi="Arial" w:cs="Arial"/>
            <w:strike/>
            <w:sz w:val="22"/>
            <w:szCs w:val="22"/>
          </w:rPr>
          <w:t>odstavce 3 části II přílohy č. 4</w:t>
        </w:r>
      </w:hyperlink>
      <w:r w:rsidRPr="0030358C">
        <w:rPr>
          <w:rFonts w:ascii="Arial" w:hAnsi="Arial" w:cs="Arial"/>
          <w:strike/>
          <w:sz w:val="22"/>
          <w:szCs w:val="22"/>
        </w:rPr>
        <w:t>, dosahované teploty a doby setrvání.</w:t>
      </w:r>
    </w:p>
    <w:p w14:paraId="242A4A6C" w14:textId="77777777" w:rsidR="00A77B3E" w:rsidRPr="0030358C" w:rsidRDefault="00000000">
      <w:pPr>
        <w:pStyle w:val="46"/>
        <w:rPr>
          <w:rFonts w:ascii="Arial" w:hAnsi="Arial" w:cs="Arial"/>
          <w:strike/>
          <w:szCs w:val="22"/>
        </w:rPr>
      </w:pPr>
      <w:r w:rsidRPr="0030358C">
        <w:rPr>
          <w:rFonts w:ascii="Arial" w:hAnsi="Arial" w:cs="Arial"/>
          <w:strike/>
          <w:szCs w:val="22"/>
        </w:rPr>
        <w:t>1.3.    Údaje o palivech, surovinách nebo odpadech</w:t>
      </w:r>
    </w:p>
    <w:p w14:paraId="0575C910"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Proměnné údaje</w:t>
      </w:r>
    </w:p>
    <w:p w14:paraId="12AF1B4B"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Druh a spotřeba paliv, suroviny, tepelně zpracovávaného odpadu (den</w:t>
      </w:r>
      <w:hyperlink w:history="1">
        <w:r w:rsidR="00A77B3E" w:rsidRPr="0030358C">
          <w:rPr>
            <w:rFonts w:ascii="Arial" w:hAnsi="Arial" w:cs="Arial"/>
            <w:strike/>
            <w:sz w:val="22"/>
            <w:szCs w:val="22"/>
            <w:vertAlign w:val="superscript"/>
          </w:rPr>
          <w:t>**</w:t>
        </w:r>
        <w:r w:rsidR="00A77B3E" w:rsidRPr="0030358C">
          <w:rPr>
            <w:rFonts w:ascii="Arial" w:hAnsi="Arial" w:cs="Arial"/>
            <w:strike/>
            <w:sz w:val="22"/>
            <w:szCs w:val="22"/>
          </w:rPr>
          <w:t>)</w:t>
        </w:r>
      </w:hyperlink>
      <w:hyperlink w:history="1">
        <w:r w:rsidR="00A77B3E" w:rsidRPr="0030358C">
          <w:rPr>
            <w:rFonts w:ascii="Arial" w:hAnsi="Arial" w:cs="Arial"/>
            <w:strike/>
            <w:sz w:val="22"/>
            <w:szCs w:val="22"/>
            <w:vertAlign w:val="superscript"/>
          </w:rPr>
          <w:t>***</w:t>
        </w:r>
        <w:r w:rsidR="00A77B3E" w:rsidRPr="0030358C">
          <w:rPr>
            <w:rFonts w:ascii="Arial" w:hAnsi="Arial" w:cs="Arial"/>
            <w:strike/>
            <w:sz w:val="22"/>
            <w:szCs w:val="22"/>
          </w:rPr>
          <w:t>)</w:t>
        </w:r>
      </w:hyperlink>
      <w:r w:rsidRPr="0030358C">
        <w:rPr>
          <w:rFonts w:ascii="Arial" w:hAnsi="Arial" w:cs="Arial"/>
          <w:strike/>
          <w:sz w:val="22"/>
          <w:szCs w:val="22"/>
        </w:rPr>
        <w:t>, měsíc</w:t>
      </w:r>
      <w:hyperlink w:history="1">
        <w:r w:rsidR="00A77B3E" w:rsidRPr="0030358C">
          <w:rPr>
            <w:rFonts w:ascii="Arial" w:hAnsi="Arial" w:cs="Arial"/>
            <w:strike/>
            <w:sz w:val="22"/>
            <w:szCs w:val="22"/>
            <w:vertAlign w:val="superscript"/>
          </w:rPr>
          <w:t>***</w:t>
        </w:r>
        <w:r w:rsidR="00A77B3E" w:rsidRPr="0030358C">
          <w:rPr>
            <w:rFonts w:ascii="Arial" w:hAnsi="Arial" w:cs="Arial"/>
            <w:strike/>
            <w:sz w:val="22"/>
            <w:szCs w:val="22"/>
          </w:rPr>
          <w:t>)</w:t>
        </w:r>
      </w:hyperlink>
      <w:r w:rsidRPr="0030358C">
        <w:rPr>
          <w:rFonts w:ascii="Arial" w:hAnsi="Arial" w:cs="Arial"/>
          <w:strike/>
          <w:sz w:val="22"/>
          <w:szCs w:val="22"/>
        </w:rPr>
        <w:t xml:space="preserve"> rok), výhřevnost paliva, hmotnostní toky jednotlivých druhů nebezpečných odpadů, jejich spalné teplo a obsah znečišťujících látek v nebezpečných odpadech (zejména polychlorovaných bifenylů, pentachlorfenolu, chloridů, fluoridů, síry a těžkých kovů), doklady o výsledcích analýz provedených podle </w:t>
      </w:r>
      <w:hyperlink w:history="1">
        <w:r w:rsidR="00A77B3E" w:rsidRPr="0030358C">
          <w:rPr>
            <w:rFonts w:ascii="Arial" w:hAnsi="Arial" w:cs="Arial"/>
            <w:strike/>
            <w:sz w:val="22"/>
            <w:szCs w:val="22"/>
          </w:rPr>
          <w:t>§ 17 odst. 2</w:t>
        </w:r>
      </w:hyperlink>
      <w:r w:rsidRPr="0030358C">
        <w:rPr>
          <w:rFonts w:ascii="Arial" w:hAnsi="Arial" w:cs="Arial"/>
          <w:strike/>
          <w:sz w:val="22"/>
          <w:szCs w:val="22"/>
        </w:rPr>
        <w:t xml:space="preserve">. U spaloven odpadu, u nichž byly v povolení provozu stanoveny odlišné podmínky podle </w:t>
      </w:r>
      <w:hyperlink w:history="1">
        <w:r w:rsidR="00A77B3E" w:rsidRPr="0030358C">
          <w:rPr>
            <w:rFonts w:ascii="Arial" w:hAnsi="Arial" w:cs="Arial"/>
            <w:strike/>
            <w:sz w:val="22"/>
            <w:szCs w:val="22"/>
          </w:rPr>
          <w:t>odstavce 3 části II přílohy č. 4</w:t>
        </w:r>
      </w:hyperlink>
      <w:r w:rsidRPr="0030358C">
        <w:rPr>
          <w:rFonts w:ascii="Arial" w:hAnsi="Arial" w:cs="Arial"/>
          <w:strike/>
          <w:sz w:val="22"/>
          <w:szCs w:val="22"/>
        </w:rPr>
        <w:t xml:space="preserve">, hodnoty parametrů uvedených v </w:t>
      </w:r>
      <w:hyperlink w:history="1">
        <w:r w:rsidR="00A77B3E" w:rsidRPr="0030358C">
          <w:rPr>
            <w:rFonts w:ascii="Arial" w:hAnsi="Arial" w:cs="Arial"/>
            <w:strike/>
            <w:sz w:val="22"/>
            <w:szCs w:val="22"/>
          </w:rPr>
          <w:t>odstavci 2 písm. a) části II přílohy č. 4</w:t>
        </w:r>
      </w:hyperlink>
      <w:r w:rsidRPr="0030358C">
        <w:rPr>
          <w:rFonts w:ascii="Arial" w:hAnsi="Arial" w:cs="Arial"/>
          <w:strike/>
          <w:sz w:val="22"/>
          <w:szCs w:val="22"/>
        </w:rPr>
        <w:t>.</w:t>
      </w:r>
    </w:p>
    <w:p w14:paraId="62B6D3BA" w14:textId="77777777" w:rsidR="00A77B3E" w:rsidRPr="0030358C" w:rsidRDefault="00000000">
      <w:pPr>
        <w:pStyle w:val="46"/>
        <w:rPr>
          <w:rFonts w:ascii="Arial" w:hAnsi="Arial" w:cs="Arial"/>
          <w:strike/>
          <w:szCs w:val="22"/>
        </w:rPr>
      </w:pPr>
      <w:r w:rsidRPr="0030358C">
        <w:rPr>
          <w:rFonts w:ascii="Arial" w:hAnsi="Arial" w:cs="Arial"/>
          <w:strike/>
          <w:szCs w:val="22"/>
        </w:rPr>
        <w:t>1.4.    Údaje o technologiích ke snižování emisí</w:t>
      </w:r>
    </w:p>
    <w:p w14:paraId="1AE56B5A"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Stálé údaje</w:t>
      </w:r>
    </w:p>
    <w:p w14:paraId="6E541AEF"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Evidenční čísla a druh a počet technologií ke snižování emisí, výrobce, datum uvedení do provozu, odlučované znečišťující látky, garantovaná účinnost technologie ke snižování emisí případně účinnost odpovídající garantované výstupní koncentraci.</w:t>
      </w:r>
    </w:p>
    <w:p w14:paraId="2B9A285B"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Proměnné údaje</w:t>
      </w:r>
    </w:p>
    <w:p w14:paraId="540AE354"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Provozní doba (pokud je odlišná od provozních hodin stacionárního zdroje), provozní účinnost, údaje o špatném fungování a o poruchách, objemový tok odpadního plynu, provozní parametr stanovený v provozním řádu dokladující plnění emisního limitu.</w:t>
      </w:r>
    </w:p>
    <w:p w14:paraId="40BFF72A" w14:textId="77777777" w:rsidR="00A77B3E" w:rsidRPr="0030358C" w:rsidRDefault="00000000">
      <w:pPr>
        <w:pStyle w:val="46"/>
        <w:rPr>
          <w:rFonts w:ascii="Arial" w:hAnsi="Arial" w:cs="Arial"/>
          <w:strike/>
          <w:szCs w:val="22"/>
        </w:rPr>
      </w:pPr>
      <w:r w:rsidRPr="0030358C">
        <w:rPr>
          <w:rFonts w:ascii="Arial" w:hAnsi="Arial" w:cs="Arial"/>
          <w:strike/>
          <w:szCs w:val="22"/>
        </w:rPr>
        <w:t>1.5.    Údaje o komínech a výduších</w:t>
      </w:r>
    </w:p>
    <w:p w14:paraId="1F79E472"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Stálé údaje</w:t>
      </w:r>
    </w:p>
    <w:p w14:paraId="223DA941"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Pořadové, případně také evidenční číslo komínu nebo jiného výduchu, výška komínu od paty komínu, výška výduchu, převýšení ústí komínu nebo jiného výduchu nad okolním terénem, průřez v koruně komínu, zeměpisné souřadnice paty komínu nebo výduchu</w:t>
      </w:r>
      <w:hyperlink w:history="1">
        <w:r w:rsidR="00A77B3E" w:rsidRPr="0030358C">
          <w:rPr>
            <w:rFonts w:ascii="Arial" w:hAnsi="Arial" w:cs="Arial"/>
            <w:strike/>
            <w:sz w:val="22"/>
            <w:szCs w:val="22"/>
            <w:vertAlign w:val="superscript"/>
          </w:rPr>
          <w:t>*</w:t>
        </w:r>
        <w:r w:rsidR="00A77B3E" w:rsidRPr="0030358C">
          <w:rPr>
            <w:rFonts w:ascii="Arial" w:hAnsi="Arial" w:cs="Arial"/>
            <w:strike/>
            <w:sz w:val="22"/>
            <w:szCs w:val="22"/>
          </w:rPr>
          <w:t>)</w:t>
        </w:r>
      </w:hyperlink>
      <w:r w:rsidRPr="0030358C">
        <w:rPr>
          <w:rFonts w:ascii="Arial" w:hAnsi="Arial" w:cs="Arial"/>
          <w:strike/>
          <w:sz w:val="22"/>
          <w:szCs w:val="22"/>
        </w:rPr>
        <w:t>, materiál a tepelně-izolační vlastnosti komínu, vypouštěné znečišťující látky.</w:t>
      </w:r>
    </w:p>
    <w:p w14:paraId="3292F32A"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Proměnné údaje</w:t>
      </w:r>
    </w:p>
    <w:p w14:paraId="4A874FD9"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Průměrná teplota a rychlost plynů protékajících komínem nebo výduchem z technologie ke snižování emisí v místě měření emisí, v případě vypouštění emisí chladicí věží obsah vodní páry v odpadním plynu v %, časový režim vypouštění emisí z komína, výduchu nebo výpusti a provozní hodiny komína (výduchu nebo výpusti, pokud jsou odlišné od provozních hodin stacionárního zdroje).</w:t>
      </w:r>
    </w:p>
    <w:p w14:paraId="440F1D83" w14:textId="77777777" w:rsidR="00A77B3E" w:rsidRPr="0030358C" w:rsidRDefault="00000000">
      <w:pPr>
        <w:pStyle w:val="46"/>
        <w:rPr>
          <w:rFonts w:ascii="Arial" w:hAnsi="Arial" w:cs="Arial"/>
          <w:strike/>
          <w:szCs w:val="22"/>
        </w:rPr>
      </w:pPr>
      <w:r w:rsidRPr="0030358C">
        <w:rPr>
          <w:rFonts w:ascii="Arial" w:hAnsi="Arial" w:cs="Arial"/>
          <w:strike/>
          <w:szCs w:val="22"/>
        </w:rPr>
        <w:t>1.6.    Údaje o emisích</w:t>
      </w:r>
    </w:p>
    <w:p w14:paraId="12EBF0BA"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Stálé údaje</w:t>
      </w:r>
    </w:p>
    <w:p w14:paraId="007EC3A6"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Seznam znečišťujících látek, které má stacionární zdroj povinnost zjišťovat, na které látky se vztahuje jednorázové a na které kontinuální měření emisí a na které povinnost zjišťovat úroveň znečišťování výpočtem.</w:t>
      </w:r>
    </w:p>
    <w:p w14:paraId="1A247400" w14:textId="77777777" w:rsidR="00A77B3E" w:rsidRPr="0030358C" w:rsidRDefault="00000000">
      <w:pPr>
        <w:pStyle w:val="118"/>
        <w:rPr>
          <w:rFonts w:ascii="Arial" w:hAnsi="Arial" w:cs="Arial"/>
          <w:strike/>
          <w:sz w:val="22"/>
          <w:szCs w:val="22"/>
        </w:rPr>
      </w:pPr>
      <w:r w:rsidRPr="0030358C">
        <w:rPr>
          <w:rFonts w:ascii="Arial" w:hAnsi="Arial" w:cs="Arial"/>
          <w:strike/>
          <w:sz w:val="22"/>
          <w:szCs w:val="22"/>
        </w:rPr>
        <w:t>Proměnné údaje</w:t>
      </w:r>
    </w:p>
    <w:p w14:paraId="0382DC6D"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 xml:space="preserve">Naměřená koncentrace znečišťující látky při referenčních podmínkách, hmotnostní tok znečišťující látky, vypočtená nebo odvozená měrná výrobní emise, emisní faktor použitý pro výpočet množství emisí, datum jednorázového měření emisí, datum ověření správnosti údajů kontinuálního měření, datum kalibrace systému kontinuálního měření, záznamy o překročení emisních limitů a přijatých opatřeních, roční hmotnostní bilance těkavých organických látek u stacionárních zdrojů, ve kterých dochází k používání organických rozpouštědel, s výjimkou činnosti nanášení práškových plastů uvedené v </w:t>
      </w:r>
      <w:hyperlink w:history="1">
        <w:r w:rsidR="00A77B3E" w:rsidRPr="0030358C">
          <w:rPr>
            <w:rFonts w:ascii="Arial" w:hAnsi="Arial" w:cs="Arial"/>
            <w:strike/>
            <w:sz w:val="22"/>
            <w:szCs w:val="22"/>
          </w:rPr>
          <w:t>části II bodu 4.4. přílohy č. 5</w:t>
        </w:r>
      </w:hyperlink>
      <w:r w:rsidRPr="0030358C">
        <w:rPr>
          <w:rFonts w:ascii="Arial" w:hAnsi="Arial" w:cs="Arial"/>
          <w:strike/>
          <w:sz w:val="22"/>
          <w:szCs w:val="22"/>
        </w:rPr>
        <w:t>, emisní faktory použité pro výpočet.</w:t>
      </w:r>
    </w:p>
    <w:p w14:paraId="4E4EF7F5" w14:textId="77777777" w:rsidR="00B16C0B" w:rsidRPr="0030358C" w:rsidRDefault="00000000" w:rsidP="008A1A8A">
      <w:pPr>
        <w:pStyle w:val="56"/>
        <w:rPr>
          <w:rFonts w:ascii="Arial" w:hAnsi="Arial" w:cs="Arial"/>
          <w:strike/>
          <w:sz w:val="22"/>
          <w:szCs w:val="22"/>
        </w:rPr>
      </w:pPr>
      <w:r w:rsidRPr="0030358C">
        <w:rPr>
          <w:rFonts w:ascii="Arial" w:hAnsi="Arial" w:cs="Arial"/>
          <w:strike/>
          <w:sz w:val="22"/>
          <w:szCs w:val="22"/>
        </w:rPr>
        <w:t xml:space="preserve">Jednotlivé údaje provozní evidence lze vést i samostatně v rámci provozní dokumentace, jako jsou např. operační listy, provozní deníky, záznamy v řídicím </w:t>
      </w:r>
      <w:r w:rsidRPr="0030358C">
        <w:rPr>
          <w:rFonts w:ascii="Arial" w:hAnsi="Arial" w:cs="Arial"/>
          <w:strike/>
          <w:sz w:val="22"/>
          <w:szCs w:val="22"/>
        </w:rPr>
        <w:lastRenderedPageBreak/>
        <w:t>systému apod. Za součást provozní evidence jsou považovány protokoly z jednorázových měření emisí, protokoly z vyhodnocení a ověření kontinuálních měření emisí a doklady o kalibraci měřicích přístrojů a postup stanovení úrovně znečišťování výpočtem.</w:t>
      </w:r>
    </w:p>
    <w:p w14:paraId="468B5698" w14:textId="77777777" w:rsidR="00B16C0B" w:rsidRPr="0030358C" w:rsidRDefault="00000000" w:rsidP="00B16C0B">
      <w:pPr>
        <w:pStyle w:val="42"/>
        <w:rPr>
          <w:rFonts w:ascii="Arial" w:hAnsi="Arial" w:cs="Arial"/>
          <w:sz w:val="22"/>
          <w:szCs w:val="22"/>
        </w:rPr>
      </w:pPr>
      <w:bookmarkStart w:id="62" w:name="_Hlk181605901"/>
      <w:r w:rsidRPr="0030358C">
        <w:rPr>
          <w:rFonts w:ascii="Arial" w:hAnsi="Arial" w:cs="Arial"/>
          <w:sz w:val="22"/>
          <w:szCs w:val="22"/>
        </w:rPr>
        <w:t>Příloha č. 10</w:t>
      </w:r>
      <w:r w:rsidR="00202756" w:rsidRPr="0030358C">
        <w:rPr>
          <w:rFonts w:ascii="Arial" w:hAnsi="Arial" w:cs="Arial"/>
          <w:sz w:val="22"/>
          <w:szCs w:val="22"/>
        </w:rPr>
        <w:t xml:space="preserve"> </w:t>
      </w:r>
      <w:r w:rsidRPr="0030358C">
        <w:rPr>
          <w:rFonts w:ascii="Arial" w:hAnsi="Arial" w:cs="Arial"/>
          <w:sz w:val="22"/>
          <w:szCs w:val="22"/>
        </w:rPr>
        <w:t>k vyhlášce č. 415/2012 Sb.</w:t>
      </w:r>
    </w:p>
    <w:p w14:paraId="6A85EC9E" w14:textId="77777777" w:rsidR="00B16C0B" w:rsidRPr="0030358C" w:rsidRDefault="00B16C0B" w:rsidP="00915748">
      <w:pPr>
        <w:pStyle w:val="56"/>
        <w:jc w:val="center"/>
        <w:rPr>
          <w:rFonts w:ascii="Arial" w:hAnsi="Arial" w:cs="Arial"/>
          <w:sz w:val="22"/>
          <w:szCs w:val="22"/>
        </w:rPr>
      </w:pPr>
    </w:p>
    <w:p w14:paraId="2ED35CB7" w14:textId="77777777" w:rsidR="00915748" w:rsidRPr="0030358C" w:rsidRDefault="00000000" w:rsidP="00915748">
      <w:pPr>
        <w:pStyle w:val="56"/>
        <w:jc w:val="center"/>
        <w:rPr>
          <w:rFonts w:ascii="Arial" w:hAnsi="Arial" w:cs="Arial"/>
          <w:b/>
          <w:bCs/>
          <w:sz w:val="22"/>
          <w:szCs w:val="22"/>
        </w:rPr>
      </w:pPr>
      <w:bookmarkStart w:id="63" w:name="_Hlk184896006"/>
      <w:r w:rsidRPr="0030358C">
        <w:rPr>
          <w:rFonts w:ascii="Arial" w:hAnsi="Arial" w:cs="Arial"/>
          <w:b/>
          <w:bCs/>
          <w:sz w:val="22"/>
          <w:szCs w:val="22"/>
        </w:rPr>
        <w:t>Náležitosti provozní evidence</w:t>
      </w:r>
    </w:p>
    <w:p w14:paraId="7D98A0DC"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1.1. Identifikace provozovatele,</w:t>
      </w:r>
      <w:r w:rsidR="00731CE8" w:rsidRPr="0030358C">
        <w:rPr>
          <w:rFonts w:ascii="Arial" w:hAnsi="Arial" w:cs="Arial"/>
          <w:b/>
          <w:bCs/>
          <w:sz w:val="22"/>
          <w:szCs w:val="22"/>
        </w:rPr>
        <w:t xml:space="preserve"> </w:t>
      </w:r>
      <w:r w:rsidRPr="0030358C">
        <w:rPr>
          <w:rFonts w:ascii="Arial" w:hAnsi="Arial" w:cs="Arial"/>
          <w:b/>
          <w:bCs/>
          <w:sz w:val="22"/>
          <w:szCs w:val="22"/>
        </w:rPr>
        <w:t>provozovny a stacionárního zdroje</w:t>
      </w:r>
    </w:p>
    <w:p w14:paraId="63600398"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Stálé údaje </w:t>
      </w:r>
    </w:p>
    <w:p w14:paraId="7576B8CE"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Údaje o provozovateli </w:t>
      </w:r>
    </w:p>
    <w:p w14:paraId="669CA7D3"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Identifikační číslo provozovatele (IČ</w:t>
      </w:r>
      <w:r w:rsidR="006F7E06" w:rsidRPr="0030358C">
        <w:rPr>
          <w:rFonts w:ascii="Arial" w:hAnsi="Arial" w:cs="Arial"/>
          <w:b/>
          <w:bCs/>
          <w:sz w:val="22"/>
          <w:szCs w:val="22"/>
        </w:rPr>
        <w:t>O</w:t>
      </w:r>
      <w:r w:rsidRPr="0030358C">
        <w:rPr>
          <w:rFonts w:ascii="Arial" w:hAnsi="Arial" w:cs="Arial"/>
          <w:b/>
          <w:bCs/>
          <w:sz w:val="22"/>
          <w:szCs w:val="22"/>
        </w:rPr>
        <w:t xml:space="preserve">), bylo-li přiděleno, obchodní firma, sídlo a statutární zástupce nebo jméno, příjmení a adresa místa trvalého pobytu. </w:t>
      </w:r>
    </w:p>
    <w:p w14:paraId="22DF468F"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Údaje o provozovně </w:t>
      </w:r>
    </w:p>
    <w:p w14:paraId="6AA2ADEB"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Identifikační číslo provozovny (IČP), bylo-li přiděleno, název, počet stacionárních zdrojů v provozovně, adresa provozovny*), kód územně technické jednotky*), odpovědná osoba, aktuální znění povolení provozu. </w:t>
      </w:r>
    </w:p>
    <w:p w14:paraId="7DF705A1"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Údaje o stacionárním zdroji</w:t>
      </w:r>
    </w:p>
    <w:p w14:paraId="089FFBF6"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U stacionárního zdroje, pro který příloha </w:t>
      </w:r>
      <w:r w:rsidR="00910923" w:rsidRPr="0030358C">
        <w:rPr>
          <w:rFonts w:ascii="Arial" w:hAnsi="Arial" w:cs="Arial"/>
          <w:b/>
          <w:bCs/>
          <w:sz w:val="22"/>
          <w:szCs w:val="22"/>
        </w:rPr>
        <w:t xml:space="preserve">č. 20 </w:t>
      </w:r>
      <w:r w:rsidRPr="0030358C">
        <w:rPr>
          <w:rFonts w:ascii="Arial" w:hAnsi="Arial" w:cs="Arial"/>
          <w:b/>
          <w:bCs/>
          <w:sz w:val="22"/>
          <w:szCs w:val="22"/>
        </w:rPr>
        <w:t>stanovuje minimální vzdálenosti, GPS souřadnice stacionárního zdroje (geometrický střed technické jednotky nebo činnosti) ve formátu WGS 84 DD (World Geodetic System), běžně používaném GPS přístroji.</w:t>
      </w:r>
    </w:p>
    <w:p w14:paraId="7C91B340"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1.2. Údaje o stacionárním zdroji </w:t>
      </w:r>
    </w:p>
    <w:p w14:paraId="7C96A8DD" w14:textId="77777777" w:rsidR="00057929" w:rsidRPr="0030358C" w:rsidRDefault="00000000" w:rsidP="00057929">
      <w:pPr>
        <w:pStyle w:val="56"/>
        <w:rPr>
          <w:rFonts w:ascii="Arial" w:hAnsi="Arial" w:cs="Arial"/>
          <w:b/>
          <w:bCs/>
          <w:sz w:val="22"/>
          <w:szCs w:val="22"/>
        </w:rPr>
      </w:pPr>
      <w:r w:rsidRPr="0030358C">
        <w:rPr>
          <w:rFonts w:ascii="Arial" w:hAnsi="Arial" w:cs="Arial"/>
          <w:b/>
          <w:bCs/>
          <w:sz w:val="22"/>
          <w:szCs w:val="22"/>
        </w:rPr>
        <w:t xml:space="preserve">Stálé údaje </w:t>
      </w:r>
    </w:p>
    <w:p w14:paraId="3AD927FD" w14:textId="77777777" w:rsidR="0089181B" w:rsidRPr="0030358C" w:rsidRDefault="00000000" w:rsidP="00057929">
      <w:pPr>
        <w:pStyle w:val="56"/>
        <w:rPr>
          <w:rFonts w:ascii="Arial" w:hAnsi="Arial" w:cs="Arial"/>
          <w:b/>
          <w:bCs/>
          <w:sz w:val="22"/>
          <w:szCs w:val="22"/>
        </w:rPr>
      </w:pPr>
      <w:r w:rsidRPr="0030358C">
        <w:rPr>
          <w:rFonts w:ascii="Arial" w:hAnsi="Arial" w:cs="Arial"/>
          <w:b/>
          <w:bCs/>
          <w:sz w:val="22"/>
          <w:szCs w:val="22"/>
        </w:rPr>
        <w:t xml:space="preserve">Pořadové (příp. také evidenční) číslo každého stacionárního zdroje nebo číslo zdroje souhrnně vyplňovaného v rámci provozovny v souladu s číslováním používaným v hlášení souhrnné provozní evidence, název stacionárního zdroje dle provozního řádu a není-li tento vyžadován, dle povolení k provozu nebo technické dokumentace, typ stacionárního zdroje, zařazení stacionárního zdroje podle zákona, výrobce, datum uvedení do provozu, směnnost, denní, týdenní a roční rytmus,  jmenovitý tepelný výkon a příkon, projektovaná kapacita spalovny odpadu nebo výroby, tepelná účinnost spalovacího stacionárního zdroje podle výrobce, druh topeniště, instalovaný elektrický výkon, druh výrobku, měrná jednotka množství výrobku, pořadová příp. evidenční čísla technologií ke snižování emisí a komínů nebo výduchů do nichž je stacionární zdroj zaústěn. U stacionárních zdrojů tepelně zpracovávajících odpad, u nichž byly v povolení provozu stanoveny odlišné podmínky podle odstavce 3 části II přílohy č. 4, dosahované teploty a doby setrvání. </w:t>
      </w:r>
    </w:p>
    <w:p w14:paraId="37DFD892" w14:textId="77777777" w:rsidR="00057929" w:rsidRPr="0030358C" w:rsidRDefault="00000000" w:rsidP="00057929">
      <w:pPr>
        <w:pStyle w:val="56"/>
        <w:rPr>
          <w:rFonts w:ascii="Arial" w:hAnsi="Arial" w:cs="Arial"/>
          <w:b/>
          <w:bCs/>
          <w:sz w:val="22"/>
          <w:szCs w:val="22"/>
        </w:rPr>
      </w:pPr>
      <w:r w:rsidRPr="0030358C">
        <w:rPr>
          <w:rFonts w:ascii="Arial" w:hAnsi="Arial" w:cs="Arial"/>
          <w:b/>
          <w:bCs/>
          <w:sz w:val="22"/>
          <w:szCs w:val="22"/>
        </w:rPr>
        <w:t xml:space="preserve">Proměnné údaje </w:t>
      </w:r>
    </w:p>
    <w:p w14:paraId="218433B4" w14:textId="77777777" w:rsidR="006441D4" w:rsidRPr="0030358C" w:rsidRDefault="00000000" w:rsidP="00057929">
      <w:pPr>
        <w:pStyle w:val="56"/>
        <w:rPr>
          <w:rFonts w:ascii="Arial" w:hAnsi="Arial" w:cs="Arial"/>
          <w:b/>
          <w:bCs/>
          <w:sz w:val="22"/>
          <w:szCs w:val="22"/>
        </w:rPr>
      </w:pPr>
      <w:r w:rsidRPr="0030358C">
        <w:rPr>
          <w:rFonts w:ascii="Arial" w:hAnsi="Arial" w:cs="Arial"/>
          <w:b/>
          <w:bCs/>
          <w:sz w:val="22"/>
          <w:szCs w:val="22"/>
        </w:rPr>
        <w:t xml:space="preserve">Provozní hodiny (rok, měsíc, den**)), využití kapacity v %, množství vyrobené elektrické energie a množství vyrobeného tepla, včetně podílu množství tepla dodaného do veřejné sítě dálkového vytápění ve formě páry či horké vody, množství výrobku, adresy lokalit, pokud by se jednalo o zdroj, u nějž byla kalendářním roce provozována činnost na několika místech. </w:t>
      </w:r>
    </w:p>
    <w:p w14:paraId="67C051FC" w14:textId="77777777" w:rsidR="00915748" w:rsidRPr="0030358C" w:rsidRDefault="00000000" w:rsidP="00057929">
      <w:pPr>
        <w:pStyle w:val="56"/>
        <w:rPr>
          <w:rFonts w:ascii="Arial" w:hAnsi="Arial" w:cs="Arial"/>
          <w:b/>
          <w:bCs/>
          <w:sz w:val="22"/>
          <w:szCs w:val="22"/>
        </w:rPr>
      </w:pPr>
      <w:r w:rsidRPr="0030358C">
        <w:rPr>
          <w:rFonts w:ascii="Arial" w:hAnsi="Arial" w:cs="Arial"/>
          <w:b/>
          <w:bCs/>
          <w:sz w:val="22"/>
          <w:szCs w:val="22"/>
        </w:rPr>
        <w:t xml:space="preserve">1.3. Údaje o palivech, energiích, surovinách nebo odpadech </w:t>
      </w:r>
    </w:p>
    <w:p w14:paraId="58162955"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lastRenderedPageBreak/>
        <w:t xml:space="preserve">Proměnné údaje </w:t>
      </w:r>
    </w:p>
    <w:p w14:paraId="653C7439"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Druh a spotřeba paliv, suroviny, tepelně zpracovávaného odpadu, spotřeba elektrické energie</w:t>
      </w:r>
      <w:r w:rsidR="00A10646">
        <w:rPr>
          <w:rFonts w:ascii="Arial" w:hAnsi="Arial" w:cs="Arial"/>
          <w:b/>
          <w:bCs/>
          <w:sz w:val="22"/>
          <w:szCs w:val="22"/>
        </w:rPr>
        <w:t xml:space="preserve"> </w:t>
      </w:r>
      <w:r w:rsidR="00A10646" w:rsidRPr="00A10646">
        <w:rPr>
          <w:rFonts w:ascii="Arial" w:hAnsi="Arial" w:cs="Arial"/>
          <w:b/>
          <w:bCs/>
          <w:sz w:val="22"/>
          <w:szCs w:val="22"/>
        </w:rPr>
        <w:t>používané pro otop pecí a tavících agregátů</w:t>
      </w:r>
      <w:r w:rsidRPr="0030358C">
        <w:rPr>
          <w:rFonts w:ascii="Arial" w:hAnsi="Arial" w:cs="Arial"/>
          <w:b/>
          <w:bCs/>
          <w:sz w:val="22"/>
          <w:szCs w:val="22"/>
        </w:rPr>
        <w:t xml:space="preserve"> (den***) ****), měsíc****), rok), výhřevnost paliva, hmotnostní toky jednotlivých druhů nebezpečných odpadů, jejich spalné teplo a obsah znečišťujících látek v nebezpečných odpadech (zejména polychlorovaných bifenylů, pentachlorfenolu, chloridů, fluoridů, síry a těžkých kovů), doklady o výsledcích analýz provedených podle § 17 odst. 2. U spaloven odpadu, u nichž byly v povolení provozu stanoveny odlišné podmínky podle odstavce 3 části II přílohy č. 4, hodnoty parametrů uvedených v odstavci 2 písm. a) části II přílohy č. 4. </w:t>
      </w:r>
    </w:p>
    <w:p w14:paraId="5B43A072"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1.4. Údaje o technologiích ke snižování emisí </w:t>
      </w:r>
    </w:p>
    <w:p w14:paraId="4C6F2B47" w14:textId="77777777" w:rsidR="006441D4" w:rsidRPr="0030358C" w:rsidRDefault="00000000" w:rsidP="006441D4">
      <w:pPr>
        <w:pStyle w:val="56"/>
        <w:rPr>
          <w:rFonts w:ascii="Arial" w:hAnsi="Arial" w:cs="Arial"/>
          <w:b/>
          <w:bCs/>
          <w:sz w:val="22"/>
          <w:szCs w:val="22"/>
        </w:rPr>
      </w:pPr>
      <w:r w:rsidRPr="0030358C">
        <w:rPr>
          <w:rFonts w:ascii="Arial" w:hAnsi="Arial" w:cs="Arial"/>
          <w:b/>
          <w:bCs/>
          <w:sz w:val="22"/>
          <w:szCs w:val="22"/>
        </w:rPr>
        <w:t xml:space="preserve">Stálé údaje </w:t>
      </w:r>
    </w:p>
    <w:p w14:paraId="5FDC11EA" w14:textId="77777777" w:rsidR="006441D4" w:rsidRPr="0030358C" w:rsidRDefault="00000000" w:rsidP="006441D4">
      <w:pPr>
        <w:pStyle w:val="56"/>
        <w:rPr>
          <w:rFonts w:ascii="Arial" w:hAnsi="Arial" w:cs="Arial"/>
          <w:b/>
          <w:bCs/>
          <w:sz w:val="22"/>
          <w:szCs w:val="22"/>
        </w:rPr>
      </w:pPr>
      <w:r w:rsidRPr="0030358C">
        <w:rPr>
          <w:rFonts w:ascii="Arial" w:hAnsi="Arial" w:cs="Arial"/>
          <w:b/>
          <w:bCs/>
          <w:sz w:val="22"/>
          <w:szCs w:val="22"/>
        </w:rPr>
        <w:t xml:space="preserve">Evidenční čísla a druh a počet technologií ke snižování emisí, výrobce, datum uvedení do provozu, odlučované znečišťující látky, garantovaná účinnost technologie ke snižování emisí případně účinnost odpovídající garantované výstupní koncentraci. Hodnoty nepřetržitě sledovaných provozních parametrů stanovených pro kontrolu správné funkce technologie ke snižování emisí nebo opatření ke snížení emisí, případně nahrazujících technických podmínek provozu stanovených povolením k provozu, minimální četnost zaznamenávání těchto parametrů stanovená v provozním řádu nebo povolením k provozu, není-li provozní řád vyžadován. </w:t>
      </w:r>
    </w:p>
    <w:p w14:paraId="18A83705" w14:textId="77777777" w:rsidR="00915748" w:rsidRPr="0030358C" w:rsidRDefault="00000000" w:rsidP="006441D4">
      <w:pPr>
        <w:pStyle w:val="56"/>
        <w:rPr>
          <w:rFonts w:ascii="Arial" w:hAnsi="Arial" w:cs="Arial"/>
          <w:b/>
          <w:bCs/>
          <w:sz w:val="22"/>
          <w:szCs w:val="22"/>
        </w:rPr>
      </w:pPr>
      <w:r w:rsidRPr="0030358C">
        <w:rPr>
          <w:rFonts w:ascii="Arial" w:hAnsi="Arial" w:cs="Arial"/>
          <w:b/>
          <w:bCs/>
          <w:sz w:val="22"/>
          <w:szCs w:val="22"/>
        </w:rPr>
        <w:t xml:space="preserve">Proměnné údaje </w:t>
      </w:r>
    </w:p>
    <w:p w14:paraId="08537BB5"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Provozní doba (pokud je odlišná od provozních hodin stacionárního zdroje), provozní účinnost, údaje o špatném fungování a o poruchách, objemový tok odpadního plynu, naměřené a zaznamenané hodnoty provozního parametru dokladující plnění emisního limitu. </w:t>
      </w:r>
    </w:p>
    <w:p w14:paraId="05BD8DC6"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1.5. Údaje o komínech a výduších </w:t>
      </w:r>
      <w:r w:rsidRPr="0030358C">
        <w:rPr>
          <w:rFonts w:ascii="Arial" w:hAnsi="Arial" w:cs="Arial"/>
          <w:b/>
          <w:bCs/>
          <w:sz w:val="22"/>
          <w:szCs w:val="22"/>
        </w:rPr>
        <w:tab/>
      </w:r>
    </w:p>
    <w:p w14:paraId="53F48F30"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Stálé údaje </w:t>
      </w:r>
    </w:p>
    <w:p w14:paraId="68260F5C" w14:textId="77777777" w:rsidR="0089181B"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Pořadové, (příp. také evidenční) číslo komínu nebo jiného výduchu nebo číslo komínu nebo jiného výduchu souhrnně vyplňovaného v rámci provozovny v souladu s označením používaným v hlášení souhrnné provozní evidence, výška komínu od paty komínu, výška výduchu, převýšení ústí komínu nebo jiného výduchu nad okolním terénem, průřez v koruně komínu, zeměpisné souřadnice paty komínu nebo výduchu*), materiál a tepelně-izolační vlastnosti komínu, vypouštěné znečišťující látky. </w:t>
      </w:r>
    </w:p>
    <w:p w14:paraId="17281DFB"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Proměnné údaje </w:t>
      </w:r>
    </w:p>
    <w:p w14:paraId="7912ECB0"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Průměrná teplota a rychlost plynů protékajících komínem nebo výduchem z technologie ke snižování emisí v místě měření emisí, v případě vypouštění emisí chladicí věží obsah vodní páry v odpadním plynu v %, časový režim vypouštění emisí z komína, výduchu nebo výpusti a provozní hodiny komína (výduchu nebo výpusti, pokud jsou odlišné od provozních hodin stacionárního zdroje). </w:t>
      </w:r>
    </w:p>
    <w:p w14:paraId="660F1937"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1.6. Údaje o emisích </w:t>
      </w:r>
    </w:p>
    <w:p w14:paraId="6C4747CB"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Stálé údaje </w:t>
      </w:r>
    </w:p>
    <w:p w14:paraId="059A1768" w14:textId="77777777" w:rsidR="00915748" w:rsidRPr="0030358C" w:rsidRDefault="00000000" w:rsidP="00915748">
      <w:pPr>
        <w:pStyle w:val="56"/>
        <w:rPr>
          <w:rFonts w:ascii="Arial" w:hAnsi="Arial" w:cs="Arial"/>
          <w:b/>
          <w:bCs/>
          <w:sz w:val="22"/>
          <w:szCs w:val="22"/>
        </w:rPr>
      </w:pPr>
      <w:r w:rsidRPr="004A46AC">
        <w:rPr>
          <w:rFonts w:ascii="Arial" w:hAnsi="Arial" w:cs="Arial"/>
          <w:b/>
          <w:bCs/>
          <w:sz w:val="22"/>
          <w:szCs w:val="22"/>
        </w:rPr>
        <w:t>Seznam znečišťujících látek, které má provozovatel stacionárního zdroje povinnost zjišťovat, s uvedením, na znečišťující látky se vztahuje jednorázové a na které kontinuální měření emisí a na které povinnost zjišťovat úroveň znečišťování výpočtem.</w:t>
      </w:r>
    </w:p>
    <w:p w14:paraId="0380B08D"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Proměnné údaje </w:t>
      </w:r>
    </w:p>
    <w:p w14:paraId="7B01B470"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lastRenderedPageBreak/>
        <w:t xml:space="preserve">Naměřená koncentrace znečišťující látky při referenčních podmínkách, hmotnostní tok znečišťující látky, vypočtená nebo odvozená měrná výrobní emise, emisní faktor použitý pro výpočet množství emisí, datum jednorázového měření emisí, datum ověření správnosti údajů kontinuálního měření, datum kalibrace systému kontinuálního měření, záznamy o překročení emisních limitů a přijatých opatřeních, roční hmotnostní bilance těkavých organických látek u stacionárních zdrojů, ve kterých dochází k používání organických rozpouštědel, s výjimkou činnosti nanášení práškových plastů uvedené v části II bodu 4.4. přílohy č. 5, emisní faktory použité pro výpočet. </w:t>
      </w:r>
    </w:p>
    <w:p w14:paraId="0B7414C4"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Jednotlivé údaje provozní evidence lze vést i samostatně v rámci provozní dokumentace, jako jsou např. operační listy, provozní deníky, záznamy v řídicím systému apod. Za součást provozní evidence jsou považovány protokoly z jednorázových měření emisí, protokoly z vyhodnocení a ověření kontinuálních měření emisí a doklady o kalibraci měřicích přístrojů a postup stanovení úrovně znečišťování výpočtem. </w:t>
      </w:r>
    </w:p>
    <w:p w14:paraId="7F4D6237"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xml:space="preserve"> </w:t>
      </w:r>
    </w:p>
    <w:p w14:paraId="56BDCEF7"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V případě zdroje, u nějž je v povolení provozu stanovena činnost na několika místech, název krajského úřadu, který vydal povolení provozu zdroje.</w:t>
      </w:r>
    </w:p>
    <w:p w14:paraId="4AB9C4A7" w14:textId="77777777" w:rsidR="006441D4"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 Neplatí pro záložní zdroje uvedené v příloze č. 2 k zákonu pod kódem 1.1., 1.2. nebo 1.3. s dobou provozu do 300 h ročně </w:t>
      </w:r>
      <w:r w:rsidR="00E05FEC">
        <w:rPr>
          <w:rFonts w:ascii="Arial" w:hAnsi="Arial" w:cs="Arial"/>
          <w:b/>
          <w:bCs/>
          <w:sz w:val="22"/>
          <w:szCs w:val="22"/>
        </w:rPr>
        <w:t>za podmínky</w:t>
      </w:r>
      <w:r w:rsidRPr="0030358C">
        <w:rPr>
          <w:rFonts w:ascii="Arial" w:hAnsi="Arial" w:cs="Arial"/>
          <w:b/>
          <w:bCs/>
          <w:sz w:val="22"/>
          <w:szCs w:val="22"/>
        </w:rPr>
        <w:t>, že provozovatel před využitím této výjimky zajistí takové opatření, které včas indikuje případ, kdy počet provozních hodin záložního zdroje v daném kalendářním roce překročí 300 h.</w:t>
      </w:r>
    </w:p>
    <w:p w14:paraId="53BA1C39" w14:textId="77777777" w:rsidR="00915748" w:rsidRPr="0030358C" w:rsidRDefault="00000000" w:rsidP="00942FE1">
      <w:pPr>
        <w:pStyle w:val="56"/>
        <w:rPr>
          <w:rFonts w:ascii="Arial" w:hAnsi="Arial" w:cs="Arial"/>
          <w:b/>
          <w:bCs/>
          <w:sz w:val="22"/>
          <w:szCs w:val="22"/>
        </w:rPr>
      </w:pPr>
      <w:r w:rsidRPr="0030358C">
        <w:rPr>
          <w:rFonts w:ascii="Arial" w:hAnsi="Arial" w:cs="Arial"/>
          <w:b/>
          <w:bCs/>
          <w:sz w:val="22"/>
          <w:szCs w:val="22"/>
        </w:rPr>
        <w:t xml:space="preserve">***) Neplatí pro spalovací stacionární zdroje o celkovém jmenovitém tepelném příkonu 5 MW a nižším, spalující výhradně zemní plyn </w:t>
      </w:r>
    </w:p>
    <w:p w14:paraId="25D9A394" w14:textId="77777777" w:rsidR="00915748" w:rsidRPr="0030358C" w:rsidRDefault="00000000" w:rsidP="00915748">
      <w:pPr>
        <w:pStyle w:val="56"/>
        <w:rPr>
          <w:rFonts w:ascii="Arial" w:hAnsi="Arial" w:cs="Arial"/>
          <w:b/>
          <w:bCs/>
          <w:sz w:val="22"/>
          <w:szCs w:val="22"/>
        </w:rPr>
      </w:pPr>
      <w:r w:rsidRPr="0030358C">
        <w:rPr>
          <w:rFonts w:ascii="Arial" w:hAnsi="Arial" w:cs="Arial"/>
          <w:b/>
          <w:bCs/>
          <w:sz w:val="22"/>
          <w:szCs w:val="22"/>
        </w:rPr>
        <w:t>****) Neplatí pro záložní zdroje uvedené v příloze č. 2 k zákonu pod kódem 1.1., 1.2. nebo 1.3. s dobou provozu do 300 h ročně.</w:t>
      </w:r>
    </w:p>
    <w:bookmarkEnd w:id="62"/>
    <w:bookmarkEnd w:id="63"/>
    <w:p w14:paraId="29653BAF" w14:textId="77777777" w:rsidR="00A77B3E" w:rsidRPr="0030358C" w:rsidRDefault="00A77B3E">
      <w:pPr>
        <w:pStyle w:val="1"/>
        <w:rPr>
          <w:rFonts w:ascii="Arial" w:hAnsi="Arial" w:cs="Arial"/>
          <w:sz w:val="22"/>
          <w:szCs w:val="22"/>
        </w:rPr>
      </w:pPr>
    </w:p>
    <w:p w14:paraId="2BAF7707"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t>Příloha č. 11    k vyhlášce č. 415/2012 Sb.</w:t>
      </w:r>
    </w:p>
    <w:p w14:paraId="057601D7"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NÁLEŽITOSTI SOUHRNNÉ PROVOZNÍ EVIDENCE</w:t>
      </w:r>
    </w:p>
    <w:p w14:paraId="1B3154B9" w14:textId="77777777" w:rsidR="00A77B3E" w:rsidRPr="0030358C" w:rsidRDefault="00000000">
      <w:pPr>
        <w:pStyle w:val="16"/>
        <w:rPr>
          <w:rFonts w:ascii="Arial" w:hAnsi="Arial" w:cs="Arial"/>
          <w:strike/>
          <w:sz w:val="22"/>
          <w:szCs w:val="22"/>
        </w:rPr>
      </w:pPr>
      <w:r w:rsidRPr="0030358C">
        <w:rPr>
          <w:rFonts w:ascii="Arial" w:hAnsi="Arial" w:cs="Arial"/>
          <w:strike/>
          <w:sz w:val="22"/>
          <w:szCs w:val="22"/>
        </w:rPr>
        <w:t>Obecné pokyny k vyplňování formulářů souhrnné provozní evidence:</w:t>
      </w:r>
    </w:p>
    <w:p w14:paraId="4E8BF8D9" w14:textId="77777777" w:rsidR="00A77B3E" w:rsidRPr="0030358C" w:rsidRDefault="00000000">
      <w:pPr>
        <w:pStyle w:val="66"/>
        <w:rPr>
          <w:rFonts w:ascii="Arial" w:hAnsi="Arial" w:cs="Arial"/>
          <w:strike/>
          <w:szCs w:val="22"/>
        </w:rPr>
      </w:pPr>
      <w:r w:rsidRPr="0030358C">
        <w:rPr>
          <w:rFonts w:ascii="Arial" w:hAnsi="Arial" w:cs="Arial"/>
          <w:strike/>
          <w:szCs w:val="22"/>
        </w:rPr>
        <w:t xml:space="preserve">1.    Spalovací stacionární zdroje uvedené v </w:t>
      </w:r>
      <w:hyperlink w:history="1">
        <w:r w:rsidR="00A77B3E" w:rsidRPr="0030358C">
          <w:rPr>
            <w:rFonts w:ascii="Arial" w:hAnsi="Arial" w:cs="Arial"/>
            <w:strike/>
            <w:szCs w:val="22"/>
          </w:rPr>
          <w:t>příloze č. 2</w:t>
        </w:r>
      </w:hyperlink>
      <w:r w:rsidRPr="0030358C">
        <w:rPr>
          <w:rFonts w:ascii="Arial" w:hAnsi="Arial" w:cs="Arial"/>
          <w:strike/>
          <w:szCs w:val="22"/>
        </w:rPr>
        <w:t xml:space="preserve"> k </w:t>
      </w:r>
      <w:hyperlink w:history="1">
        <w:r w:rsidR="00A77B3E" w:rsidRPr="0030358C">
          <w:rPr>
            <w:rFonts w:ascii="Arial" w:hAnsi="Arial" w:cs="Arial"/>
            <w:strike/>
            <w:szCs w:val="22"/>
          </w:rPr>
          <w:t>zákonu</w:t>
        </w:r>
      </w:hyperlink>
      <w:r w:rsidRPr="0030358C">
        <w:rPr>
          <w:rFonts w:ascii="Arial" w:hAnsi="Arial" w:cs="Arial"/>
          <w:strike/>
          <w:szCs w:val="22"/>
        </w:rPr>
        <w:t xml:space="preserve"> pod kódem 1.1. o celkovém jmenovitém tepelném příkonu do 5 MW včetně spalující kapalná nebo plynná paliva a spalovací stacionární zdroje uvedené v </w:t>
      </w:r>
      <w:hyperlink w:history="1">
        <w:r w:rsidR="00A77B3E" w:rsidRPr="0030358C">
          <w:rPr>
            <w:rFonts w:ascii="Arial" w:hAnsi="Arial" w:cs="Arial"/>
            <w:strike/>
            <w:szCs w:val="22"/>
          </w:rPr>
          <w:t>příloze č. 2</w:t>
        </w:r>
      </w:hyperlink>
      <w:r w:rsidRPr="0030358C">
        <w:rPr>
          <w:rFonts w:ascii="Arial" w:hAnsi="Arial" w:cs="Arial"/>
          <w:strike/>
          <w:szCs w:val="22"/>
        </w:rPr>
        <w:t xml:space="preserve"> k </w:t>
      </w:r>
      <w:hyperlink w:history="1">
        <w:r w:rsidR="00A77B3E" w:rsidRPr="0030358C">
          <w:rPr>
            <w:rFonts w:ascii="Arial" w:hAnsi="Arial" w:cs="Arial"/>
            <w:strike/>
            <w:szCs w:val="22"/>
          </w:rPr>
          <w:t>zákonu</w:t>
        </w:r>
      </w:hyperlink>
      <w:r w:rsidRPr="0030358C">
        <w:rPr>
          <w:rFonts w:ascii="Arial" w:hAnsi="Arial" w:cs="Arial"/>
          <w:strike/>
          <w:szCs w:val="22"/>
        </w:rPr>
        <w:t xml:space="preserve"> pod kódem 1.1., 1.2. nebo 1.3., na něž se vztahuje ustanovení </w:t>
      </w:r>
      <w:hyperlink w:history="1">
        <w:r w:rsidR="00A77B3E" w:rsidRPr="0030358C">
          <w:rPr>
            <w:rFonts w:ascii="Arial" w:hAnsi="Arial" w:cs="Arial"/>
            <w:strike/>
            <w:szCs w:val="22"/>
          </w:rPr>
          <w:t>§ 6 odst. 8</w:t>
        </w:r>
      </w:hyperlink>
      <w:r w:rsidRPr="0030358C">
        <w:rPr>
          <w:rFonts w:ascii="Arial" w:hAnsi="Arial" w:cs="Arial"/>
          <w:strike/>
          <w:szCs w:val="22"/>
        </w:rPr>
        <w:t xml:space="preserve"> </w:t>
      </w:r>
      <w:hyperlink w:history="1">
        <w:r w:rsidR="00A77B3E" w:rsidRPr="0030358C">
          <w:rPr>
            <w:rFonts w:ascii="Arial" w:hAnsi="Arial" w:cs="Arial"/>
            <w:strike/>
            <w:szCs w:val="22"/>
          </w:rPr>
          <w:t>zákona</w:t>
        </w:r>
      </w:hyperlink>
      <w:r w:rsidRPr="0030358C">
        <w:rPr>
          <w:rFonts w:ascii="Arial" w:hAnsi="Arial" w:cs="Arial"/>
          <w:strike/>
          <w:szCs w:val="22"/>
        </w:rPr>
        <w:t>, spalující kapalná nebo plynná paliva vykazují údaje uvedené v bodu 1.1. a v bodu 1.2. v položkách 18. a 20. způsobem určeným datovým standardem podle jiného právního předpisu</w:t>
      </w:r>
      <w:r w:rsidRPr="0030358C">
        <w:rPr>
          <w:rFonts w:ascii="Arial" w:hAnsi="Arial" w:cs="Arial"/>
          <w:strike/>
          <w:szCs w:val="22"/>
          <w:vertAlign w:val="superscript"/>
        </w:rPr>
        <w:t>4</w:t>
      </w:r>
      <w:r w:rsidRPr="0030358C">
        <w:rPr>
          <w:rFonts w:ascii="Arial" w:hAnsi="Arial" w:cs="Arial"/>
          <w:strike/>
          <w:szCs w:val="22"/>
        </w:rPr>
        <w:t>). Ostatní údaje uvedené v bodech 1.2., 1.4. a 1.5. neohlašují.</w:t>
      </w:r>
    </w:p>
    <w:p w14:paraId="6AD68D26" w14:textId="77777777" w:rsidR="00A77B3E" w:rsidRPr="0030358C" w:rsidRDefault="00000000">
      <w:pPr>
        <w:pStyle w:val="119"/>
        <w:rPr>
          <w:rFonts w:ascii="Arial" w:hAnsi="Arial" w:cs="Arial"/>
          <w:strike/>
          <w:szCs w:val="22"/>
        </w:rPr>
      </w:pPr>
      <w:r w:rsidRPr="0030358C">
        <w:rPr>
          <w:rFonts w:ascii="Arial" w:hAnsi="Arial" w:cs="Arial"/>
          <w:strike/>
          <w:szCs w:val="22"/>
        </w:rPr>
        <w:t xml:space="preserve">2.    Stacionární zdroje uvedené v </w:t>
      </w:r>
      <w:hyperlink w:history="1">
        <w:r w:rsidR="00A77B3E" w:rsidRPr="0030358C">
          <w:rPr>
            <w:rFonts w:ascii="Arial" w:hAnsi="Arial" w:cs="Arial"/>
            <w:strike/>
            <w:szCs w:val="22"/>
          </w:rPr>
          <w:t>příloze č. 2</w:t>
        </w:r>
      </w:hyperlink>
      <w:r w:rsidRPr="0030358C">
        <w:rPr>
          <w:rFonts w:ascii="Arial" w:hAnsi="Arial" w:cs="Arial"/>
          <w:strike/>
          <w:szCs w:val="22"/>
        </w:rPr>
        <w:t xml:space="preserve"> k </w:t>
      </w:r>
      <w:hyperlink w:history="1">
        <w:r w:rsidR="00A77B3E" w:rsidRPr="0030358C">
          <w:rPr>
            <w:rFonts w:ascii="Arial" w:hAnsi="Arial" w:cs="Arial"/>
            <w:strike/>
            <w:szCs w:val="22"/>
          </w:rPr>
          <w:t>zákonu</w:t>
        </w:r>
      </w:hyperlink>
      <w:r w:rsidRPr="0030358C">
        <w:rPr>
          <w:rFonts w:ascii="Arial" w:hAnsi="Arial" w:cs="Arial"/>
          <w:strike/>
          <w:szCs w:val="22"/>
        </w:rPr>
        <w:t xml:space="preserve"> pod kódem 10.2. vykazují údaje uvedené v bodu 1.1. a v bodu 1.3. v položce 13 způsobem určeným datovým standardem podle jiného právního předpisu</w:t>
      </w:r>
      <w:r w:rsidRPr="0030358C">
        <w:rPr>
          <w:rFonts w:ascii="Arial" w:hAnsi="Arial" w:cs="Arial"/>
          <w:strike/>
          <w:szCs w:val="22"/>
          <w:vertAlign w:val="superscript"/>
        </w:rPr>
        <w:t>4</w:t>
      </w:r>
      <w:r w:rsidRPr="0030358C">
        <w:rPr>
          <w:rFonts w:ascii="Arial" w:hAnsi="Arial" w:cs="Arial"/>
          <w:strike/>
          <w:szCs w:val="22"/>
        </w:rPr>
        <w:t>). Ostatní údaje uvedené v bodech 1.3., 1.4. a 1.5. neohlašují.</w:t>
      </w:r>
    </w:p>
    <w:tbl>
      <w:tblPr>
        <w:tblStyle w:val="data-tisk-na-sirku"/>
        <w:tblpPr w:leftFromText="141" w:rightFromText="141" w:vertAnchor="text" w:horzAnchor="margin" w:tblpXSpec="center" w:tblpY="234"/>
        <w:tblW w:w="8977"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8180"/>
        <w:gridCol w:w="797"/>
      </w:tblGrid>
      <w:tr w:rsidR="00E40657" w14:paraId="364BA988" w14:textId="77777777" w:rsidTr="00390E5F">
        <w:trPr>
          <w:trHeight w:val="298"/>
        </w:trPr>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3F1CF5C" w14:textId="77777777" w:rsidR="00390E5F" w:rsidRPr="0030358C" w:rsidRDefault="00000000" w:rsidP="00390E5F">
            <w:pPr>
              <w:pStyle w:val="47"/>
              <w:overflowPunct w:val="0"/>
              <w:ind w:left="0"/>
              <w:jc w:val="left"/>
              <w:rPr>
                <w:rFonts w:ascii="Arial" w:hAnsi="Arial" w:cs="Arial"/>
                <w:b/>
                <w:bCs/>
                <w:strike/>
                <w:sz w:val="22"/>
                <w:szCs w:val="22"/>
              </w:rPr>
            </w:pPr>
            <w:r w:rsidRPr="0030358C">
              <w:rPr>
                <w:rFonts w:ascii="Arial" w:hAnsi="Arial" w:cs="Arial"/>
                <w:b/>
                <w:bCs/>
                <w:strike/>
                <w:sz w:val="22"/>
                <w:szCs w:val="22"/>
              </w:rPr>
              <w:t>1. Údaje o provozovateli</w:t>
            </w:r>
          </w:p>
        </w:tc>
        <w:tc>
          <w:tcPr>
            <w:tcW w:w="797"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2EACCD45" w14:textId="77777777" w:rsidR="00390E5F" w:rsidRPr="0030358C" w:rsidRDefault="00390E5F" w:rsidP="00390E5F">
            <w:pPr>
              <w:pStyle w:val="47"/>
              <w:overflowPunct w:val="0"/>
              <w:ind w:left="0"/>
              <w:jc w:val="left"/>
              <w:rPr>
                <w:rFonts w:ascii="Arial" w:hAnsi="Arial" w:cs="Arial"/>
                <w:b/>
                <w:bCs/>
                <w:strike/>
                <w:sz w:val="22"/>
                <w:szCs w:val="22"/>
              </w:rPr>
            </w:pPr>
          </w:p>
        </w:tc>
      </w:tr>
      <w:tr w:rsidR="00E40657" w14:paraId="5C1F3C1E"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FB39B9A"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Identifikační číslo (IČ)</w:t>
            </w:r>
            <w:hyperlink w:history="1">
              <w:r w:rsidR="00390E5F" w:rsidRPr="0030358C">
                <w:rPr>
                  <w:rFonts w:ascii="Arial" w:hAnsi="Arial" w:cs="Arial"/>
                  <w:strike/>
                  <w:sz w:val="22"/>
                  <w:szCs w:val="22"/>
                  <w:vertAlign w:val="superscript"/>
                </w:rPr>
                <w:t>1)</w:t>
              </w:r>
            </w:hyperlink>
            <w:r w:rsidRPr="0030358C">
              <w:rPr>
                <w:rFonts w:ascii="Arial" w:hAnsi="Arial" w:cs="Arial"/>
                <w:strike/>
                <w:sz w:val="22"/>
                <w:szCs w:val="22"/>
              </w:rPr>
              <w:t>:</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8652A93"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1FA9C906"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5522856"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Název provozovatele (obchodní firma nebo příjmení a jméno):</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BE23220"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16054F7D"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F91A506"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lastRenderedPageBreak/>
              <w:t>Adresa (ulice, číslo popisné/orientační):</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174B9B6"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7FD36D94"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4C7361D"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Adresa (obec, město - městská část):</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973F038"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6DC358B6"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D1FD3C7"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PSČ:</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90C73CC"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499B4260" w14:textId="77777777" w:rsidTr="00390E5F">
        <w:trPr>
          <w:trHeight w:val="317"/>
        </w:trPr>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A2F24D7" w14:textId="77777777" w:rsidR="00390E5F" w:rsidRPr="0030358C" w:rsidRDefault="00000000" w:rsidP="00390E5F">
            <w:pPr>
              <w:pStyle w:val="47"/>
              <w:overflowPunct w:val="0"/>
              <w:ind w:left="0"/>
              <w:jc w:val="left"/>
              <w:rPr>
                <w:rFonts w:ascii="Arial" w:hAnsi="Arial" w:cs="Arial"/>
                <w:b/>
                <w:bCs/>
                <w:strike/>
                <w:sz w:val="22"/>
                <w:szCs w:val="22"/>
              </w:rPr>
            </w:pPr>
            <w:r w:rsidRPr="0030358C">
              <w:rPr>
                <w:rFonts w:ascii="Arial" w:hAnsi="Arial" w:cs="Arial"/>
                <w:b/>
                <w:bCs/>
                <w:strike/>
                <w:sz w:val="22"/>
                <w:szCs w:val="22"/>
              </w:rPr>
              <w:t>2. Údaje o provozovně</w:t>
            </w:r>
          </w:p>
        </w:tc>
        <w:tc>
          <w:tcPr>
            <w:tcW w:w="797" w:type="dxa"/>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7DA54D81" w14:textId="77777777" w:rsidR="00390E5F" w:rsidRPr="0030358C" w:rsidRDefault="00390E5F" w:rsidP="00390E5F">
            <w:pPr>
              <w:pStyle w:val="47"/>
              <w:overflowPunct w:val="0"/>
              <w:ind w:left="0"/>
              <w:jc w:val="left"/>
              <w:rPr>
                <w:rFonts w:ascii="Arial" w:hAnsi="Arial" w:cs="Arial"/>
                <w:b/>
                <w:bCs/>
                <w:strike/>
                <w:sz w:val="22"/>
                <w:szCs w:val="22"/>
              </w:rPr>
            </w:pPr>
          </w:p>
        </w:tc>
      </w:tr>
      <w:tr w:rsidR="00E40657" w14:paraId="2AFB9431"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44E4818"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Identifikační číslo provozovny (IČP)</w:t>
            </w:r>
            <w:hyperlink w:history="1">
              <w:r w:rsidR="00390E5F" w:rsidRPr="0030358C">
                <w:rPr>
                  <w:rFonts w:ascii="Arial" w:hAnsi="Arial" w:cs="Arial"/>
                  <w:strike/>
                  <w:sz w:val="22"/>
                  <w:szCs w:val="22"/>
                  <w:vertAlign w:val="superscript"/>
                </w:rPr>
                <w:t>2)</w:t>
              </w:r>
            </w:hyperlink>
            <w:r w:rsidRPr="0030358C">
              <w:rPr>
                <w:rFonts w:ascii="Arial" w:hAnsi="Arial" w:cs="Arial"/>
                <w:strike/>
                <w:sz w:val="22"/>
                <w:szCs w:val="22"/>
              </w:rPr>
              <w:t>:</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A30BE26"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6E01A2B7"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070F438"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Identifikační číslo provozovny (IRZ)</w:t>
            </w:r>
            <w:hyperlink w:history="1">
              <w:r w:rsidR="00390E5F" w:rsidRPr="0030358C">
                <w:rPr>
                  <w:rFonts w:ascii="Arial" w:hAnsi="Arial" w:cs="Arial"/>
                  <w:strike/>
                  <w:sz w:val="22"/>
                  <w:szCs w:val="22"/>
                  <w:vertAlign w:val="superscript"/>
                </w:rPr>
                <w:t>5</w:t>
              </w:r>
              <w:r w:rsidR="00390E5F" w:rsidRPr="0030358C">
                <w:rPr>
                  <w:rFonts w:ascii="Arial" w:hAnsi="Arial" w:cs="Arial"/>
                  <w:strike/>
                  <w:sz w:val="22"/>
                  <w:szCs w:val="22"/>
                </w:rPr>
                <w:t>)</w:t>
              </w:r>
            </w:hyperlink>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855C8B5"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4437B67B"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FCC33F3"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Identifikátor PID zařízení IPPC</w:t>
            </w:r>
            <w:hyperlink w:history="1">
              <w:r w:rsidR="00390E5F" w:rsidRPr="0030358C">
                <w:rPr>
                  <w:rFonts w:ascii="Arial" w:hAnsi="Arial" w:cs="Arial"/>
                  <w:strike/>
                  <w:sz w:val="22"/>
                  <w:szCs w:val="22"/>
                  <w:vertAlign w:val="superscript"/>
                </w:rPr>
                <w:t>6</w:t>
              </w:r>
              <w:r w:rsidR="00390E5F" w:rsidRPr="0030358C">
                <w:rPr>
                  <w:rFonts w:ascii="Arial" w:hAnsi="Arial" w:cs="Arial"/>
                  <w:strike/>
                  <w:sz w:val="22"/>
                  <w:szCs w:val="22"/>
                </w:rPr>
                <w:t>)</w:t>
              </w:r>
            </w:hyperlink>
            <w:r w:rsidRPr="0030358C">
              <w:rPr>
                <w:rFonts w:ascii="Arial" w:hAnsi="Arial" w:cs="Arial"/>
                <w:strike/>
                <w:sz w:val="22"/>
                <w:szCs w:val="22"/>
              </w:rPr>
              <w:t>:</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7F1D9A6"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0E1769C7"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8606C38"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Územně technická jednotka (ÚTJ)</w:t>
            </w:r>
            <w:r w:rsidRPr="0030358C">
              <w:rPr>
                <w:rFonts w:ascii="Arial" w:hAnsi="Arial" w:cs="Arial"/>
                <w:strike/>
                <w:sz w:val="22"/>
                <w:szCs w:val="22"/>
                <w:vertAlign w:val="superscript"/>
              </w:rPr>
              <w:t>3,4)</w:t>
            </w:r>
            <w:r w:rsidRPr="0030358C">
              <w:rPr>
                <w:rFonts w:ascii="Arial" w:hAnsi="Arial" w:cs="Arial"/>
                <w:strike/>
                <w:sz w:val="22"/>
                <w:szCs w:val="22"/>
              </w:rPr>
              <w:t>:</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6246A87"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3D5523F3"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341BBA1"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Název provozovny:</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BC7DC23"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1FE35B1E"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650F739"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Adresa (ulice, číslo popisné/orientační)</w:t>
            </w:r>
            <w:hyperlink w:history="1">
              <w:r w:rsidR="00390E5F" w:rsidRPr="0030358C">
                <w:rPr>
                  <w:rFonts w:ascii="Arial" w:hAnsi="Arial" w:cs="Arial"/>
                  <w:strike/>
                  <w:sz w:val="22"/>
                  <w:szCs w:val="22"/>
                  <w:vertAlign w:val="superscript"/>
                </w:rPr>
                <w:t>4)</w:t>
              </w:r>
            </w:hyperlink>
            <w:r w:rsidRPr="0030358C">
              <w:rPr>
                <w:rFonts w:ascii="Arial" w:hAnsi="Arial" w:cs="Arial"/>
                <w:strike/>
                <w:sz w:val="22"/>
                <w:szCs w:val="22"/>
              </w:rPr>
              <w:t>:</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B29064B"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34A34A89"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02B48B7"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Adresa (obec, město - městská část)</w:t>
            </w:r>
            <w:hyperlink w:history="1">
              <w:r w:rsidR="00390E5F" w:rsidRPr="0030358C">
                <w:rPr>
                  <w:rFonts w:ascii="Arial" w:hAnsi="Arial" w:cs="Arial"/>
                  <w:strike/>
                  <w:sz w:val="22"/>
                  <w:szCs w:val="22"/>
                  <w:vertAlign w:val="superscript"/>
                </w:rPr>
                <w:t>4)</w:t>
              </w:r>
            </w:hyperlink>
            <w:r w:rsidRPr="0030358C">
              <w:rPr>
                <w:rFonts w:ascii="Arial" w:hAnsi="Arial" w:cs="Arial"/>
                <w:strike/>
                <w:sz w:val="22"/>
                <w:szCs w:val="22"/>
              </w:rPr>
              <w:t>:</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79184DF"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7FCF97C8"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76F3658"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PSČ</w:t>
            </w:r>
            <w:hyperlink w:history="1">
              <w:r w:rsidR="00390E5F" w:rsidRPr="0030358C">
                <w:rPr>
                  <w:rFonts w:ascii="Arial" w:hAnsi="Arial" w:cs="Arial"/>
                  <w:strike/>
                  <w:sz w:val="22"/>
                  <w:szCs w:val="22"/>
                  <w:vertAlign w:val="superscript"/>
                </w:rPr>
                <w:t>4)</w:t>
              </w:r>
            </w:hyperlink>
            <w:r w:rsidRPr="0030358C">
              <w:rPr>
                <w:rFonts w:ascii="Arial" w:hAnsi="Arial" w:cs="Arial"/>
                <w:strike/>
                <w:sz w:val="22"/>
                <w:szCs w:val="22"/>
              </w:rPr>
              <w:t>:</w:t>
            </w:r>
          </w:p>
        </w:tc>
        <w:tc>
          <w:tcPr>
            <w:tcW w:w="797"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084C03D" w14:textId="77777777" w:rsidR="00390E5F" w:rsidRPr="0030358C" w:rsidRDefault="00390E5F" w:rsidP="00390E5F">
            <w:pPr>
              <w:pStyle w:val="47"/>
              <w:overflowPunct w:val="0"/>
              <w:ind w:left="0"/>
              <w:jc w:val="left"/>
              <w:rPr>
                <w:rFonts w:ascii="Arial" w:hAnsi="Arial" w:cs="Arial"/>
                <w:strike/>
                <w:sz w:val="22"/>
                <w:szCs w:val="22"/>
              </w:rPr>
            </w:pPr>
          </w:p>
        </w:tc>
      </w:tr>
      <w:tr w:rsidR="00E40657" w14:paraId="2B5ED646" w14:textId="77777777" w:rsidTr="00390E5F">
        <w:trPr>
          <w:trHeight w:val="298"/>
        </w:trPr>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9FED9A1" w14:textId="77777777" w:rsidR="00390E5F" w:rsidRPr="0030358C" w:rsidRDefault="00000000" w:rsidP="00390E5F">
            <w:pPr>
              <w:pStyle w:val="47"/>
              <w:overflowPunct w:val="0"/>
              <w:ind w:left="0"/>
              <w:jc w:val="left"/>
              <w:rPr>
                <w:rFonts w:ascii="Arial" w:hAnsi="Arial" w:cs="Arial"/>
                <w:strike/>
                <w:sz w:val="22"/>
                <w:szCs w:val="22"/>
              </w:rPr>
            </w:pPr>
            <w:r w:rsidRPr="0030358C">
              <w:rPr>
                <w:rFonts w:ascii="Arial" w:hAnsi="Arial" w:cs="Arial"/>
                <w:strike/>
                <w:sz w:val="22"/>
                <w:szCs w:val="22"/>
              </w:rPr>
              <w:t>Souhrnná provozní evidence za rok:</w:t>
            </w:r>
          </w:p>
        </w:tc>
        <w:tc>
          <w:tcPr>
            <w:tcW w:w="797"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20EFD22D" w14:textId="77777777" w:rsidR="00390E5F" w:rsidRPr="0030358C" w:rsidRDefault="00390E5F" w:rsidP="00390E5F">
            <w:pPr>
              <w:pStyle w:val="47"/>
              <w:overflowPunct w:val="0"/>
              <w:ind w:left="0"/>
              <w:jc w:val="left"/>
              <w:rPr>
                <w:rFonts w:ascii="Arial" w:hAnsi="Arial" w:cs="Arial"/>
                <w:strike/>
                <w:sz w:val="22"/>
                <w:szCs w:val="22"/>
              </w:rPr>
            </w:pPr>
          </w:p>
        </w:tc>
      </w:tr>
    </w:tbl>
    <w:p w14:paraId="704F11AB" w14:textId="77777777" w:rsidR="008A1A8A" w:rsidRPr="0030358C" w:rsidRDefault="008A1A8A">
      <w:pPr>
        <w:pStyle w:val="119"/>
        <w:rPr>
          <w:rFonts w:ascii="Arial" w:hAnsi="Arial" w:cs="Arial"/>
          <w:strike/>
          <w:szCs w:val="22"/>
        </w:rPr>
      </w:pPr>
    </w:p>
    <w:p w14:paraId="2465CFF3" w14:textId="77777777" w:rsidR="00A77B3E" w:rsidRPr="0030358C" w:rsidRDefault="00000000">
      <w:pPr>
        <w:pStyle w:val="57"/>
        <w:rPr>
          <w:rFonts w:ascii="Arial" w:hAnsi="Arial" w:cs="Arial"/>
          <w:strike/>
          <w:szCs w:val="22"/>
        </w:rPr>
      </w:pPr>
      <w:r w:rsidRPr="0030358C">
        <w:rPr>
          <w:rFonts w:ascii="Arial" w:hAnsi="Arial" w:cs="Arial"/>
          <w:strike/>
          <w:szCs w:val="22"/>
        </w:rPr>
        <w:t>1.1.    Identifikace provozovatele a provozovny</w:t>
      </w:r>
    </w:p>
    <w:p w14:paraId="70E75672"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 k tabulce:</w:t>
      </w:r>
    </w:p>
    <w:p w14:paraId="75EC43F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Identifikační číslo (IČ), bylo-li přiděleno. Fyzické osoby bez IČ vyplní ID přidělené ISPOP.</w:t>
      </w:r>
    </w:p>
    <w:p w14:paraId="03F7E14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Identifikační číslo provozovny (IČP) přidělené ISPOP - označení provozovny, ve které je provozován jeden nebo více stacionárních zdrojů.</w:t>
      </w:r>
    </w:p>
    <w:p w14:paraId="57892698"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Územně technickou jednotkou se rozumí jednotka, která je vymezena jako katastrální území nebo jeho část. Názvy a kódy ÚTJ jsou součástí METIS, vedeného ČSÚ, který je garantem vedení číselníku územně technických jednotek.</w:t>
      </w:r>
    </w:p>
    <w:p w14:paraId="439A86F6"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4)    V případě zdroje, u nějž byla ve vykazovaném kalendářním roce provozována činnost na několika místech, se použije zástupná adresa, ÚTJ a souřadnice sídla krajského úřadu, který vydal povolení provozu zdroje.</w:t>
      </w:r>
    </w:p>
    <w:p w14:paraId="1A385ADE"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5)    Identifikační číslo provozovny IRZ (integrovaný registr znečišťování životního prostředí), bylo-li přiděleno.</w:t>
      </w:r>
    </w:p>
    <w:p w14:paraId="7F02C5C5"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6)    Identifikátor PID zařízení IPPC (integrovaná prevence a omezování znečištění), byl-li přidělen.</w:t>
      </w:r>
    </w:p>
    <w:p w14:paraId="286A0F94" w14:textId="77777777" w:rsidR="00A77B3E" w:rsidRPr="0030358C" w:rsidRDefault="00000000">
      <w:pPr>
        <w:pStyle w:val="57"/>
        <w:rPr>
          <w:rFonts w:ascii="Arial" w:hAnsi="Arial" w:cs="Arial"/>
          <w:strike/>
          <w:szCs w:val="22"/>
        </w:rPr>
      </w:pPr>
      <w:r w:rsidRPr="0030358C">
        <w:rPr>
          <w:rFonts w:ascii="Arial" w:hAnsi="Arial" w:cs="Arial"/>
          <w:strike/>
          <w:szCs w:val="22"/>
        </w:rPr>
        <w:t>1.2.    Souhrnná provozní evidence spalovacích stacionárních zdrojů a spaloven odpadů</w:t>
      </w:r>
    </w:p>
    <w:tbl>
      <w:tblPr>
        <w:tblStyle w:val="data-tisk-na-sirku"/>
        <w:tblW w:w="9682" w:type="dxa"/>
        <w:tblInd w:w="-330"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804"/>
        <w:gridCol w:w="4653"/>
        <w:gridCol w:w="2377"/>
        <w:gridCol w:w="1848"/>
      </w:tblGrid>
      <w:tr w:rsidR="00E40657" w14:paraId="0835B550" w14:textId="77777777" w:rsidTr="00390E5F">
        <w:trPr>
          <w:trHeight w:val="298"/>
        </w:trPr>
        <w:tc>
          <w:tcPr>
            <w:tcW w:w="804" w:type="dxa"/>
            <w:tcBorders>
              <w:top w:val="single" w:sz="12" w:space="0" w:color="000000"/>
              <w:bottom w:val="single" w:sz="3" w:space="0" w:color="000000"/>
              <w:right w:val="single" w:sz="3" w:space="0" w:color="000000"/>
            </w:tcBorders>
            <w:tcMar>
              <w:top w:w="85" w:type="dxa"/>
              <w:left w:w="157" w:type="dxa"/>
              <w:bottom w:w="85" w:type="dxa"/>
              <w:right w:w="146" w:type="dxa"/>
            </w:tcMar>
            <w:vAlign w:val="center"/>
            <w:hideMark/>
          </w:tcPr>
          <w:p w14:paraId="07E461B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w:t>
            </w:r>
          </w:p>
        </w:tc>
        <w:tc>
          <w:tcPr>
            <w:tcW w:w="7030" w:type="dxa"/>
            <w:gridSpan w:val="2"/>
            <w:tcBorders>
              <w:top w:val="single" w:sz="12"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F8608E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Pořadové číslo stacionárního zdroje</w:t>
            </w:r>
          </w:p>
        </w:tc>
        <w:tc>
          <w:tcPr>
            <w:tcW w:w="1848" w:type="dxa"/>
            <w:tcBorders>
              <w:top w:val="single" w:sz="12" w:space="0" w:color="000000"/>
              <w:left w:val="single" w:sz="3" w:space="0" w:color="000000"/>
              <w:bottom w:val="single" w:sz="3" w:space="0" w:color="000000"/>
            </w:tcBorders>
            <w:tcMar>
              <w:top w:w="85" w:type="dxa"/>
              <w:left w:w="146" w:type="dxa"/>
              <w:bottom w:w="85" w:type="dxa"/>
              <w:right w:w="157" w:type="dxa"/>
            </w:tcMar>
            <w:vAlign w:val="center"/>
            <w:hideMark/>
          </w:tcPr>
          <w:p w14:paraId="3410EBE0" w14:textId="77777777" w:rsidR="00A77B3E" w:rsidRPr="0030358C" w:rsidRDefault="00A77B3E">
            <w:pPr>
              <w:pStyle w:val="59"/>
              <w:overflowPunct w:val="0"/>
              <w:ind w:left="0"/>
              <w:jc w:val="left"/>
              <w:rPr>
                <w:rFonts w:ascii="Arial" w:hAnsi="Arial" w:cs="Arial"/>
                <w:strike/>
                <w:sz w:val="22"/>
                <w:szCs w:val="22"/>
              </w:rPr>
            </w:pPr>
          </w:p>
        </w:tc>
      </w:tr>
      <w:tr w:rsidR="00E40657" w14:paraId="49AFCEA6"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F7975B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1A6859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 xml:space="preserve">Zařazení stacionárního zdroje podle </w:t>
            </w:r>
            <w:hyperlink w:history="1">
              <w:r w:rsidR="00A77B3E" w:rsidRPr="0030358C">
                <w:rPr>
                  <w:rFonts w:ascii="Arial" w:hAnsi="Arial" w:cs="Arial"/>
                  <w:strike/>
                  <w:sz w:val="22"/>
                  <w:szCs w:val="22"/>
                </w:rPr>
                <w:t>zákona</w:t>
              </w:r>
            </w:hyperlink>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C5EBE1B" w14:textId="77777777" w:rsidR="00A77B3E" w:rsidRPr="0030358C" w:rsidRDefault="00A77B3E">
            <w:pPr>
              <w:pStyle w:val="59"/>
              <w:overflowPunct w:val="0"/>
              <w:ind w:left="0"/>
              <w:jc w:val="left"/>
              <w:rPr>
                <w:rFonts w:ascii="Arial" w:hAnsi="Arial" w:cs="Arial"/>
                <w:strike/>
                <w:sz w:val="22"/>
                <w:szCs w:val="22"/>
              </w:rPr>
            </w:pPr>
          </w:p>
        </w:tc>
      </w:tr>
      <w:tr w:rsidR="00E40657" w14:paraId="6363A73C"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897A30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lastRenderedPageBreak/>
              <w:t>3</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C560C8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Datum vydání povolení provozu</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C2B4786" w14:textId="77777777" w:rsidR="00A77B3E" w:rsidRPr="0030358C" w:rsidRDefault="00A77B3E">
            <w:pPr>
              <w:pStyle w:val="59"/>
              <w:overflowPunct w:val="0"/>
              <w:ind w:left="0"/>
              <w:jc w:val="left"/>
              <w:rPr>
                <w:rFonts w:ascii="Arial" w:hAnsi="Arial" w:cs="Arial"/>
                <w:strike/>
                <w:sz w:val="22"/>
                <w:szCs w:val="22"/>
              </w:rPr>
            </w:pPr>
          </w:p>
        </w:tc>
      </w:tr>
      <w:tr w:rsidR="00E40657" w14:paraId="7E360CB5" w14:textId="77777777" w:rsidTr="00390E5F">
        <w:trPr>
          <w:trHeight w:val="298"/>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113948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w:t>
            </w:r>
          </w:p>
        </w:tc>
        <w:tc>
          <w:tcPr>
            <w:tcW w:w="0" w:type="auto"/>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73679F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Datum uvedení do provozu</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FF251BA" w14:textId="77777777" w:rsidR="00A77B3E" w:rsidRPr="0030358C" w:rsidRDefault="00A77B3E">
            <w:pPr>
              <w:pStyle w:val="59"/>
              <w:overflowPunct w:val="0"/>
              <w:ind w:left="0"/>
              <w:jc w:val="left"/>
              <w:rPr>
                <w:rFonts w:ascii="Arial" w:hAnsi="Arial" w:cs="Arial"/>
                <w:strike/>
                <w:sz w:val="22"/>
                <w:szCs w:val="22"/>
              </w:rPr>
            </w:pPr>
          </w:p>
        </w:tc>
      </w:tr>
      <w:tr w:rsidR="00E40657" w14:paraId="5A66A39D"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A92682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DB359E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Název stacionárního zdroje</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48C6E0C" w14:textId="77777777" w:rsidR="00A77B3E" w:rsidRPr="0030358C" w:rsidRDefault="00A77B3E">
            <w:pPr>
              <w:pStyle w:val="59"/>
              <w:overflowPunct w:val="0"/>
              <w:ind w:left="0"/>
              <w:jc w:val="left"/>
              <w:rPr>
                <w:rFonts w:ascii="Arial" w:hAnsi="Arial" w:cs="Arial"/>
                <w:strike/>
                <w:sz w:val="22"/>
                <w:szCs w:val="22"/>
              </w:rPr>
            </w:pPr>
          </w:p>
        </w:tc>
      </w:tr>
      <w:tr w:rsidR="00E40657" w14:paraId="2F05A2DE"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E9FB56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FFECB1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Tepelná účinnost [%]</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CC224AC" w14:textId="77777777" w:rsidR="00A77B3E" w:rsidRPr="0030358C" w:rsidRDefault="00A77B3E">
            <w:pPr>
              <w:pStyle w:val="59"/>
              <w:overflowPunct w:val="0"/>
              <w:ind w:left="0"/>
              <w:jc w:val="left"/>
              <w:rPr>
                <w:rFonts w:ascii="Arial" w:hAnsi="Arial" w:cs="Arial"/>
                <w:strike/>
                <w:sz w:val="22"/>
                <w:szCs w:val="22"/>
              </w:rPr>
            </w:pPr>
          </w:p>
        </w:tc>
      </w:tr>
      <w:tr w:rsidR="00E40657" w14:paraId="4305E67C" w14:textId="77777777" w:rsidTr="00390E5F">
        <w:trPr>
          <w:trHeight w:val="317"/>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645E3F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247088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Jmenovitý tepelný výkon [MW]</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A1E99FA" w14:textId="77777777" w:rsidR="00A77B3E" w:rsidRPr="0030358C" w:rsidRDefault="00A77B3E">
            <w:pPr>
              <w:pStyle w:val="59"/>
              <w:overflowPunct w:val="0"/>
              <w:ind w:left="0"/>
              <w:jc w:val="left"/>
              <w:rPr>
                <w:rFonts w:ascii="Arial" w:hAnsi="Arial" w:cs="Arial"/>
                <w:strike/>
                <w:sz w:val="22"/>
                <w:szCs w:val="22"/>
              </w:rPr>
            </w:pPr>
          </w:p>
        </w:tc>
      </w:tr>
      <w:tr w:rsidR="00E40657" w14:paraId="62150DBA"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467F4A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21305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Instalovaný elektrický výkon [MW]</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B493222" w14:textId="77777777" w:rsidR="00A77B3E" w:rsidRPr="0030358C" w:rsidRDefault="00A77B3E">
            <w:pPr>
              <w:pStyle w:val="59"/>
              <w:overflowPunct w:val="0"/>
              <w:ind w:left="0"/>
              <w:jc w:val="left"/>
              <w:rPr>
                <w:rFonts w:ascii="Arial" w:hAnsi="Arial" w:cs="Arial"/>
                <w:strike/>
                <w:sz w:val="22"/>
                <w:szCs w:val="22"/>
              </w:rPr>
            </w:pPr>
          </w:p>
        </w:tc>
      </w:tr>
      <w:tr w:rsidR="00E40657" w14:paraId="6945AB7C"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CBC8E6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9</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B1077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Jmenovitý tepelný příkon [MW]</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A77996C" w14:textId="77777777" w:rsidR="00A77B3E" w:rsidRPr="0030358C" w:rsidRDefault="00A77B3E">
            <w:pPr>
              <w:pStyle w:val="59"/>
              <w:overflowPunct w:val="0"/>
              <w:ind w:left="0"/>
              <w:jc w:val="left"/>
              <w:rPr>
                <w:rFonts w:ascii="Arial" w:hAnsi="Arial" w:cs="Arial"/>
                <w:strike/>
                <w:sz w:val="22"/>
                <w:szCs w:val="22"/>
              </w:rPr>
            </w:pPr>
          </w:p>
        </w:tc>
      </w:tr>
      <w:tr w:rsidR="00E40657" w14:paraId="4B1A9842"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0D0996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D9ABB3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Celkový jmenovitý tepelný příkon [MW]</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40D3E44" w14:textId="77777777" w:rsidR="00A77B3E" w:rsidRPr="0030358C" w:rsidRDefault="00A77B3E">
            <w:pPr>
              <w:pStyle w:val="59"/>
              <w:overflowPunct w:val="0"/>
              <w:ind w:left="0"/>
              <w:jc w:val="left"/>
              <w:rPr>
                <w:rFonts w:ascii="Arial" w:hAnsi="Arial" w:cs="Arial"/>
                <w:strike/>
                <w:sz w:val="22"/>
                <w:szCs w:val="22"/>
              </w:rPr>
            </w:pPr>
          </w:p>
        </w:tc>
      </w:tr>
      <w:tr w:rsidR="00E40657" w14:paraId="2AC2E430"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65008D9"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11</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77043BF"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Projektovaná kapacita spalovny odpadu [t/rok]</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8E3EB34" w14:textId="77777777" w:rsidR="00A77B3E" w:rsidRPr="0030358C" w:rsidRDefault="00A77B3E">
            <w:pPr>
              <w:pStyle w:val="59"/>
              <w:overflowPunct w:val="0"/>
              <w:ind w:left="0"/>
              <w:jc w:val="left"/>
              <w:rPr>
                <w:rFonts w:ascii="Arial" w:hAnsi="Arial" w:cs="Arial"/>
                <w:strike/>
                <w:sz w:val="22"/>
                <w:szCs w:val="22"/>
              </w:rPr>
            </w:pPr>
          </w:p>
        </w:tc>
      </w:tr>
      <w:tr w:rsidR="00E40657" w14:paraId="76686917"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1B8C50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12</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86C65B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Druh topeniště</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18780E3" w14:textId="77777777" w:rsidR="00A77B3E" w:rsidRPr="0030358C" w:rsidRDefault="00A77B3E">
            <w:pPr>
              <w:pStyle w:val="59"/>
              <w:overflowPunct w:val="0"/>
              <w:ind w:left="0"/>
              <w:jc w:val="left"/>
              <w:rPr>
                <w:rFonts w:ascii="Arial" w:hAnsi="Arial" w:cs="Arial"/>
                <w:strike/>
                <w:sz w:val="22"/>
                <w:szCs w:val="22"/>
              </w:rPr>
            </w:pPr>
          </w:p>
        </w:tc>
      </w:tr>
      <w:tr w:rsidR="00E40657" w14:paraId="36468D9B"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E94957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5369E5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Provozní hodiny [h/rok]</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B646A15" w14:textId="77777777" w:rsidR="00A77B3E" w:rsidRPr="0030358C" w:rsidRDefault="00A77B3E">
            <w:pPr>
              <w:pStyle w:val="59"/>
              <w:overflowPunct w:val="0"/>
              <w:ind w:left="0"/>
              <w:jc w:val="left"/>
              <w:rPr>
                <w:rFonts w:ascii="Arial" w:hAnsi="Arial" w:cs="Arial"/>
                <w:strike/>
                <w:sz w:val="22"/>
                <w:szCs w:val="22"/>
              </w:rPr>
            </w:pPr>
          </w:p>
        </w:tc>
      </w:tr>
      <w:tr w:rsidR="00E40657" w14:paraId="2AC39372"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BB3555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14</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9DCCE6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Celkové provozní hodiny [h/rok]</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6E643CA" w14:textId="77777777" w:rsidR="00A77B3E" w:rsidRPr="0030358C" w:rsidRDefault="00A77B3E">
            <w:pPr>
              <w:pStyle w:val="59"/>
              <w:overflowPunct w:val="0"/>
              <w:ind w:left="0"/>
              <w:jc w:val="left"/>
              <w:rPr>
                <w:rFonts w:ascii="Arial" w:hAnsi="Arial" w:cs="Arial"/>
                <w:strike/>
                <w:sz w:val="22"/>
                <w:szCs w:val="22"/>
              </w:rPr>
            </w:pPr>
          </w:p>
        </w:tc>
      </w:tr>
      <w:tr w:rsidR="00E40657" w14:paraId="0320DC25"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BFC47F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15</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860C5F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Využití kapacity [%]</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39841CC" w14:textId="77777777" w:rsidR="00A77B3E" w:rsidRPr="0030358C" w:rsidRDefault="00A77B3E">
            <w:pPr>
              <w:pStyle w:val="59"/>
              <w:overflowPunct w:val="0"/>
              <w:ind w:left="0"/>
              <w:jc w:val="left"/>
              <w:rPr>
                <w:rFonts w:ascii="Arial" w:hAnsi="Arial" w:cs="Arial"/>
                <w:strike/>
                <w:sz w:val="22"/>
                <w:szCs w:val="22"/>
              </w:rPr>
            </w:pPr>
          </w:p>
        </w:tc>
      </w:tr>
      <w:tr w:rsidR="00E40657" w14:paraId="6081C3B9"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EAA314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16</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31A00F"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Teplo dodané k využití ze stacionárního zdroje [GJ/rok]</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4D5FE18" w14:textId="77777777" w:rsidR="00A77B3E" w:rsidRPr="0030358C" w:rsidRDefault="00A77B3E">
            <w:pPr>
              <w:pStyle w:val="59"/>
              <w:overflowPunct w:val="0"/>
              <w:ind w:left="0"/>
              <w:jc w:val="left"/>
              <w:rPr>
                <w:rFonts w:ascii="Arial" w:hAnsi="Arial" w:cs="Arial"/>
                <w:strike/>
                <w:sz w:val="22"/>
                <w:szCs w:val="22"/>
              </w:rPr>
            </w:pPr>
          </w:p>
        </w:tc>
      </w:tr>
      <w:tr w:rsidR="00E40657" w14:paraId="2D01EC8C" w14:textId="77777777" w:rsidTr="00390E5F">
        <w:trPr>
          <w:trHeight w:val="541"/>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D3E7B5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17</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0F222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Podíl tepla dodaného ve formě páry nebo horké vody do soustavy zásobování tepelnou energií [%]</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C9E391E" w14:textId="77777777" w:rsidR="00A77B3E" w:rsidRPr="0030358C" w:rsidRDefault="00A77B3E">
            <w:pPr>
              <w:pStyle w:val="59"/>
              <w:overflowPunct w:val="0"/>
              <w:ind w:left="0"/>
              <w:jc w:val="left"/>
              <w:rPr>
                <w:rFonts w:ascii="Arial" w:hAnsi="Arial" w:cs="Arial"/>
                <w:strike/>
                <w:sz w:val="22"/>
                <w:szCs w:val="22"/>
              </w:rPr>
            </w:pPr>
          </w:p>
        </w:tc>
      </w:tr>
      <w:tr w:rsidR="00E40657" w14:paraId="0853E08A"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DDC76A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18</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DBFA1B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Druh paliva nebo odpadu</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BAB5E77" w14:textId="77777777" w:rsidR="00A77B3E" w:rsidRPr="0030358C" w:rsidRDefault="00A77B3E">
            <w:pPr>
              <w:pStyle w:val="59"/>
              <w:overflowPunct w:val="0"/>
              <w:ind w:left="0"/>
              <w:jc w:val="left"/>
              <w:rPr>
                <w:rFonts w:ascii="Arial" w:hAnsi="Arial" w:cs="Arial"/>
                <w:strike/>
                <w:sz w:val="22"/>
                <w:szCs w:val="22"/>
              </w:rPr>
            </w:pPr>
          </w:p>
        </w:tc>
      </w:tr>
      <w:tr w:rsidR="00E40657" w14:paraId="78E037EC" w14:textId="77777777" w:rsidTr="00390E5F">
        <w:trPr>
          <w:trHeight w:val="317"/>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4D9B16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19</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786B46"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Výhřevnost paliva [kJ/kg, kJ/m</w:t>
            </w:r>
            <w:r w:rsidRPr="0030358C">
              <w:rPr>
                <w:rFonts w:ascii="Arial" w:hAnsi="Arial" w:cs="Arial"/>
                <w:strike/>
                <w:sz w:val="22"/>
                <w:szCs w:val="22"/>
                <w:vertAlign w:val="superscript"/>
              </w:rPr>
              <w:t>3</w:t>
            </w:r>
            <w:r w:rsidRPr="0030358C">
              <w:rPr>
                <w:rFonts w:ascii="Arial" w:hAnsi="Arial" w:cs="Arial"/>
                <w:strike/>
                <w:sz w:val="22"/>
                <w:szCs w:val="22"/>
              </w:rPr>
              <w:t>]</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CB863F9" w14:textId="77777777" w:rsidR="00A77B3E" w:rsidRPr="0030358C" w:rsidRDefault="00A77B3E">
            <w:pPr>
              <w:pStyle w:val="59"/>
              <w:overflowPunct w:val="0"/>
              <w:ind w:left="0"/>
              <w:jc w:val="left"/>
              <w:rPr>
                <w:rFonts w:ascii="Arial" w:hAnsi="Arial" w:cs="Arial"/>
                <w:strike/>
                <w:sz w:val="22"/>
                <w:szCs w:val="22"/>
              </w:rPr>
            </w:pPr>
          </w:p>
        </w:tc>
      </w:tr>
      <w:tr w:rsidR="00E40657" w14:paraId="2F85DD47" w14:textId="77777777" w:rsidTr="00390E5F">
        <w:trPr>
          <w:trHeight w:val="298"/>
        </w:trPr>
        <w:tc>
          <w:tcPr>
            <w:tcW w:w="804"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CCE4B4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20</w:t>
            </w:r>
          </w:p>
        </w:tc>
        <w:tc>
          <w:tcPr>
            <w:tcW w:w="7030"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2B987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Spotřeba paliva nebo odpadů [t/rok, tis. m</w:t>
            </w:r>
            <w:r w:rsidRPr="0030358C">
              <w:rPr>
                <w:rFonts w:ascii="Arial" w:hAnsi="Arial" w:cs="Arial"/>
                <w:strike/>
                <w:sz w:val="22"/>
                <w:szCs w:val="22"/>
                <w:vertAlign w:val="superscript"/>
              </w:rPr>
              <w:t>3</w:t>
            </w:r>
            <w:r w:rsidRPr="0030358C">
              <w:rPr>
                <w:rFonts w:ascii="Arial" w:hAnsi="Arial" w:cs="Arial"/>
                <w:strike/>
                <w:sz w:val="22"/>
                <w:szCs w:val="22"/>
              </w:rPr>
              <w:t>/rok]</w:t>
            </w: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0852915" w14:textId="77777777" w:rsidR="00A77B3E" w:rsidRPr="0030358C" w:rsidRDefault="00A77B3E">
            <w:pPr>
              <w:pStyle w:val="59"/>
              <w:overflowPunct w:val="0"/>
              <w:ind w:left="0"/>
              <w:jc w:val="left"/>
              <w:rPr>
                <w:rFonts w:ascii="Arial" w:hAnsi="Arial" w:cs="Arial"/>
                <w:strike/>
                <w:sz w:val="22"/>
                <w:szCs w:val="22"/>
              </w:rPr>
            </w:pPr>
          </w:p>
        </w:tc>
      </w:tr>
      <w:tr w:rsidR="00E40657" w14:paraId="4B4F8114" w14:textId="77777777" w:rsidTr="00390E5F">
        <w:trPr>
          <w:trHeight w:val="74"/>
        </w:trPr>
        <w:tc>
          <w:tcPr>
            <w:tcW w:w="804" w:type="dxa"/>
            <w:vMerge w:val="restart"/>
            <w:tcBorders>
              <w:top w:val="single" w:sz="3" w:space="0" w:color="000000"/>
              <w:right w:val="single" w:sz="3" w:space="0" w:color="000000"/>
            </w:tcBorders>
            <w:tcMar>
              <w:top w:w="85" w:type="dxa"/>
              <w:left w:w="157" w:type="dxa"/>
              <w:bottom w:w="85" w:type="dxa"/>
              <w:right w:w="146" w:type="dxa"/>
            </w:tcMar>
            <w:vAlign w:val="center"/>
            <w:hideMark/>
          </w:tcPr>
          <w:p w14:paraId="3D86ADA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21</w:t>
            </w:r>
          </w:p>
        </w:tc>
        <w:tc>
          <w:tcPr>
            <w:tcW w:w="4653" w:type="dxa"/>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72C1D19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Emise znečišťujících látek</w:t>
            </w:r>
            <w:r w:rsidRPr="0030358C">
              <w:rPr>
                <w:rFonts w:ascii="Arial" w:hAnsi="Arial" w:cs="Arial"/>
                <w:strike/>
                <w:sz w:val="22"/>
                <w:szCs w:val="22"/>
              </w:rPr>
              <w:br/>
              <w:t>[t/rok]</w:t>
            </w:r>
          </w:p>
        </w:tc>
        <w:tc>
          <w:tcPr>
            <w:tcW w:w="2377"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0925E7B" w14:textId="77777777" w:rsidR="00A77B3E" w:rsidRPr="0030358C" w:rsidRDefault="00A77B3E">
            <w:pPr>
              <w:pStyle w:val="59"/>
              <w:overflowPunct w:val="0"/>
              <w:ind w:left="0"/>
              <w:jc w:val="left"/>
              <w:rPr>
                <w:rFonts w:ascii="Arial" w:hAnsi="Arial" w:cs="Arial"/>
                <w:strike/>
                <w:sz w:val="22"/>
                <w:szCs w:val="22"/>
              </w:rPr>
            </w:pP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A3F593E" w14:textId="77777777" w:rsidR="00A77B3E" w:rsidRPr="0030358C" w:rsidRDefault="00A77B3E">
            <w:pPr>
              <w:pStyle w:val="59"/>
              <w:overflowPunct w:val="0"/>
              <w:ind w:left="0"/>
              <w:jc w:val="left"/>
              <w:rPr>
                <w:rFonts w:ascii="Arial" w:hAnsi="Arial" w:cs="Arial"/>
                <w:strike/>
                <w:sz w:val="22"/>
                <w:szCs w:val="22"/>
              </w:rPr>
            </w:pPr>
          </w:p>
        </w:tc>
      </w:tr>
      <w:tr w:rsidR="00E40657" w14:paraId="2E6A8778" w14:textId="77777777" w:rsidTr="00390E5F">
        <w:trPr>
          <w:trHeight w:val="143"/>
        </w:trPr>
        <w:tc>
          <w:tcPr>
            <w:tcW w:w="0" w:type="auto"/>
            <w:vMerge/>
            <w:tcBorders>
              <w:right w:val="single" w:sz="3" w:space="0" w:color="000000"/>
            </w:tcBorders>
            <w:vAlign w:val="center"/>
            <w:hideMark/>
          </w:tcPr>
          <w:p w14:paraId="4417C923" w14:textId="77777777" w:rsidR="00A77B3E" w:rsidRPr="0030358C" w:rsidRDefault="00A77B3E">
            <w:pPr>
              <w:overflowPunct w:val="0"/>
              <w:rPr>
                <w:rFonts w:ascii="Arial" w:hAnsi="Arial" w:cs="Arial"/>
                <w:strike/>
                <w:sz w:val="22"/>
                <w:szCs w:val="22"/>
              </w:rPr>
            </w:pPr>
          </w:p>
        </w:tc>
        <w:tc>
          <w:tcPr>
            <w:tcW w:w="0" w:type="auto"/>
            <w:vMerge/>
            <w:tcBorders>
              <w:left w:val="single" w:sz="3" w:space="0" w:color="000000"/>
              <w:right w:val="single" w:sz="3" w:space="0" w:color="000000"/>
            </w:tcBorders>
            <w:vAlign w:val="center"/>
            <w:hideMark/>
          </w:tcPr>
          <w:p w14:paraId="5F8C1AA1" w14:textId="77777777" w:rsidR="00A77B3E" w:rsidRPr="0030358C" w:rsidRDefault="00A77B3E">
            <w:pPr>
              <w:overflowPunct w:val="0"/>
              <w:rPr>
                <w:rFonts w:ascii="Arial" w:hAnsi="Arial" w:cs="Arial"/>
                <w:strike/>
                <w:sz w:val="22"/>
                <w:szCs w:val="22"/>
              </w:rPr>
            </w:pPr>
          </w:p>
        </w:tc>
        <w:tc>
          <w:tcPr>
            <w:tcW w:w="2377"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E6874E" w14:textId="77777777" w:rsidR="00A77B3E" w:rsidRPr="0030358C" w:rsidRDefault="00A77B3E">
            <w:pPr>
              <w:pStyle w:val="59"/>
              <w:overflowPunct w:val="0"/>
              <w:ind w:left="0"/>
              <w:jc w:val="left"/>
              <w:rPr>
                <w:rFonts w:ascii="Arial" w:hAnsi="Arial" w:cs="Arial"/>
                <w:strike/>
                <w:sz w:val="22"/>
                <w:szCs w:val="22"/>
              </w:rPr>
            </w:pPr>
          </w:p>
        </w:tc>
        <w:tc>
          <w:tcPr>
            <w:tcW w:w="1848"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2E175A1" w14:textId="77777777" w:rsidR="00A77B3E" w:rsidRPr="0030358C" w:rsidRDefault="00A77B3E">
            <w:pPr>
              <w:pStyle w:val="59"/>
              <w:overflowPunct w:val="0"/>
              <w:ind w:left="0"/>
              <w:jc w:val="left"/>
              <w:rPr>
                <w:rFonts w:ascii="Arial" w:hAnsi="Arial" w:cs="Arial"/>
                <w:strike/>
                <w:sz w:val="22"/>
                <w:szCs w:val="22"/>
              </w:rPr>
            </w:pPr>
          </w:p>
        </w:tc>
      </w:tr>
      <w:tr w:rsidR="00E40657" w14:paraId="0050289E" w14:textId="77777777" w:rsidTr="00390E5F">
        <w:trPr>
          <w:trHeight w:val="143"/>
        </w:trPr>
        <w:tc>
          <w:tcPr>
            <w:tcW w:w="0" w:type="auto"/>
            <w:vMerge/>
            <w:tcBorders>
              <w:bottom w:val="single" w:sz="12" w:space="0" w:color="000000"/>
              <w:right w:val="single" w:sz="3" w:space="0" w:color="000000"/>
            </w:tcBorders>
            <w:vAlign w:val="center"/>
            <w:hideMark/>
          </w:tcPr>
          <w:p w14:paraId="47DBC23D" w14:textId="77777777" w:rsidR="00A77B3E" w:rsidRPr="0030358C" w:rsidRDefault="00A77B3E">
            <w:pPr>
              <w:overflowPunct w:val="0"/>
              <w:rPr>
                <w:rFonts w:ascii="Arial" w:hAnsi="Arial" w:cs="Arial"/>
                <w:strike/>
                <w:sz w:val="22"/>
                <w:szCs w:val="22"/>
              </w:rPr>
            </w:pPr>
          </w:p>
        </w:tc>
        <w:tc>
          <w:tcPr>
            <w:tcW w:w="0" w:type="auto"/>
            <w:vMerge/>
            <w:tcBorders>
              <w:left w:val="single" w:sz="3" w:space="0" w:color="000000"/>
              <w:bottom w:val="single" w:sz="12" w:space="0" w:color="000000"/>
              <w:right w:val="single" w:sz="3" w:space="0" w:color="000000"/>
            </w:tcBorders>
            <w:vAlign w:val="center"/>
            <w:hideMark/>
          </w:tcPr>
          <w:p w14:paraId="54B7681D" w14:textId="77777777" w:rsidR="00A77B3E" w:rsidRPr="0030358C" w:rsidRDefault="00A77B3E">
            <w:pPr>
              <w:overflowPunct w:val="0"/>
              <w:rPr>
                <w:rFonts w:ascii="Arial" w:hAnsi="Arial" w:cs="Arial"/>
                <w:strike/>
                <w:sz w:val="22"/>
                <w:szCs w:val="22"/>
              </w:rPr>
            </w:pPr>
          </w:p>
        </w:tc>
        <w:tc>
          <w:tcPr>
            <w:tcW w:w="2377"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1B220517" w14:textId="77777777" w:rsidR="00A77B3E" w:rsidRPr="0030358C" w:rsidRDefault="00A77B3E">
            <w:pPr>
              <w:pStyle w:val="59"/>
              <w:overflowPunct w:val="0"/>
              <w:ind w:left="0"/>
              <w:jc w:val="left"/>
              <w:rPr>
                <w:rFonts w:ascii="Arial" w:hAnsi="Arial" w:cs="Arial"/>
                <w:strike/>
                <w:sz w:val="22"/>
                <w:szCs w:val="22"/>
              </w:rPr>
            </w:pPr>
          </w:p>
        </w:tc>
        <w:tc>
          <w:tcPr>
            <w:tcW w:w="1848"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032A140F" w14:textId="77777777" w:rsidR="00A77B3E" w:rsidRPr="0030358C" w:rsidRDefault="00A77B3E">
            <w:pPr>
              <w:pStyle w:val="59"/>
              <w:overflowPunct w:val="0"/>
              <w:ind w:left="0"/>
              <w:jc w:val="left"/>
              <w:rPr>
                <w:rFonts w:ascii="Arial" w:hAnsi="Arial" w:cs="Arial"/>
                <w:strike/>
                <w:sz w:val="22"/>
                <w:szCs w:val="22"/>
              </w:rPr>
            </w:pPr>
          </w:p>
        </w:tc>
      </w:tr>
    </w:tbl>
    <w:p w14:paraId="1E32EC7A" w14:textId="77777777" w:rsidR="00A77B3E" w:rsidRPr="0030358C" w:rsidRDefault="00A77B3E">
      <w:pPr>
        <w:rPr>
          <w:rFonts w:ascii="Arial" w:hAnsi="Arial" w:cs="Arial"/>
          <w:strike/>
          <w:sz w:val="22"/>
          <w:szCs w:val="22"/>
        </w:rPr>
      </w:pPr>
    </w:p>
    <w:p w14:paraId="22A6BBD7"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t>Vysvětlivky a návod pro vyplnění údajů podle čísla řádku:</w:t>
      </w:r>
    </w:p>
    <w:p w14:paraId="7180E12C"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t xml:space="preserve">V případě spalovacích stacionárních zdrojů označených stejným kódem podle </w:t>
      </w:r>
      <w:hyperlink w:history="1">
        <w:r w:rsidR="00A77B3E" w:rsidRPr="0030358C">
          <w:rPr>
            <w:rFonts w:ascii="Arial" w:hAnsi="Arial" w:cs="Arial"/>
            <w:strike/>
            <w:sz w:val="22"/>
            <w:szCs w:val="22"/>
          </w:rPr>
          <w:t>přílohy č. 2</w:t>
        </w:r>
      </w:hyperlink>
      <w:r w:rsidRPr="0030358C">
        <w:rPr>
          <w:rFonts w:ascii="Arial" w:hAnsi="Arial" w:cs="Arial"/>
          <w:strike/>
          <w:sz w:val="22"/>
          <w:szCs w:val="22"/>
        </w:rPr>
        <w:t xml:space="preserve"> k </w:t>
      </w:r>
      <w:hyperlink w:history="1">
        <w:r w:rsidR="00A77B3E" w:rsidRPr="0030358C">
          <w:rPr>
            <w:rFonts w:ascii="Arial" w:hAnsi="Arial" w:cs="Arial"/>
            <w:strike/>
            <w:sz w:val="22"/>
            <w:szCs w:val="22"/>
          </w:rPr>
          <w:t>zákonu</w:t>
        </w:r>
      </w:hyperlink>
      <w:r w:rsidRPr="0030358C">
        <w:rPr>
          <w:rFonts w:ascii="Arial" w:hAnsi="Arial" w:cs="Arial"/>
          <w:strike/>
          <w:sz w:val="22"/>
          <w:szCs w:val="22"/>
        </w:rPr>
        <w:t xml:space="preserve"> o jmenovitém tepelném příkonu do 1 MW včetně, spalujících plynná paliva, se níže uvedené údaje vyplňují souhrnně.</w:t>
      </w:r>
    </w:p>
    <w:p w14:paraId="784B4C6B" w14:textId="77777777" w:rsidR="00A77B3E" w:rsidRPr="0030358C" w:rsidRDefault="00000000">
      <w:pPr>
        <w:pStyle w:val="71"/>
        <w:rPr>
          <w:rFonts w:ascii="Arial" w:hAnsi="Arial" w:cs="Arial"/>
          <w:strike/>
          <w:sz w:val="22"/>
          <w:szCs w:val="22"/>
        </w:rPr>
      </w:pPr>
      <w:r w:rsidRPr="0030358C">
        <w:rPr>
          <w:rFonts w:ascii="Arial" w:hAnsi="Arial" w:cs="Arial"/>
          <w:strike/>
          <w:sz w:val="22"/>
          <w:szCs w:val="22"/>
        </w:rPr>
        <w:t>1    Pořadové číslo stacionárního zdroje v rámci provozovny, přidělené ISPOP.</w:t>
      </w:r>
    </w:p>
    <w:p w14:paraId="7BBF9363"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2    Zařazení stacionárního zdroje do kategorie podle </w:t>
      </w:r>
      <w:hyperlink w:history="1">
        <w:r w:rsidR="00A77B3E" w:rsidRPr="0030358C">
          <w:rPr>
            <w:rFonts w:ascii="Arial" w:hAnsi="Arial" w:cs="Arial"/>
            <w:strike/>
            <w:sz w:val="22"/>
            <w:szCs w:val="22"/>
          </w:rPr>
          <w:t>přílohy č. 2</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(dle číselníku uveřejněného ve Věstníku MŽP) s uvedením doplňující informace, pokud by se jednalo o zdroj, u nějž byla ve vykazovaném kalendářním roce provozována činnost na několika místech.</w:t>
      </w:r>
    </w:p>
    <w:p w14:paraId="7F863A2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Uvede se datum vydání povolení provozu nebo jiného obdobného povolení vydaného podle dřívějších právních předpisů pro daný stacionární zdroj.</w:t>
      </w:r>
    </w:p>
    <w:p w14:paraId="5B72718A"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4    Uvede se datum prvního uvedení spalovacího stacionárního zdroje o jmenovitém tepelném příkonu nižším než 50 MW do provozu. Pokud není </w:t>
      </w:r>
      <w:r w:rsidRPr="0030358C">
        <w:rPr>
          <w:rFonts w:ascii="Arial" w:hAnsi="Arial" w:cs="Arial"/>
          <w:strike/>
          <w:sz w:val="22"/>
          <w:szCs w:val="22"/>
        </w:rPr>
        <w:lastRenderedPageBreak/>
        <w:t>skutečné datum uvedení do provozu známo a zdroj byl uveden do provozu před 20. 12. 2018, uvede se datum 1. 1. 1900.</w:t>
      </w:r>
    </w:p>
    <w:p w14:paraId="507AA6F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5    Uvede se název stacionárního zdroje dle provozního řádu nebo povolení provozu nebo technické dokumentace.</w:t>
      </w:r>
    </w:p>
    <w:p w14:paraId="0C63C718"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6    Vyplní se tepelná účinnost stacionárního zdroje.</w:t>
      </w:r>
    </w:p>
    <w:p w14:paraId="6AD99F2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7    Vyplní se jmenovitý tepelný výkon spalovacího stacionárního zdroje dle technické dokumentace spalovacího stacionárního zdroje.</w:t>
      </w:r>
    </w:p>
    <w:p w14:paraId="39BADD2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8    Vyplní se údaj o instalovaném elektrickém výkonu dle technické dokumentace stacionárního zdroje znečišťování.</w:t>
      </w:r>
    </w:p>
    <w:p w14:paraId="50C2058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9    Vyplní se jmenovitý tepelný příkon spalovacího stacionárního zdroje dle technické dokumentace spalovacího stacionárního zdroje.</w:t>
      </w:r>
    </w:p>
    <w:p w14:paraId="3E5B751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10    Vyplní se celkový jmenovitý tepelný příkon podle </w:t>
      </w:r>
      <w:hyperlink w:history="1">
        <w:r w:rsidR="00A77B3E" w:rsidRPr="0030358C">
          <w:rPr>
            <w:rFonts w:ascii="Arial" w:hAnsi="Arial" w:cs="Arial"/>
            <w:strike/>
            <w:sz w:val="22"/>
            <w:szCs w:val="22"/>
          </w:rPr>
          <w:t>§ 4 odst. 7</w:t>
        </w:r>
      </w:hyperlink>
      <w:r w:rsidRPr="0030358C">
        <w:rPr>
          <w:rFonts w:ascii="Arial" w:hAnsi="Arial" w:cs="Arial"/>
          <w:strike/>
          <w:sz w:val="22"/>
          <w:szCs w:val="22"/>
        </w:rPr>
        <w:t xml:space="preserve"> a </w:t>
      </w:r>
      <w:hyperlink w:history="1">
        <w:r w:rsidR="00A77B3E" w:rsidRPr="0030358C">
          <w:rPr>
            <w:rFonts w:ascii="Arial" w:hAnsi="Arial" w:cs="Arial"/>
            <w:strike/>
            <w:sz w:val="22"/>
            <w:szCs w:val="22"/>
          </w:rPr>
          <w:t>8</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w:t>
      </w:r>
    </w:p>
    <w:p w14:paraId="55A709A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11    Vyplní se údaj o projektované kapacitě spalovny odpadů dle technické dokumentace.</w:t>
      </w:r>
    </w:p>
    <w:p w14:paraId="04295A6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12    Vyplní se druh topeniště (např. roštové, fluidní, plynový hořák, atd.) dle číselníku uveřejněného ve Věstníku Ministerstva životního prostředí.</w:t>
      </w:r>
    </w:p>
    <w:p w14:paraId="417CFC80"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13    Počet provozních hodin, po které byl spalovací stacionární zdroj ve vykazovaném kalendářním roce v provozu.</w:t>
      </w:r>
    </w:p>
    <w:p w14:paraId="72EF9C5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14    Celkový počet provozních hodin, po které byly spalovací stacionární zdroje, u nichž se jmenovité tepelné příkony podle </w:t>
      </w:r>
      <w:hyperlink w:history="1">
        <w:r w:rsidR="00A77B3E" w:rsidRPr="0030358C">
          <w:rPr>
            <w:rFonts w:ascii="Arial" w:hAnsi="Arial" w:cs="Arial"/>
            <w:strike/>
            <w:sz w:val="22"/>
            <w:szCs w:val="22"/>
          </w:rPr>
          <w:t>§ 4 odst. 7</w:t>
        </w:r>
      </w:hyperlink>
      <w:r w:rsidRPr="0030358C">
        <w:rPr>
          <w:rFonts w:ascii="Arial" w:hAnsi="Arial" w:cs="Arial"/>
          <w:strike/>
          <w:sz w:val="22"/>
          <w:szCs w:val="22"/>
        </w:rPr>
        <w:t xml:space="preserve"> a </w:t>
      </w:r>
      <w:hyperlink w:history="1">
        <w:r w:rsidR="00A77B3E" w:rsidRPr="0030358C">
          <w:rPr>
            <w:rFonts w:ascii="Arial" w:hAnsi="Arial" w:cs="Arial"/>
            <w:strike/>
            <w:sz w:val="22"/>
            <w:szCs w:val="22"/>
          </w:rPr>
          <w:t>8</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sčítají, ve vykazovaném roce provozovány. Je-li současně v provozu více spalovacích stacionárních zdrojů, u nichž se jmenovité tepelné příkony podle </w:t>
      </w:r>
      <w:hyperlink w:history="1">
        <w:r w:rsidR="00A77B3E" w:rsidRPr="0030358C">
          <w:rPr>
            <w:rFonts w:ascii="Arial" w:hAnsi="Arial" w:cs="Arial"/>
            <w:strike/>
            <w:sz w:val="22"/>
            <w:szCs w:val="22"/>
          </w:rPr>
          <w:t>§ 4 odst. 7</w:t>
        </w:r>
      </w:hyperlink>
      <w:r w:rsidRPr="0030358C">
        <w:rPr>
          <w:rFonts w:ascii="Arial" w:hAnsi="Arial" w:cs="Arial"/>
          <w:strike/>
          <w:sz w:val="22"/>
          <w:szCs w:val="22"/>
        </w:rPr>
        <w:t xml:space="preserve"> a </w:t>
      </w:r>
      <w:hyperlink w:history="1">
        <w:r w:rsidR="00A77B3E" w:rsidRPr="0030358C">
          <w:rPr>
            <w:rFonts w:ascii="Arial" w:hAnsi="Arial" w:cs="Arial"/>
            <w:strike/>
            <w:sz w:val="22"/>
            <w:szCs w:val="22"/>
          </w:rPr>
          <w:t>8</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sčítají, každá hodina jejich společného provozu se započítává pouze jednou. Tento údaj se vyplňuje pouze u spalovacích stacionárních zdrojů s celkovým jmenovitým tepelným příkonem 50 MW a vyšším a u záložních zdrojů energie.</w:t>
      </w:r>
    </w:p>
    <w:p w14:paraId="6D4E3170"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15    Počet provozních hodin stacionárního zdroje za rok po přepočtu na stupeň využití instalované kapacity.</w:t>
      </w:r>
    </w:p>
    <w:p w14:paraId="6BCB828E"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16    Celkové množství tepla dodaného k využití ze spalovacího stacionárního zdroje ve vykazovaném kalendářním roce.</w:t>
      </w:r>
    </w:p>
    <w:p w14:paraId="795C7EF0"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17    Celkové množství tepla dodaného do soustavy zásobování tepelnou energií podle </w:t>
      </w:r>
      <w:hyperlink w:history="1">
        <w:r w:rsidR="00A77B3E" w:rsidRPr="0030358C">
          <w:rPr>
            <w:rFonts w:ascii="Arial" w:hAnsi="Arial" w:cs="Arial"/>
            <w:strike/>
            <w:sz w:val="22"/>
            <w:szCs w:val="22"/>
          </w:rPr>
          <w:t>energetického zákona</w:t>
        </w:r>
      </w:hyperlink>
      <w:hyperlink w:history="1">
        <w:r w:rsidR="00A77B3E" w:rsidRPr="0030358C">
          <w:rPr>
            <w:rFonts w:ascii="Arial" w:hAnsi="Arial" w:cs="Arial"/>
            <w:strike/>
            <w:sz w:val="22"/>
            <w:szCs w:val="22"/>
            <w:vertAlign w:val="superscript"/>
          </w:rPr>
          <w:t>9</w:t>
        </w:r>
        <w:r w:rsidR="00A77B3E" w:rsidRPr="0030358C">
          <w:rPr>
            <w:rFonts w:ascii="Arial" w:hAnsi="Arial" w:cs="Arial"/>
            <w:strike/>
            <w:sz w:val="22"/>
            <w:szCs w:val="22"/>
          </w:rPr>
          <w:t>)</w:t>
        </w:r>
      </w:hyperlink>
      <w:r w:rsidRPr="0030358C">
        <w:rPr>
          <w:rFonts w:ascii="Arial" w:hAnsi="Arial" w:cs="Arial"/>
          <w:strike/>
          <w:sz w:val="22"/>
          <w:szCs w:val="22"/>
        </w:rPr>
        <w:t xml:space="preserve"> ve formě páry, horké či teplé vody, vyjádřeno jako klouzavý průměr za období pěti let a jako procenta (%) z celkového množství vyrobeného užitného tepla dodaného k využití ze spalovacího stacionárního zdroje, vyjádřeno jako klouzavý průměr za období pěti let. Tento údaj se vyplňuje se pouze u spalovacích stacionárních zdrojů s celkovým jmenovitým tepelným příkonem 20 MW a vyšším a u zdrojů využívajících výjimku z plnění emisních limitů na základě stanoveného minimálního podílu dodaného tepla.</w:t>
      </w:r>
    </w:p>
    <w:p w14:paraId="6C7EB90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18    Uvede se druh (druhy) spalovaného paliva (dle číselníku uveřejněného ve Věstníku MŽP), u spaloven odpadů nebo u spalovacích stacionárních zdrojů tepelně zpracovávajících odpad společně s palivem se uvede rovněž jako samostatná položka odpad (bez bližšího určení).</w:t>
      </w:r>
    </w:p>
    <w:p w14:paraId="548DBE93"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19    Uvede se hodnota roční průměrné výhřevnosti paliva podle údajů dodavatele paliva.</w:t>
      </w:r>
    </w:p>
    <w:p w14:paraId="5CD4F6AD"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20    Uvede se celková spotřeba paliva využívaného spalovacím stacionárním zdrojem ve vykazovaném roce; v případě, že je tepelně zpracováván odpad, uvede se k údaji odpovídajícímu položce odpadu celkové množství tepelně zpracovaných odpadů.</w:t>
      </w:r>
    </w:p>
    <w:p w14:paraId="71082C8D"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lastRenderedPageBreak/>
        <w:t xml:space="preserve">21    Celkové množství emisí znečišťujících látek (dle číselníku uveřejněného ve Věstníku MŽP), vypuštěných do ovzduší ze stacionárního zdroje za vykazovaný kalendářní rok, pro které má provozovatel stacionárního zdroje podle </w:t>
      </w:r>
      <w:hyperlink w:history="1">
        <w:r w:rsidR="00A77B3E" w:rsidRPr="0030358C">
          <w:rPr>
            <w:rFonts w:ascii="Arial" w:hAnsi="Arial" w:cs="Arial"/>
            <w:strike/>
            <w:sz w:val="22"/>
            <w:szCs w:val="22"/>
          </w:rPr>
          <w:t>§ 6 odst. 1</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stanovenu povinnost zjišťovat úroveň znečišťování.</w:t>
      </w:r>
    </w:p>
    <w:p w14:paraId="61A21807" w14:textId="77777777" w:rsidR="00A77B3E" w:rsidRPr="0030358C" w:rsidRDefault="00000000">
      <w:pPr>
        <w:pStyle w:val="57"/>
        <w:rPr>
          <w:rFonts w:ascii="Arial" w:hAnsi="Arial" w:cs="Arial"/>
          <w:strike/>
          <w:szCs w:val="22"/>
        </w:rPr>
      </w:pPr>
      <w:r w:rsidRPr="0030358C">
        <w:rPr>
          <w:rFonts w:ascii="Arial" w:hAnsi="Arial" w:cs="Arial"/>
          <w:strike/>
          <w:szCs w:val="22"/>
        </w:rPr>
        <w:t>1.3.    Souhrnná provozní evidence jiných stacionárních zdrojů</w:t>
      </w:r>
    </w:p>
    <w:tbl>
      <w:tblPr>
        <w:tblStyle w:val="data-tisk-na-sirku"/>
        <w:tblW w:w="9274" w:type="dxa"/>
        <w:tblInd w:w="172"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5E0" w:firstRow="1" w:lastRow="1" w:firstColumn="1" w:lastColumn="1" w:noHBand="0" w:noVBand="1"/>
      </w:tblPr>
      <w:tblGrid>
        <w:gridCol w:w="978"/>
        <w:gridCol w:w="3577"/>
        <w:gridCol w:w="2668"/>
        <w:gridCol w:w="2051"/>
      </w:tblGrid>
      <w:tr w:rsidR="00E40657" w14:paraId="51B4ED52" w14:textId="77777777" w:rsidTr="00390E5F">
        <w:trPr>
          <w:trHeight w:val="324"/>
        </w:trPr>
        <w:tc>
          <w:tcPr>
            <w:tcW w:w="978" w:type="dxa"/>
            <w:tcBorders>
              <w:top w:val="single" w:sz="12" w:space="0" w:color="000000"/>
              <w:bottom w:val="single" w:sz="3" w:space="0" w:color="000000"/>
              <w:right w:val="single" w:sz="3" w:space="0" w:color="000000"/>
            </w:tcBorders>
            <w:tcMar>
              <w:top w:w="85" w:type="dxa"/>
              <w:left w:w="157" w:type="dxa"/>
              <w:bottom w:w="85" w:type="dxa"/>
              <w:right w:w="146" w:type="dxa"/>
            </w:tcMar>
            <w:vAlign w:val="center"/>
            <w:hideMark/>
          </w:tcPr>
          <w:p w14:paraId="2280B9A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w:t>
            </w:r>
          </w:p>
        </w:tc>
        <w:tc>
          <w:tcPr>
            <w:tcW w:w="6245" w:type="dxa"/>
            <w:gridSpan w:val="2"/>
            <w:tcBorders>
              <w:top w:val="single" w:sz="12"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F5F383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Pořadové číslo stacionárního zdroje</w:t>
            </w:r>
          </w:p>
        </w:tc>
        <w:tc>
          <w:tcPr>
            <w:tcW w:w="2051" w:type="dxa"/>
            <w:tcBorders>
              <w:top w:val="single" w:sz="12" w:space="0" w:color="000000"/>
              <w:left w:val="single" w:sz="3" w:space="0" w:color="000000"/>
              <w:bottom w:val="single" w:sz="3" w:space="0" w:color="000000"/>
            </w:tcBorders>
            <w:tcMar>
              <w:top w:w="85" w:type="dxa"/>
              <w:left w:w="146" w:type="dxa"/>
              <w:bottom w:w="85" w:type="dxa"/>
              <w:right w:w="157" w:type="dxa"/>
            </w:tcMar>
            <w:vAlign w:val="center"/>
            <w:hideMark/>
          </w:tcPr>
          <w:p w14:paraId="42FBD205" w14:textId="77777777" w:rsidR="00A77B3E" w:rsidRPr="0030358C" w:rsidRDefault="00A77B3E">
            <w:pPr>
              <w:pStyle w:val="59"/>
              <w:overflowPunct w:val="0"/>
              <w:ind w:left="0"/>
              <w:jc w:val="left"/>
              <w:rPr>
                <w:rFonts w:ascii="Arial" w:hAnsi="Arial" w:cs="Arial"/>
                <w:strike/>
                <w:sz w:val="22"/>
                <w:szCs w:val="22"/>
              </w:rPr>
            </w:pPr>
          </w:p>
        </w:tc>
      </w:tr>
      <w:tr w:rsidR="00E40657" w14:paraId="7CA74973" w14:textId="77777777" w:rsidTr="00390E5F">
        <w:trPr>
          <w:trHeight w:val="297"/>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501450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CC1AFA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 xml:space="preserve">Zařazení stacionárního zdroje podle </w:t>
            </w:r>
            <w:hyperlink w:history="1">
              <w:r w:rsidR="00A77B3E" w:rsidRPr="0030358C">
                <w:rPr>
                  <w:rFonts w:ascii="Arial" w:hAnsi="Arial" w:cs="Arial"/>
                  <w:strike/>
                  <w:sz w:val="22"/>
                  <w:szCs w:val="22"/>
                </w:rPr>
                <w:t>zákona</w:t>
              </w:r>
            </w:hyperlink>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D7D5809" w14:textId="77777777" w:rsidR="00A77B3E" w:rsidRPr="0030358C" w:rsidRDefault="00A77B3E">
            <w:pPr>
              <w:pStyle w:val="59"/>
              <w:overflowPunct w:val="0"/>
              <w:ind w:left="0"/>
              <w:jc w:val="left"/>
              <w:rPr>
                <w:rFonts w:ascii="Arial" w:hAnsi="Arial" w:cs="Arial"/>
                <w:strike/>
                <w:sz w:val="22"/>
                <w:szCs w:val="22"/>
              </w:rPr>
            </w:pPr>
          </w:p>
        </w:tc>
      </w:tr>
      <w:tr w:rsidR="00E40657" w14:paraId="2361E6E5"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8B9CE7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B3297A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Označení sektoru</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EF0B523" w14:textId="77777777" w:rsidR="00A77B3E" w:rsidRPr="0030358C" w:rsidRDefault="00A77B3E">
            <w:pPr>
              <w:pStyle w:val="59"/>
              <w:overflowPunct w:val="0"/>
              <w:ind w:left="0"/>
              <w:jc w:val="left"/>
              <w:rPr>
                <w:rFonts w:ascii="Arial" w:hAnsi="Arial" w:cs="Arial"/>
                <w:strike/>
                <w:sz w:val="22"/>
                <w:szCs w:val="22"/>
              </w:rPr>
            </w:pPr>
          </w:p>
        </w:tc>
      </w:tr>
      <w:tr w:rsidR="00E40657" w14:paraId="49A11D83"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DE3974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F30B3C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Název stacionárního zdroje</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A6D995C" w14:textId="77777777" w:rsidR="00A77B3E" w:rsidRPr="0030358C" w:rsidRDefault="00A77B3E">
            <w:pPr>
              <w:pStyle w:val="59"/>
              <w:overflowPunct w:val="0"/>
              <w:ind w:left="0"/>
              <w:jc w:val="left"/>
              <w:rPr>
                <w:rFonts w:ascii="Arial" w:hAnsi="Arial" w:cs="Arial"/>
                <w:strike/>
                <w:sz w:val="22"/>
                <w:szCs w:val="22"/>
              </w:rPr>
            </w:pPr>
          </w:p>
        </w:tc>
      </w:tr>
      <w:tr w:rsidR="00E40657" w14:paraId="4E29DBAA"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4F6022E"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CBE858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Provozní hodiny [h/rok]</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414D486" w14:textId="77777777" w:rsidR="00A77B3E" w:rsidRPr="0030358C" w:rsidRDefault="00A77B3E">
            <w:pPr>
              <w:pStyle w:val="59"/>
              <w:overflowPunct w:val="0"/>
              <w:ind w:left="0"/>
              <w:jc w:val="left"/>
              <w:rPr>
                <w:rFonts w:ascii="Arial" w:hAnsi="Arial" w:cs="Arial"/>
                <w:strike/>
                <w:sz w:val="22"/>
                <w:szCs w:val="22"/>
              </w:rPr>
            </w:pPr>
          </w:p>
        </w:tc>
      </w:tr>
      <w:tr w:rsidR="00E40657" w14:paraId="76A638BC"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6DCF16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526FFA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Druh spalovaného paliva nebo odpadu</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42A525A" w14:textId="77777777" w:rsidR="00A77B3E" w:rsidRPr="0030358C" w:rsidRDefault="00A77B3E">
            <w:pPr>
              <w:pStyle w:val="59"/>
              <w:overflowPunct w:val="0"/>
              <w:ind w:left="0"/>
              <w:jc w:val="left"/>
              <w:rPr>
                <w:rFonts w:ascii="Arial" w:hAnsi="Arial" w:cs="Arial"/>
                <w:strike/>
                <w:sz w:val="22"/>
                <w:szCs w:val="22"/>
              </w:rPr>
            </w:pPr>
          </w:p>
        </w:tc>
      </w:tr>
      <w:tr w:rsidR="00E40657" w14:paraId="4DE2239F"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1DB6FA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A57D83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Výhřevnost paliva v [kJ/kg, kJ/m</w:t>
            </w:r>
            <w:r w:rsidRPr="0030358C">
              <w:rPr>
                <w:rFonts w:ascii="Arial" w:hAnsi="Arial" w:cs="Arial"/>
                <w:strike/>
                <w:sz w:val="22"/>
                <w:szCs w:val="22"/>
                <w:vertAlign w:val="superscript"/>
              </w:rPr>
              <w:t>3</w:t>
            </w:r>
            <w:r w:rsidRPr="0030358C">
              <w:rPr>
                <w:rFonts w:ascii="Arial" w:hAnsi="Arial" w:cs="Arial"/>
                <w:strike/>
                <w:sz w:val="22"/>
                <w:szCs w:val="22"/>
              </w:rPr>
              <w:t>]</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70DF7A4" w14:textId="77777777" w:rsidR="00A77B3E" w:rsidRPr="0030358C" w:rsidRDefault="00A77B3E">
            <w:pPr>
              <w:pStyle w:val="59"/>
              <w:overflowPunct w:val="0"/>
              <w:ind w:left="0"/>
              <w:jc w:val="left"/>
              <w:rPr>
                <w:rFonts w:ascii="Arial" w:hAnsi="Arial" w:cs="Arial"/>
                <w:strike/>
                <w:sz w:val="22"/>
                <w:szCs w:val="22"/>
              </w:rPr>
            </w:pPr>
          </w:p>
        </w:tc>
      </w:tr>
      <w:tr w:rsidR="00E40657" w14:paraId="56E7634F" w14:textId="77777777" w:rsidTr="00390E5F">
        <w:trPr>
          <w:trHeight w:val="297"/>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77D6AD1"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177CEE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Spotřeba spáleného paliva a odpadů [t/rok, tis m</w:t>
            </w:r>
            <w:r w:rsidRPr="0030358C">
              <w:rPr>
                <w:rFonts w:ascii="Arial" w:hAnsi="Arial" w:cs="Arial"/>
                <w:strike/>
                <w:sz w:val="22"/>
                <w:szCs w:val="22"/>
                <w:vertAlign w:val="superscript"/>
              </w:rPr>
              <w:t>3</w:t>
            </w:r>
            <w:r w:rsidRPr="0030358C">
              <w:rPr>
                <w:rFonts w:ascii="Arial" w:hAnsi="Arial" w:cs="Arial"/>
                <w:strike/>
                <w:sz w:val="22"/>
                <w:szCs w:val="22"/>
              </w:rPr>
              <w:t>/rok]</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C4890CB" w14:textId="77777777" w:rsidR="00A77B3E" w:rsidRPr="0030358C" w:rsidRDefault="00A77B3E">
            <w:pPr>
              <w:pStyle w:val="59"/>
              <w:overflowPunct w:val="0"/>
              <w:ind w:left="0"/>
              <w:jc w:val="left"/>
              <w:rPr>
                <w:rFonts w:ascii="Arial" w:hAnsi="Arial" w:cs="Arial"/>
                <w:strike/>
                <w:sz w:val="22"/>
                <w:szCs w:val="22"/>
              </w:rPr>
            </w:pPr>
          </w:p>
        </w:tc>
      </w:tr>
      <w:tr w:rsidR="00E40657" w14:paraId="61863AA6"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5D9A3F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9</w:t>
            </w:r>
          </w:p>
        </w:tc>
        <w:tc>
          <w:tcPr>
            <w:tcW w:w="3577" w:type="dxa"/>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0973310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Spotřeba VOC (t/rok]</w:t>
            </w:r>
          </w:p>
        </w:tc>
        <w:tc>
          <w:tcPr>
            <w:tcW w:w="2668"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32C1F7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 xml:space="preserve">dle </w:t>
            </w:r>
            <w:hyperlink w:history="1">
              <w:r w:rsidR="00A77B3E" w:rsidRPr="0030358C">
                <w:rPr>
                  <w:rFonts w:ascii="Arial" w:hAnsi="Arial" w:cs="Arial"/>
                  <w:strike/>
                  <w:sz w:val="22"/>
                  <w:szCs w:val="22"/>
                </w:rPr>
                <w:t>§ 21 písm. a)</w:t>
              </w:r>
            </w:hyperlink>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EC0478F" w14:textId="77777777" w:rsidR="00A77B3E" w:rsidRPr="0030358C" w:rsidRDefault="00A77B3E">
            <w:pPr>
              <w:pStyle w:val="59"/>
              <w:overflowPunct w:val="0"/>
              <w:ind w:left="0"/>
              <w:jc w:val="left"/>
              <w:rPr>
                <w:rFonts w:ascii="Arial" w:hAnsi="Arial" w:cs="Arial"/>
                <w:strike/>
                <w:sz w:val="22"/>
                <w:szCs w:val="22"/>
              </w:rPr>
            </w:pPr>
          </w:p>
        </w:tc>
      </w:tr>
      <w:tr w:rsidR="00E40657" w14:paraId="03446765" w14:textId="77777777" w:rsidTr="00390E5F">
        <w:trPr>
          <w:trHeight w:val="297"/>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584DC53"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w:t>
            </w:r>
          </w:p>
        </w:tc>
        <w:tc>
          <w:tcPr>
            <w:tcW w:w="0" w:type="auto"/>
            <w:vMerge/>
            <w:tcBorders>
              <w:left w:val="single" w:sz="3" w:space="0" w:color="000000"/>
              <w:right w:val="single" w:sz="3" w:space="0" w:color="000000"/>
            </w:tcBorders>
            <w:vAlign w:val="center"/>
            <w:hideMark/>
          </w:tcPr>
          <w:p w14:paraId="05055D2F" w14:textId="77777777" w:rsidR="00A77B3E" w:rsidRPr="0030358C" w:rsidRDefault="00A77B3E">
            <w:pPr>
              <w:overflowPunct w:val="0"/>
              <w:rPr>
                <w:rFonts w:ascii="Arial" w:hAnsi="Arial" w:cs="Arial"/>
                <w:strike/>
                <w:sz w:val="22"/>
                <w:szCs w:val="22"/>
              </w:rPr>
            </w:pPr>
          </w:p>
        </w:tc>
        <w:tc>
          <w:tcPr>
            <w:tcW w:w="2668"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9D47F7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 xml:space="preserve">dle </w:t>
            </w:r>
            <w:hyperlink w:history="1">
              <w:r w:rsidR="00A77B3E" w:rsidRPr="0030358C">
                <w:rPr>
                  <w:rFonts w:ascii="Arial" w:hAnsi="Arial" w:cs="Arial"/>
                  <w:strike/>
                  <w:sz w:val="22"/>
                  <w:szCs w:val="22"/>
                </w:rPr>
                <w:t>§ 21 písm. b)</w:t>
              </w:r>
            </w:hyperlink>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82A8BDD" w14:textId="77777777" w:rsidR="00A77B3E" w:rsidRPr="0030358C" w:rsidRDefault="00A77B3E">
            <w:pPr>
              <w:pStyle w:val="59"/>
              <w:overflowPunct w:val="0"/>
              <w:ind w:left="0"/>
              <w:jc w:val="left"/>
              <w:rPr>
                <w:rFonts w:ascii="Arial" w:hAnsi="Arial" w:cs="Arial"/>
                <w:strike/>
                <w:sz w:val="22"/>
                <w:szCs w:val="22"/>
              </w:rPr>
            </w:pPr>
          </w:p>
        </w:tc>
      </w:tr>
      <w:tr w:rsidR="00E40657" w14:paraId="1D8AB795"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23F337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11</w:t>
            </w:r>
          </w:p>
        </w:tc>
        <w:tc>
          <w:tcPr>
            <w:tcW w:w="0" w:type="auto"/>
            <w:vMerge/>
            <w:tcBorders>
              <w:left w:val="single" w:sz="3" w:space="0" w:color="000000"/>
              <w:bottom w:val="single" w:sz="3" w:space="0" w:color="000000"/>
              <w:right w:val="single" w:sz="3" w:space="0" w:color="000000"/>
            </w:tcBorders>
            <w:vAlign w:val="center"/>
            <w:hideMark/>
          </w:tcPr>
          <w:p w14:paraId="7DA5D7F5" w14:textId="77777777" w:rsidR="00A77B3E" w:rsidRPr="0030358C" w:rsidRDefault="00A77B3E">
            <w:pPr>
              <w:overflowPunct w:val="0"/>
              <w:rPr>
                <w:rFonts w:ascii="Arial" w:hAnsi="Arial" w:cs="Arial"/>
                <w:strike/>
                <w:sz w:val="22"/>
                <w:szCs w:val="22"/>
              </w:rPr>
            </w:pPr>
          </w:p>
        </w:tc>
        <w:tc>
          <w:tcPr>
            <w:tcW w:w="2668"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5ADBA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 xml:space="preserve">dle </w:t>
            </w:r>
            <w:hyperlink w:history="1">
              <w:r w:rsidR="00A77B3E" w:rsidRPr="0030358C">
                <w:rPr>
                  <w:rFonts w:ascii="Arial" w:hAnsi="Arial" w:cs="Arial"/>
                  <w:strike/>
                  <w:sz w:val="22"/>
                  <w:szCs w:val="22"/>
                </w:rPr>
                <w:t>§ 21 písm. c)</w:t>
              </w:r>
            </w:hyperlink>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EA93CB4" w14:textId="77777777" w:rsidR="00A77B3E" w:rsidRPr="0030358C" w:rsidRDefault="00A77B3E">
            <w:pPr>
              <w:pStyle w:val="59"/>
              <w:overflowPunct w:val="0"/>
              <w:ind w:left="0"/>
              <w:jc w:val="left"/>
              <w:rPr>
                <w:rFonts w:ascii="Arial" w:hAnsi="Arial" w:cs="Arial"/>
                <w:strike/>
                <w:sz w:val="22"/>
                <w:szCs w:val="22"/>
              </w:rPr>
            </w:pPr>
          </w:p>
        </w:tc>
      </w:tr>
      <w:tr w:rsidR="00E40657" w14:paraId="7BA83587"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DB1A21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12</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2A38FA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Druh výrobku</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7CB41CD" w14:textId="77777777" w:rsidR="00A77B3E" w:rsidRPr="0030358C" w:rsidRDefault="00A77B3E">
            <w:pPr>
              <w:pStyle w:val="59"/>
              <w:overflowPunct w:val="0"/>
              <w:ind w:left="0"/>
              <w:jc w:val="left"/>
              <w:rPr>
                <w:rFonts w:ascii="Arial" w:hAnsi="Arial" w:cs="Arial"/>
                <w:strike/>
                <w:sz w:val="22"/>
                <w:szCs w:val="22"/>
              </w:rPr>
            </w:pPr>
          </w:p>
        </w:tc>
      </w:tr>
      <w:tr w:rsidR="00E40657" w14:paraId="661B3C65" w14:textId="77777777" w:rsidTr="00390E5F">
        <w:trPr>
          <w:trHeight w:val="310"/>
        </w:trPr>
        <w:tc>
          <w:tcPr>
            <w:tcW w:w="978"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F1A76FF"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13</w:t>
            </w:r>
          </w:p>
        </w:tc>
        <w:tc>
          <w:tcPr>
            <w:tcW w:w="6245"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55417B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Množství výrobku [t/rok]</w:t>
            </w: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61D88EF" w14:textId="77777777" w:rsidR="00A77B3E" w:rsidRPr="0030358C" w:rsidRDefault="00A77B3E">
            <w:pPr>
              <w:pStyle w:val="59"/>
              <w:overflowPunct w:val="0"/>
              <w:ind w:left="0"/>
              <w:jc w:val="left"/>
              <w:rPr>
                <w:rFonts w:ascii="Arial" w:hAnsi="Arial" w:cs="Arial"/>
                <w:strike/>
                <w:sz w:val="22"/>
                <w:szCs w:val="22"/>
              </w:rPr>
            </w:pPr>
          </w:p>
        </w:tc>
      </w:tr>
      <w:tr w:rsidR="00E40657" w14:paraId="262CA747" w14:textId="77777777" w:rsidTr="00390E5F">
        <w:trPr>
          <w:trHeight w:val="81"/>
        </w:trPr>
        <w:tc>
          <w:tcPr>
            <w:tcW w:w="978" w:type="dxa"/>
            <w:vMerge w:val="restart"/>
            <w:tcBorders>
              <w:top w:val="single" w:sz="3" w:space="0" w:color="000000"/>
              <w:right w:val="single" w:sz="3" w:space="0" w:color="000000"/>
            </w:tcBorders>
            <w:tcMar>
              <w:top w:w="85" w:type="dxa"/>
              <w:left w:w="157" w:type="dxa"/>
              <w:bottom w:w="85" w:type="dxa"/>
              <w:right w:w="146" w:type="dxa"/>
            </w:tcMar>
            <w:vAlign w:val="center"/>
            <w:hideMark/>
          </w:tcPr>
          <w:p w14:paraId="3DE8ED6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14</w:t>
            </w:r>
          </w:p>
        </w:tc>
        <w:tc>
          <w:tcPr>
            <w:tcW w:w="3577" w:type="dxa"/>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2BE81B7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Emise znečišťujících látek [t/rok]</w:t>
            </w:r>
          </w:p>
        </w:tc>
        <w:tc>
          <w:tcPr>
            <w:tcW w:w="2668"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271E9DE" w14:textId="77777777" w:rsidR="00A77B3E" w:rsidRPr="0030358C" w:rsidRDefault="00A77B3E">
            <w:pPr>
              <w:pStyle w:val="59"/>
              <w:overflowPunct w:val="0"/>
              <w:ind w:left="0"/>
              <w:jc w:val="left"/>
              <w:rPr>
                <w:rFonts w:ascii="Arial" w:hAnsi="Arial" w:cs="Arial"/>
                <w:strike/>
                <w:sz w:val="22"/>
                <w:szCs w:val="22"/>
              </w:rPr>
            </w:pP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7258A04" w14:textId="77777777" w:rsidR="00A77B3E" w:rsidRPr="0030358C" w:rsidRDefault="00A77B3E">
            <w:pPr>
              <w:pStyle w:val="59"/>
              <w:overflowPunct w:val="0"/>
              <w:ind w:left="0"/>
              <w:jc w:val="left"/>
              <w:rPr>
                <w:rFonts w:ascii="Arial" w:hAnsi="Arial" w:cs="Arial"/>
                <w:strike/>
                <w:sz w:val="22"/>
                <w:szCs w:val="22"/>
              </w:rPr>
            </w:pPr>
          </w:p>
        </w:tc>
      </w:tr>
      <w:tr w:rsidR="00E40657" w14:paraId="49031F23" w14:textId="77777777" w:rsidTr="00390E5F">
        <w:trPr>
          <w:trHeight w:val="143"/>
        </w:trPr>
        <w:tc>
          <w:tcPr>
            <w:tcW w:w="0" w:type="auto"/>
            <w:vMerge/>
            <w:tcBorders>
              <w:right w:val="single" w:sz="3" w:space="0" w:color="000000"/>
            </w:tcBorders>
            <w:vAlign w:val="center"/>
            <w:hideMark/>
          </w:tcPr>
          <w:p w14:paraId="1A1A27E3" w14:textId="77777777" w:rsidR="00A77B3E" w:rsidRPr="0030358C" w:rsidRDefault="00A77B3E">
            <w:pPr>
              <w:overflowPunct w:val="0"/>
              <w:rPr>
                <w:rFonts w:ascii="Arial" w:hAnsi="Arial" w:cs="Arial"/>
                <w:strike/>
                <w:sz w:val="22"/>
                <w:szCs w:val="22"/>
              </w:rPr>
            </w:pPr>
          </w:p>
        </w:tc>
        <w:tc>
          <w:tcPr>
            <w:tcW w:w="0" w:type="auto"/>
            <w:vMerge/>
            <w:tcBorders>
              <w:left w:val="single" w:sz="3" w:space="0" w:color="000000"/>
              <w:right w:val="single" w:sz="3" w:space="0" w:color="000000"/>
            </w:tcBorders>
            <w:vAlign w:val="center"/>
            <w:hideMark/>
          </w:tcPr>
          <w:p w14:paraId="7878E1D0" w14:textId="77777777" w:rsidR="00A77B3E" w:rsidRPr="0030358C" w:rsidRDefault="00A77B3E">
            <w:pPr>
              <w:overflowPunct w:val="0"/>
              <w:rPr>
                <w:rFonts w:ascii="Arial" w:hAnsi="Arial" w:cs="Arial"/>
                <w:strike/>
                <w:sz w:val="22"/>
                <w:szCs w:val="22"/>
              </w:rPr>
            </w:pPr>
          </w:p>
        </w:tc>
        <w:tc>
          <w:tcPr>
            <w:tcW w:w="2668"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07BEB29" w14:textId="77777777" w:rsidR="00A77B3E" w:rsidRPr="0030358C" w:rsidRDefault="00A77B3E">
            <w:pPr>
              <w:pStyle w:val="59"/>
              <w:overflowPunct w:val="0"/>
              <w:ind w:left="0"/>
              <w:jc w:val="left"/>
              <w:rPr>
                <w:rFonts w:ascii="Arial" w:hAnsi="Arial" w:cs="Arial"/>
                <w:strike/>
                <w:sz w:val="22"/>
                <w:szCs w:val="22"/>
              </w:rPr>
            </w:pPr>
          </w:p>
        </w:tc>
        <w:tc>
          <w:tcPr>
            <w:tcW w:w="20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CF974D0" w14:textId="77777777" w:rsidR="00A77B3E" w:rsidRPr="0030358C" w:rsidRDefault="00A77B3E">
            <w:pPr>
              <w:pStyle w:val="59"/>
              <w:overflowPunct w:val="0"/>
              <w:ind w:left="0"/>
              <w:jc w:val="left"/>
              <w:rPr>
                <w:rFonts w:ascii="Arial" w:hAnsi="Arial" w:cs="Arial"/>
                <w:strike/>
                <w:sz w:val="22"/>
                <w:szCs w:val="22"/>
              </w:rPr>
            </w:pPr>
          </w:p>
        </w:tc>
      </w:tr>
      <w:tr w:rsidR="00E40657" w14:paraId="53F91F54" w14:textId="77777777" w:rsidTr="00390E5F">
        <w:trPr>
          <w:trHeight w:val="143"/>
        </w:trPr>
        <w:tc>
          <w:tcPr>
            <w:tcW w:w="0" w:type="auto"/>
            <w:vMerge/>
            <w:tcBorders>
              <w:bottom w:val="single" w:sz="12" w:space="0" w:color="000000"/>
              <w:right w:val="single" w:sz="3" w:space="0" w:color="000000"/>
            </w:tcBorders>
            <w:vAlign w:val="center"/>
            <w:hideMark/>
          </w:tcPr>
          <w:p w14:paraId="17CE57CF" w14:textId="77777777" w:rsidR="00A77B3E" w:rsidRPr="0030358C" w:rsidRDefault="00A77B3E">
            <w:pPr>
              <w:overflowPunct w:val="0"/>
              <w:rPr>
                <w:rFonts w:ascii="Arial" w:hAnsi="Arial" w:cs="Arial"/>
                <w:strike/>
                <w:sz w:val="22"/>
                <w:szCs w:val="22"/>
              </w:rPr>
            </w:pPr>
          </w:p>
        </w:tc>
        <w:tc>
          <w:tcPr>
            <w:tcW w:w="0" w:type="auto"/>
            <w:vMerge/>
            <w:tcBorders>
              <w:left w:val="single" w:sz="3" w:space="0" w:color="000000"/>
              <w:bottom w:val="single" w:sz="12" w:space="0" w:color="000000"/>
              <w:right w:val="single" w:sz="3" w:space="0" w:color="000000"/>
            </w:tcBorders>
            <w:vAlign w:val="center"/>
            <w:hideMark/>
          </w:tcPr>
          <w:p w14:paraId="620B6EB9" w14:textId="77777777" w:rsidR="00A77B3E" w:rsidRPr="0030358C" w:rsidRDefault="00A77B3E">
            <w:pPr>
              <w:overflowPunct w:val="0"/>
              <w:rPr>
                <w:rFonts w:ascii="Arial" w:hAnsi="Arial" w:cs="Arial"/>
                <w:strike/>
                <w:sz w:val="22"/>
                <w:szCs w:val="22"/>
              </w:rPr>
            </w:pPr>
          </w:p>
        </w:tc>
        <w:tc>
          <w:tcPr>
            <w:tcW w:w="2668" w:type="dxa"/>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6BA396D5" w14:textId="77777777" w:rsidR="00A77B3E" w:rsidRPr="0030358C" w:rsidRDefault="00A77B3E">
            <w:pPr>
              <w:pStyle w:val="59"/>
              <w:overflowPunct w:val="0"/>
              <w:ind w:left="0"/>
              <w:jc w:val="left"/>
              <w:rPr>
                <w:rFonts w:ascii="Arial" w:hAnsi="Arial" w:cs="Arial"/>
                <w:strike/>
                <w:sz w:val="22"/>
                <w:szCs w:val="22"/>
              </w:rPr>
            </w:pPr>
          </w:p>
        </w:tc>
        <w:tc>
          <w:tcPr>
            <w:tcW w:w="2051"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DDE4B3B" w14:textId="77777777" w:rsidR="00A77B3E" w:rsidRPr="0030358C" w:rsidRDefault="00A77B3E">
            <w:pPr>
              <w:pStyle w:val="59"/>
              <w:overflowPunct w:val="0"/>
              <w:ind w:left="0"/>
              <w:jc w:val="left"/>
              <w:rPr>
                <w:rFonts w:ascii="Arial" w:hAnsi="Arial" w:cs="Arial"/>
                <w:strike/>
                <w:sz w:val="22"/>
                <w:szCs w:val="22"/>
              </w:rPr>
            </w:pPr>
          </w:p>
        </w:tc>
      </w:tr>
    </w:tbl>
    <w:p w14:paraId="1733ADF6" w14:textId="77777777" w:rsidR="00A77B3E" w:rsidRPr="0030358C" w:rsidRDefault="00A77B3E">
      <w:pPr>
        <w:rPr>
          <w:rFonts w:ascii="Arial" w:hAnsi="Arial" w:cs="Arial"/>
          <w:strike/>
          <w:sz w:val="22"/>
          <w:szCs w:val="22"/>
        </w:rPr>
      </w:pPr>
    </w:p>
    <w:p w14:paraId="34A5850B" w14:textId="77777777" w:rsidR="00A77B3E" w:rsidRPr="0030358C" w:rsidRDefault="00A77B3E">
      <w:pPr>
        <w:pStyle w:val="59"/>
        <w:rPr>
          <w:rFonts w:ascii="Arial" w:hAnsi="Arial" w:cs="Arial"/>
          <w:strike/>
          <w:sz w:val="22"/>
          <w:szCs w:val="22"/>
        </w:rPr>
        <w:sectPr w:rsidR="00A77B3E" w:rsidRPr="0030358C" w:rsidSect="00D804A3">
          <w:pgSz w:w="11906" w:h="16838" w:code="9"/>
          <w:pgMar w:top="1418" w:right="1418" w:bottom="1418" w:left="1418" w:header="709" w:footer="709" w:gutter="0"/>
          <w:cols w:space="708"/>
          <w:docGrid w:linePitch="360"/>
        </w:sectPr>
      </w:pPr>
    </w:p>
    <w:p w14:paraId="4CEDC632"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lastRenderedPageBreak/>
        <w:t>Vysvětlivky a návod pro vyplnění údajů podle čísla řádku:</w:t>
      </w:r>
    </w:p>
    <w:p w14:paraId="58D945C7"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t>V případě jiného stacionárního zdroje, pro nějž je tato možnost uvedena v číselníku uveřejněném ve Věstníku MŽP, se níže uvedené údaje vyplňují souhrnně.</w:t>
      </w:r>
    </w:p>
    <w:p w14:paraId="2256C66D" w14:textId="77777777" w:rsidR="00A77B3E" w:rsidRPr="0030358C" w:rsidRDefault="00000000">
      <w:pPr>
        <w:pStyle w:val="71"/>
        <w:rPr>
          <w:rFonts w:ascii="Arial" w:hAnsi="Arial" w:cs="Arial"/>
          <w:strike/>
          <w:sz w:val="22"/>
          <w:szCs w:val="22"/>
        </w:rPr>
      </w:pPr>
      <w:r w:rsidRPr="0030358C">
        <w:rPr>
          <w:rFonts w:ascii="Arial" w:hAnsi="Arial" w:cs="Arial"/>
          <w:strike/>
          <w:sz w:val="22"/>
          <w:szCs w:val="22"/>
        </w:rPr>
        <w:t>1    Pořadové číslo jiného stacionárního zdroje v rámci provozovny, přidělené ISPOP.</w:t>
      </w:r>
    </w:p>
    <w:p w14:paraId="760702FC"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2    Zařazení stacionárního zdroje do kategorie podle </w:t>
      </w:r>
      <w:hyperlink w:history="1">
        <w:r w:rsidR="00A77B3E" w:rsidRPr="0030358C">
          <w:rPr>
            <w:rFonts w:ascii="Arial" w:hAnsi="Arial" w:cs="Arial"/>
            <w:strike/>
            <w:sz w:val="22"/>
            <w:szCs w:val="22"/>
          </w:rPr>
          <w:t>přílohy č. 2</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(dle číselníku uveřejněného ve Věstníku MŽP) s uvedením doplňující informace, pokud by se jednalo o zdroj, u nějž byla ve vykazovaném kalendářním roce provozována činnost na několika místech.</w:t>
      </w:r>
    </w:p>
    <w:p w14:paraId="060A710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Označení sektoru v souladu s nomenklaturou pro reporting (dle číselníku uveřejněného ve Věstníku MŽP).</w:t>
      </w:r>
    </w:p>
    <w:p w14:paraId="599E567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4    Název jiného stacionárního zdroje dle provozního řádu nebo povolení k provozu nebo technické dokumentace (dle číselníku uveřejněného ve Věstníku MŽP).</w:t>
      </w:r>
    </w:p>
    <w:p w14:paraId="2A68971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5    Počet provozních hodin, po které byl stacionární zdroj ve vykazovaném kalendářním roce v provozu.</w:t>
      </w:r>
    </w:p>
    <w:p w14:paraId="0978D7C6"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6    Uvede se druh (druhy) spalovaného paliva (dle číselníku uveřejněného ve Věstníku MŽP); v případě, že je tepelně zpracováván odpad nebo odpady, uvede se jako samostatná položka odpad (bez bližšího určení).</w:t>
      </w:r>
    </w:p>
    <w:p w14:paraId="7BFA83E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7    Uvede se hodnota roční průměrné výhřevnosti paliva podle údajů dodavatele paliva.</w:t>
      </w:r>
    </w:p>
    <w:p w14:paraId="54A3C907"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8    Uvede se celková spotřeba paliva využívaného stacionárním zdrojem ve vykazovaném kalendářním roce; v případě, že je tepelně zpracováván odpad nebo odpady, uvede se k údaji odpovídajícímu položce odpadu celkové množství spálených odpadů.</w:t>
      </w:r>
    </w:p>
    <w:p w14:paraId="2A63F8B9"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9-11    Spotřeba těkavých organických látek podle kategorií používaných těkavých organických látek podle </w:t>
      </w:r>
      <w:hyperlink w:history="1">
        <w:r w:rsidR="00A77B3E" w:rsidRPr="0030358C">
          <w:rPr>
            <w:rFonts w:ascii="Arial" w:hAnsi="Arial" w:cs="Arial"/>
            <w:strike/>
            <w:sz w:val="22"/>
            <w:szCs w:val="22"/>
          </w:rPr>
          <w:t>§ 21 písm. a)</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b)</w:t>
        </w:r>
      </w:hyperlink>
      <w:r w:rsidRPr="0030358C">
        <w:rPr>
          <w:rFonts w:ascii="Arial" w:hAnsi="Arial" w:cs="Arial"/>
          <w:strike/>
          <w:sz w:val="22"/>
          <w:szCs w:val="22"/>
        </w:rPr>
        <w:t xml:space="preserve"> a </w:t>
      </w:r>
      <w:hyperlink w:history="1">
        <w:r w:rsidR="00A77B3E" w:rsidRPr="0030358C">
          <w:rPr>
            <w:rFonts w:ascii="Arial" w:hAnsi="Arial" w:cs="Arial"/>
            <w:strike/>
            <w:sz w:val="22"/>
            <w:szCs w:val="22"/>
          </w:rPr>
          <w:t>c)</w:t>
        </w:r>
      </w:hyperlink>
      <w:r w:rsidRPr="0030358C">
        <w:rPr>
          <w:rFonts w:ascii="Arial" w:hAnsi="Arial" w:cs="Arial"/>
          <w:strike/>
          <w:sz w:val="22"/>
          <w:szCs w:val="22"/>
        </w:rPr>
        <w:t xml:space="preserve"> této vyhlášky.</w:t>
      </w:r>
    </w:p>
    <w:p w14:paraId="58498941"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12    Druh výrobku u vybraných technologií (dle číselníku uveřejněného ve Věstníku MŽP).</w:t>
      </w:r>
    </w:p>
    <w:p w14:paraId="1823575C"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13    Množství výrobku v jednotkách uveřejněných ve Věstníku MŽP.</w:t>
      </w:r>
    </w:p>
    <w:p w14:paraId="1EDB289C"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 xml:space="preserve">14    Celkové množství emisí znečišťujících látek (dle číselníku uveřejněného ve Věstníku MŽP), vypuštěných do ovzduší za stacionární zdroj a vykazovaný kalendářní rok, pro které má provozovatel stacionárního zdroje podle </w:t>
      </w:r>
      <w:hyperlink w:history="1">
        <w:r w:rsidR="00A77B3E" w:rsidRPr="0030358C">
          <w:rPr>
            <w:rFonts w:ascii="Arial" w:hAnsi="Arial" w:cs="Arial"/>
            <w:strike/>
            <w:sz w:val="22"/>
            <w:szCs w:val="22"/>
          </w:rPr>
          <w:t>§ 6 odst. 1</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xml:space="preserve"> stanovenu povinnost zjišťovat úroveň znečišťování.</w:t>
      </w:r>
    </w:p>
    <w:p w14:paraId="58B1A763" w14:textId="77777777" w:rsidR="00A77B3E" w:rsidRPr="0030358C" w:rsidRDefault="00000000">
      <w:pPr>
        <w:pStyle w:val="57"/>
        <w:rPr>
          <w:rFonts w:ascii="Arial" w:hAnsi="Arial" w:cs="Arial"/>
          <w:strike/>
          <w:szCs w:val="22"/>
        </w:rPr>
      </w:pPr>
      <w:r w:rsidRPr="0030358C">
        <w:rPr>
          <w:rFonts w:ascii="Arial" w:hAnsi="Arial" w:cs="Arial"/>
          <w:strike/>
          <w:szCs w:val="22"/>
        </w:rPr>
        <w:t>1.4.    Údaje o komínech a výduších</w:t>
      </w:r>
    </w:p>
    <w:p w14:paraId="326F5C14" w14:textId="77777777" w:rsidR="00A77B3E" w:rsidRPr="0030358C" w:rsidRDefault="00A77B3E">
      <w:pPr>
        <w:pStyle w:val="59"/>
        <w:rPr>
          <w:rFonts w:ascii="Arial" w:hAnsi="Arial" w:cs="Arial"/>
          <w:strike/>
          <w:sz w:val="22"/>
          <w:szCs w:val="22"/>
        </w:rPr>
        <w:sectPr w:rsidR="00A77B3E" w:rsidRPr="0030358C" w:rsidSect="00D804A3">
          <w:pgSz w:w="11906" w:h="16838" w:code="9"/>
          <w:pgMar w:top="1417" w:right="1417" w:bottom="1417" w:left="1417" w:header="708" w:footer="708" w:gutter="0"/>
          <w:cols w:space="708"/>
          <w:docGrid w:linePitch="360"/>
        </w:sectPr>
      </w:pPr>
    </w:p>
    <w:tbl>
      <w:tblPr>
        <w:tblStyle w:val="data-tisk-na-sirku"/>
        <w:tblW w:w="9254" w:type="dxa"/>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671"/>
        <w:gridCol w:w="3491"/>
        <w:gridCol w:w="1082"/>
        <w:gridCol w:w="4010"/>
      </w:tblGrid>
      <w:tr w:rsidR="00E40657" w14:paraId="1C3A5FE5" w14:textId="77777777" w:rsidTr="00390E5F">
        <w:trPr>
          <w:trHeight w:val="316"/>
        </w:trPr>
        <w:tc>
          <w:tcPr>
            <w:tcW w:w="671" w:type="dxa"/>
            <w:tcBorders>
              <w:top w:val="single" w:sz="12" w:space="0" w:color="000000"/>
              <w:bottom w:val="single" w:sz="3" w:space="0" w:color="000000"/>
              <w:right w:val="single" w:sz="3" w:space="0" w:color="000000"/>
            </w:tcBorders>
            <w:tcMar>
              <w:top w:w="85" w:type="dxa"/>
              <w:left w:w="157" w:type="dxa"/>
              <w:bottom w:w="85" w:type="dxa"/>
              <w:right w:w="146" w:type="dxa"/>
            </w:tcMar>
            <w:vAlign w:val="center"/>
            <w:hideMark/>
          </w:tcPr>
          <w:p w14:paraId="752C404E"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lastRenderedPageBreak/>
              <w:t>1</w:t>
            </w:r>
          </w:p>
        </w:tc>
        <w:tc>
          <w:tcPr>
            <w:tcW w:w="4573" w:type="dxa"/>
            <w:gridSpan w:val="2"/>
            <w:tcBorders>
              <w:top w:val="single" w:sz="12"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ABF6C2"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Pořadové číslo výduchu/komínu</w:t>
            </w:r>
          </w:p>
        </w:tc>
        <w:tc>
          <w:tcPr>
            <w:tcW w:w="4010" w:type="dxa"/>
            <w:tcBorders>
              <w:top w:val="single" w:sz="12" w:space="0" w:color="000000"/>
              <w:left w:val="single" w:sz="3" w:space="0" w:color="000000"/>
              <w:bottom w:val="single" w:sz="3" w:space="0" w:color="000000"/>
            </w:tcBorders>
            <w:tcMar>
              <w:top w:w="85" w:type="dxa"/>
              <w:left w:w="146" w:type="dxa"/>
              <w:bottom w:w="85" w:type="dxa"/>
              <w:right w:w="157" w:type="dxa"/>
            </w:tcMar>
            <w:vAlign w:val="center"/>
            <w:hideMark/>
          </w:tcPr>
          <w:p w14:paraId="09264539" w14:textId="77777777" w:rsidR="00A77B3E" w:rsidRPr="0030358C" w:rsidRDefault="00A77B3E">
            <w:pPr>
              <w:pStyle w:val="59"/>
              <w:overflowPunct w:val="0"/>
              <w:ind w:left="0"/>
              <w:jc w:val="left"/>
              <w:rPr>
                <w:rFonts w:ascii="Arial" w:hAnsi="Arial" w:cs="Arial"/>
                <w:strike/>
                <w:sz w:val="22"/>
                <w:szCs w:val="22"/>
              </w:rPr>
            </w:pPr>
          </w:p>
        </w:tc>
      </w:tr>
      <w:tr w:rsidR="00E40657" w14:paraId="4D46785B" w14:textId="77777777" w:rsidTr="00390E5F">
        <w:trPr>
          <w:trHeight w:val="541"/>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67D92E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2</w:t>
            </w:r>
          </w:p>
        </w:tc>
        <w:tc>
          <w:tcPr>
            <w:tcW w:w="4573"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A79A966"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Pořadové číslo každého jednotlivého stacionárního zdroje zaústěného do komína/výduchu</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8645CBC" w14:textId="77777777" w:rsidR="00A77B3E" w:rsidRPr="0030358C" w:rsidRDefault="00A77B3E">
            <w:pPr>
              <w:pStyle w:val="59"/>
              <w:overflowPunct w:val="0"/>
              <w:ind w:left="0"/>
              <w:jc w:val="left"/>
              <w:rPr>
                <w:rFonts w:ascii="Arial" w:hAnsi="Arial" w:cs="Arial"/>
                <w:strike/>
                <w:sz w:val="22"/>
                <w:szCs w:val="22"/>
              </w:rPr>
            </w:pPr>
          </w:p>
        </w:tc>
      </w:tr>
      <w:tr w:rsidR="00E40657" w14:paraId="52C965E6" w14:textId="77777777" w:rsidTr="00390E5F">
        <w:trPr>
          <w:trHeight w:val="303"/>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3840FA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3</w:t>
            </w:r>
          </w:p>
        </w:tc>
        <w:tc>
          <w:tcPr>
            <w:tcW w:w="4573"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C59564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Výška komínu/výduchu [m]</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A4FCF1D" w14:textId="77777777" w:rsidR="00A77B3E" w:rsidRPr="0030358C" w:rsidRDefault="00A77B3E">
            <w:pPr>
              <w:pStyle w:val="59"/>
              <w:overflowPunct w:val="0"/>
              <w:ind w:left="0"/>
              <w:jc w:val="left"/>
              <w:rPr>
                <w:rFonts w:ascii="Arial" w:hAnsi="Arial" w:cs="Arial"/>
                <w:strike/>
                <w:sz w:val="22"/>
                <w:szCs w:val="22"/>
              </w:rPr>
            </w:pPr>
          </w:p>
        </w:tc>
      </w:tr>
      <w:tr w:rsidR="00E40657" w14:paraId="48EF95A8" w14:textId="77777777" w:rsidTr="00390E5F">
        <w:trPr>
          <w:trHeight w:val="303"/>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35704A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4</w:t>
            </w:r>
          </w:p>
        </w:tc>
        <w:tc>
          <w:tcPr>
            <w:tcW w:w="4573"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C59EA7D"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Průřez v koruně komínu, průřez výduchu [m</w:t>
            </w:r>
            <w:r w:rsidRPr="0030358C">
              <w:rPr>
                <w:rFonts w:ascii="Arial" w:hAnsi="Arial" w:cs="Arial"/>
                <w:strike/>
                <w:sz w:val="22"/>
                <w:szCs w:val="22"/>
                <w:vertAlign w:val="superscript"/>
              </w:rPr>
              <w:t>2</w:t>
            </w:r>
            <w:r w:rsidRPr="0030358C">
              <w:rPr>
                <w:rFonts w:ascii="Arial" w:hAnsi="Arial" w:cs="Arial"/>
                <w:strike/>
                <w:sz w:val="22"/>
                <w:szCs w:val="22"/>
              </w:rPr>
              <w:t>]</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08567E4" w14:textId="77777777" w:rsidR="00A77B3E" w:rsidRPr="0030358C" w:rsidRDefault="00A77B3E">
            <w:pPr>
              <w:pStyle w:val="59"/>
              <w:overflowPunct w:val="0"/>
              <w:ind w:left="0"/>
              <w:jc w:val="left"/>
              <w:rPr>
                <w:rFonts w:ascii="Arial" w:hAnsi="Arial" w:cs="Arial"/>
                <w:strike/>
                <w:sz w:val="22"/>
                <w:szCs w:val="22"/>
              </w:rPr>
            </w:pPr>
          </w:p>
        </w:tc>
      </w:tr>
      <w:tr w:rsidR="00E40657" w14:paraId="7A0CFA7C" w14:textId="77777777" w:rsidTr="00390E5F">
        <w:trPr>
          <w:trHeight w:val="303"/>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A4D236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5</w:t>
            </w:r>
          </w:p>
        </w:tc>
        <w:tc>
          <w:tcPr>
            <w:tcW w:w="3491" w:type="dxa"/>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6C52EF71"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Zeměpisné souřadnice paty komínu/výduchu</w:t>
            </w:r>
          </w:p>
        </w:tc>
        <w:tc>
          <w:tcPr>
            <w:tcW w:w="1082"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4B8AC86"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N</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BBF6EDC" w14:textId="77777777" w:rsidR="00A77B3E" w:rsidRPr="0030358C" w:rsidRDefault="00A77B3E">
            <w:pPr>
              <w:pStyle w:val="59"/>
              <w:overflowPunct w:val="0"/>
              <w:ind w:left="0"/>
              <w:jc w:val="left"/>
              <w:rPr>
                <w:rFonts w:ascii="Arial" w:hAnsi="Arial" w:cs="Arial"/>
                <w:strike/>
                <w:sz w:val="22"/>
                <w:szCs w:val="22"/>
              </w:rPr>
            </w:pPr>
          </w:p>
        </w:tc>
      </w:tr>
      <w:tr w:rsidR="00E40657" w14:paraId="01295866" w14:textId="77777777" w:rsidTr="00390E5F">
        <w:trPr>
          <w:trHeight w:val="290"/>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EF25DF5"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6</w:t>
            </w:r>
          </w:p>
        </w:tc>
        <w:tc>
          <w:tcPr>
            <w:tcW w:w="0" w:type="auto"/>
            <w:vMerge/>
            <w:tcBorders>
              <w:left w:val="single" w:sz="3" w:space="0" w:color="000000"/>
              <w:bottom w:val="single" w:sz="3" w:space="0" w:color="000000"/>
              <w:right w:val="single" w:sz="3" w:space="0" w:color="000000"/>
            </w:tcBorders>
            <w:vAlign w:val="center"/>
            <w:hideMark/>
          </w:tcPr>
          <w:p w14:paraId="130B6409" w14:textId="77777777" w:rsidR="00A77B3E" w:rsidRPr="0030358C" w:rsidRDefault="00A77B3E">
            <w:pPr>
              <w:overflowPunct w:val="0"/>
              <w:rPr>
                <w:rFonts w:ascii="Arial" w:hAnsi="Arial" w:cs="Arial"/>
                <w:strike/>
                <w:sz w:val="22"/>
                <w:szCs w:val="22"/>
              </w:rPr>
            </w:pPr>
          </w:p>
        </w:tc>
        <w:tc>
          <w:tcPr>
            <w:tcW w:w="1082" w:type="dxa"/>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09738E"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E</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0A2D09A" w14:textId="77777777" w:rsidR="00A77B3E" w:rsidRPr="0030358C" w:rsidRDefault="00A77B3E">
            <w:pPr>
              <w:pStyle w:val="59"/>
              <w:overflowPunct w:val="0"/>
              <w:ind w:left="0"/>
              <w:jc w:val="left"/>
              <w:rPr>
                <w:rFonts w:ascii="Arial" w:hAnsi="Arial" w:cs="Arial"/>
                <w:strike/>
                <w:sz w:val="22"/>
                <w:szCs w:val="22"/>
              </w:rPr>
            </w:pPr>
          </w:p>
        </w:tc>
      </w:tr>
      <w:tr w:rsidR="00E40657" w14:paraId="6AB21796" w14:textId="77777777" w:rsidTr="00390E5F">
        <w:trPr>
          <w:trHeight w:val="303"/>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A30FA3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7</w:t>
            </w:r>
          </w:p>
        </w:tc>
        <w:tc>
          <w:tcPr>
            <w:tcW w:w="4573"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3FC58C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Průměrná rychlost plynů v [m/s]</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2E5887D" w14:textId="77777777" w:rsidR="00A77B3E" w:rsidRPr="0030358C" w:rsidRDefault="00A77B3E">
            <w:pPr>
              <w:pStyle w:val="59"/>
              <w:overflowPunct w:val="0"/>
              <w:ind w:left="0"/>
              <w:jc w:val="left"/>
              <w:rPr>
                <w:rFonts w:ascii="Arial" w:hAnsi="Arial" w:cs="Arial"/>
                <w:strike/>
                <w:sz w:val="22"/>
                <w:szCs w:val="22"/>
              </w:rPr>
            </w:pPr>
          </w:p>
        </w:tc>
      </w:tr>
      <w:tr w:rsidR="00E40657" w14:paraId="7F52FE73" w14:textId="77777777" w:rsidTr="00390E5F">
        <w:trPr>
          <w:trHeight w:val="303"/>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D3FB49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8</w:t>
            </w:r>
          </w:p>
        </w:tc>
        <w:tc>
          <w:tcPr>
            <w:tcW w:w="4573"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FFF588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Průměrná teplota plynů [°C]</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1F2EBF6" w14:textId="77777777" w:rsidR="00A77B3E" w:rsidRPr="0030358C" w:rsidRDefault="00A77B3E">
            <w:pPr>
              <w:pStyle w:val="59"/>
              <w:overflowPunct w:val="0"/>
              <w:ind w:left="0"/>
              <w:jc w:val="left"/>
              <w:rPr>
                <w:rFonts w:ascii="Arial" w:hAnsi="Arial" w:cs="Arial"/>
                <w:strike/>
                <w:sz w:val="22"/>
                <w:szCs w:val="22"/>
              </w:rPr>
            </w:pPr>
          </w:p>
        </w:tc>
      </w:tr>
      <w:tr w:rsidR="00E40657" w14:paraId="13547CE4" w14:textId="77777777" w:rsidTr="00390E5F">
        <w:trPr>
          <w:trHeight w:val="303"/>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DF889E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9</w:t>
            </w:r>
          </w:p>
        </w:tc>
        <w:tc>
          <w:tcPr>
            <w:tcW w:w="4573"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2CFFE3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Časový režim vypouštění emisí</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058A23A" w14:textId="77777777" w:rsidR="00A77B3E" w:rsidRPr="0030358C" w:rsidRDefault="00A77B3E">
            <w:pPr>
              <w:pStyle w:val="59"/>
              <w:overflowPunct w:val="0"/>
              <w:ind w:left="0"/>
              <w:jc w:val="left"/>
              <w:rPr>
                <w:rFonts w:ascii="Arial" w:hAnsi="Arial" w:cs="Arial"/>
                <w:strike/>
                <w:sz w:val="22"/>
                <w:szCs w:val="22"/>
              </w:rPr>
            </w:pPr>
          </w:p>
        </w:tc>
      </w:tr>
      <w:tr w:rsidR="00E40657" w14:paraId="12CDF635" w14:textId="77777777" w:rsidTr="00390E5F">
        <w:trPr>
          <w:trHeight w:val="303"/>
        </w:trPr>
        <w:tc>
          <w:tcPr>
            <w:tcW w:w="671"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B47E702"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10</w:t>
            </w:r>
          </w:p>
        </w:tc>
        <w:tc>
          <w:tcPr>
            <w:tcW w:w="4573" w:type="dxa"/>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7609B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Provozní hodiny komína/výduchu [h/rok]</w:t>
            </w:r>
          </w:p>
        </w:tc>
        <w:tc>
          <w:tcPr>
            <w:tcW w:w="4010"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4B5EE6ED" w14:textId="77777777" w:rsidR="00A77B3E" w:rsidRPr="0030358C" w:rsidRDefault="00A77B3E">
            <w:pPr>
              <w:pStyle w:val="59"/>
              <w:overflowPunct w:val="0"/>
              <w:ind w:left="0"/>
              <w:jc w:val="left"/>
              <w:rPr>
                <w:rFonts w:ascii="Arial" w:hAnsi="Arial" w:cs="Arial"/>
                <w:strike/>
                <w:sz w:val="22"/>
                <w:szCs w:val="22"/>
              </w:rPr>
            </w:pPr>
          </w:p>
        </w:tc>
      </w:tr>
      <w:tr w:rsidR="00E40657" w14:paraId="4F0EC537" w14:textId="77777777" w:rsidTr="00390E5F">
        <w:trPr>
          <w:trHeight w:val="303"/>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26B019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11</w:t>
            </w:r>
          </w:p>
        </w:tc>
        <w:tc>
          <w:tcPr>
            <w:tcW w:w="0" w:type="auto"/>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E29738B"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Druh technologie ke snižování emisí</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7428C56" w14:textId="77777777" w:rsidR="00A77B3E" w:rsidRPr="0030358C" w:rsidRDefault="00A77B3E">
            <w:pPr>
              <w:pStyle w:val="59"/>
              <w:overflowPunct w:val="0"/>
              <w:ind w:left="0"/>
              <w:jc w:val="left"/>
              <w:rPr>
                <w:rFonts w:ascii="Arial" w:hAnsi="Arial" w:cs="Arial"/>
                <w:strike/>
                <w:sz w:val="22"/>
                <w:szCs w:val="22"/>
              </w:rPr>
            </w:pPr>
          </w:p>
        </w:tc>
      </w:tr>
      <w:tr w:rsidR="00E40657" w14:paraId="7006402E" w14:textId="77777777" w:rsidTr="00390E5F">
        <w:trPr>
          <w:trHeight w:val="290"/>
        </w:trPr>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4B0A022"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12</w:t>
            </w:r>
          </w:p>
        </w:tc>
        <w:tc>
          <w:tcPr>
            <w:tcW w:w="0" w:type="auto"/>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6FBE0F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Účinnost technologie ke snižování emisí</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7F22872" w14:textId="77777777" w:rsidR="00A77B3E" w:rsidRPr="0030358C" w:rsidRDefault="00A77B3E">
            <w:pPr>
              <w:pStyle w:val="59"/>
              <w:overflowPunct w:val="0"/>
              <w:ind w:left="0"/>
              <w:jc w:val="left"/>
              <w:rPr>
                <w:rFonts w:ascii="Arial" w:hAnsi="Arial" w:cs="Arial"/>
                <w:strike/>
                <w:sz w:val="22"/>
                <w:szCs w:val="22"/>
              </w:rPr>
            </w:pPr>
          </w:p>
        </w:tc>
      </w:tr>
      <w:tr w:rsidR="00E40657" w14:paraId="07CC503A" w14:textId="77777777" w:rsidTr="00390E5F">
        <w:trPr>
          <w:trHeight w:val="92"/>
        </w:trPr>
        <w:tc>
          <w:tcPr>
            <w:tcW w:w="0" w:type="auto"/>
            <w:vMerge w:val="restart"/>
            <w:tcBorders>
              <w:top w:val="single" w:sz="3" w:space="0" w:color="000000"/>
              <w:right w:val="single" w:sz="3" w:space="0" w:color="000000"/>
            </w:tcBorders>
            <w:tcMar>
              <w:top w:w="85" w:type="dxa"/>
              <w:left w:w="157" w:type="dxa"/>
              <w:bottom w:w="85" w:type="dxa"/>
              <w:right w:w="146" w:type="dxa"/>
            </w:tcMar>
            <w:vAlign w:val="center"/>
            <w:hideMark/>
          </w:tcPr>
          <w:p w14:paraId="3AD9095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13</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3348265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Emise znečišťujících látek [t/rok]</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F3F2B4" w14:textId="77777777" w:rsidR="00A77B3E" w:rsidRPr="0030358C" w:rsidRDefault="00A77B3E">
            <w:pPr>
              <w:pStyle w:val="59"/>
              <w:overflowPunct w:val="0"/>
              <w:ind w:left="0"/>
              <w:jc w:val="left"/>
              <w:rPr>
                <w:rFonts w:ascii="Arial" w:hAnsi="Arial" w:cs="Arial"/>
                <w:strike/>
                <w:sz w:val="22"/>
                <w:szCs w:val="22"/>
              </w:rPr>
            </w:pP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6B2E372" w14:textId="77777777" w:rsidR="00A77B3E" w:rsidRPr="0030358C" w:rsidRDefault="00A77B3E">
            <w:pPr>
              <w:pStyle w:val="59"/>
              <w:overflowPunct w:val="0"/>
              <w:ind w:left="0"/>
              <w:jc w:val="left"/>
              <w:rPr>
                <w:rFonts w:ascii="Arial" w:hAnsi="Arial" w:cs="Arial"/>
                <w:strike/>
                <w:sz w:val="22"/>
                <w:szCs w:val="22"/>
              </w:rPr>
            </w:pPr>
          </w:p>
        </w:tc>
      </w:tr>
      <w:tr w:rsidR="00E40657" w14:paraId="0C6B84B1" w14:textId="77777777" w:rsidTr="00390E5F">
        <w:trPr>
          <w:trHeight w:val="139"/>
        </w:trPr>
        <w:tc>
          <w:tcPr>
            <w:tcW w:w="0" w:type="auto"/>
            <w:vMerge/>
            <w:tcBorders>
              <w:right w:val="single" w:sz="3" w:space="0" w:color="000000"/>
            </w:tcBorders>
            <w:vAlign w:val="center"/>
            <w:hideMark/>
          </w:tcPr>
          <w:p w14:paraId="442E834F" w14:textId="77777777" w:rsidR="00A77B3E" w:rsidRPr="0030358C" w:rsidRDefault="00A77B3E">
            <w:pPr>
              <w:overflowPunct w:val="0"/>
              <w:rPr>
                <w:rFonts w:ascii="Arial" w:hAnsi="Arial" w:cs="Arial"/>
                <w:strike/>
                <w:sz w:val="22"/>
                <w:szCs w:val="22"/>
              </w:rPr>
            </w:pPr>
          </w:p>
        </w:tc>
        <w:tc>
          <w:tcPr>
            <w:tcW w:w="0" w:type="auto"/>
            <w:vMerge/>
            <w:tcBorders>
              <w:left w:val="single" w:sz="3" w:space="0" w:color="000000"/>
              <w:right w:val="single" w:sz="3" w:space="0" w:color="000000"/>
            </w:tcBorders>
            <w:vAlign w:val="center"/>
            <w:hideMark/>
          </w:tcPr>
          <w:p w14:paraId="4770370E"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6FCE742" w14:textId="77777777" w:rsidR="00A77B3E" w:rsidRPr="0030358C" w:rsidRDefault="00A77B3E">
            <w:pPr>
              <w:pStyle w:val="59"/>
              <w:overflowPunct w:val="0"/>
              <w:ind w:left="0"/>
              <w:jc w:val="left"/>
              <w:rPr>
                <w:rFonts w:ascii="Arial" w:hAnsi="Arial" w:cs="Arial"/>
                <w:strike/>
                <w:sz w:val="22"/>
                <w:szCs w:val="22"/>
              </w:rPr>
            </w:pP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F409A48" w14:textId="77777777" w:rsidR="00A77B3E" w:rsidRPr="0030358C" w:rsidRDefault="00A77B3E">
            <w:pPr>
              <w:pStyle w:val="59"/>
              <w:overflowPunct w:val="0"/>
              <w:ind w:left="0"/>
              <w:jc w:val="left"/>
              <w:rPr>
                <w:rFonts w:ascii="Arial" w:hAnsi="Arial" w:cs="Arial"/>
                <w:strike/>
                <w:sz w:val="22"/>
                <w:szCs w:val="22"/>
              </w:rPr>
            </w:pPr>
          </w:p>
        </w:tc>
      </w:tr>
      <w:tr w:rsidR="00E40657" w14:paraId="3D28B6B1" w14:textId="77777777" w:rsidTr="00390E5F">
        <w:trPr>
          <w:trHeight w:val="139"/>
        </w:trPr>
        <w:tc>
          <w:tcPr>
            <w:tcW w:w="0" w:type="auto"/>
            <w:vMerge/>
            <w:tcBorders>
              <w:bottom w:val="single" w:sz="12" w:space="0" w:color="000000"/>
              <w:right w:val="single" w:sz="3" w:space="0" w:color="000000"/>
            </w:tcBorders>
            <w:vAlign w:val="center"/>
            <w:hideMark/>
          </w:tcPr>
          <w:p w14:paraId="13CE2730" w14:textId="77777777" w:rsidR="00A77B3E" w:rsidRPr="0030358C" w:rsidRDefault="00A77B3E">
            <w:pPr>
              <w:overflowPunct w:val="0"/>
              <w:rPr>
                <w:rFonts w:ascii="Arial" w:hAnsi="Arial" w:cs="Arial"/>
                <w:strike/>
                <w:sz w:val="22"/>
                <w:szCs w:val="22"/>
              </w:rPr>
            </w:pPr>
          </w:p>
        </w:tc>
        <w:tc>
          <w:tcPr>
            <w:tcW w:w="0" w:type="auto"/>
            <w:vMerge/>
            <w:tcBorders>
              <w:left w:val="single" w:sz="3" w:space="0" w:color="000000"/>
              <w:bottom w:val="single" w:sz="12" w:space="0" w:color="000000"/>
              <w:right w:val="single" w:sz="3" w:space="0" w:color="000000"/>
            </w:tcBorders>
            <w:vAlign w:val="center"/>
            <w:hideMark/>
          </w:tcPr>
          <w:p w14:paraId="66C20858"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CC702BE" w14:textId="77777777" w:rsidR="00A77B3E" w:rsidRPr="0030358C" w:rsidRDefault="00A77B3E">
            <w:pPr>
              <w:pStyle w:val="59"/>
              <w:overflowPunct w:val="0"/>
              <w:ind w:left="0"/>
              <w:jc w:val="left"/>
              <w:rPr>
                <w:rFonts w:ascii="Arial" w:hAnsi="Arial" w:cs="Arial"/>
                <w:strike/>
                <w:sz w:val="22"/>
                <w:szCs w:val="22"/>
              </w:rPr>
            </w:pP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39C106A5" w14:textId="77777777" w:rsidR="00A77B3E" w:rsidRPr="0030358C" w:rsidRDefault="00A77B3E">
            <w:pPr>
              <w:pStyle w:val="59"/>
              <w:overflowPunct w:val="0"/>
              <w:ind w:left="0"/>
              <w:jc w:val="left"/>
              <w:rPr>
                <w:rFonts w:ascii="Arial" w:hAnsi="Arial" w:cs="Arial"/>
                <w:strike/>
                <w:sz w:val="22"/>
                <w:szCs w:val="22"/>
              </w:rPr>
            </w:pPr>
          </w:p>
        </w:tc>
      </w:tr>
    </w:tbl>
    <w:p w14:paraId="5DF57A78" w14:textId="77777777" w:rsidR="00A77B3E" w:rsidRPr="0030358C" w:rsidRDefault="00A77B3E">
      <w:pPr>
        <w:rPr>
          <w:rFonts w:ascii="Arial" w:hAnsi="Arial" w:cs="Arial"/>
          <w:strike/>
          <w:sz w:val="22"/>
          <w:szCs w:val="22"/>
        </w:rPr>
      </w:pPr>
    </w:p>
    <w:p w14:paraId="2D682317"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 a návod pro vyplnění údajů podle čísla řádku:</w:t>
      </w:r>
    </w:p>
    <w:p w14:paraId="0F16E680"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Pořadové číslo komínu/výduchu v rámci provozovny, přidělené ISPOP.</w:t>
      </w:r>
    </w:p>
    <w:p w14:paraId="7C95785D"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Pořadové číslo stacionárního zdroje uvedeného v položce č. 1 bodu 1.2. a 1.3, u kterého jsou vypouštěny znečišťující látky, pro které má provozovatel stacionárního zdroje stanovenu povinnost zjišťovat úroveň znečišťování.</w:t>
      </w:r>
    </w:p>
    <w:p w14:paraId="0D378D03"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Stavební výška komínu nebo převýšení výduchu/komínu nad okolním terénem.</w:t>
      </w:r>
    </w:p>
    <w:p w14:paraId="27295E1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4    Plocha průřezu ústí komínu (vnitřní plocha v koruně komínu), plocha průřezu výduchu.</w:t>
      </w:r>
    </w:p>
    <w:p w14:paraId="790A91EE"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5,6    Zeměpisná šířka a délka umístění komínu/výduchu, uvedená v souřadnicovém systému WGS 84 (World Geodetic System) používaná běžně přístroji GPS.</w:t>
      </w:r>
    </w:p>
    <w:p w14:paraId="258D5CE9"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7    Zjištěná nebo odborně odhadnutá průměrná rychlost vzdušiny v ústí komínu/výduchu.</w:t>
      </w:r>
    </w:p>
    <w:p w14:paraId="3B321D7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8    Zjištěná nebo odborně odhadnutá průměrná teplota vzdušiny v ústí komínu/výduchu.</w:t>
      </w:r>
    </w:p>
    <w:p w14:paraId="0CA0B79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9    Časový režim charakterizující denní, týdenní a roční období, v němž dochází k vypouštění podstatného množství škodlivin z komínu/výduchu dle schématu uveřejněného ve Věstníku MŽP (1 = znečišťující látky jsou v daném časovém úseku vypouštěny; 0 = je vypouštěno malé množství znečišťujících látek nebo nejsou v daném časovém úseku vůbec vypouštěny).</w:t>
      </w:r>
    </w:p>
    <w:p w14:paraId="0CAF1A0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lastRenderedPageBreak/>
        <w:t>10    Provozní doba komínu/výduchu (doba, po kterou docházelo k vypouštění škodlivin z některého ze zaústěných stacionárních zdrojů do komínu/výduchu).</w:t>
      </w:r>
    </w:p>
    <w:p w14:paraId="34857A85"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11    Uvede se druh každé technologie ke snižování emisí každé znečišťující látky (dle číselníku uveřejněného ve věstníku MŽP); v případě tuhých znečišťujících látek se uvede druh posledního stupně odlučovacího zařízení, v němž dochází ke snižování množství tuhých znečišťujících látek.</w:t>
      </w:r>
    </w:p>
    <w:p w14:paraId="7FBA1834"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12    Průměrná roční provozní účinnost každé technologie ke snižování emisí vyjádřená v % snížení koncentrace znečišťující látky vstupující do technologie ke snižování emisí. Není-li provozní účinnost sledována, uvede se garantovaná účinnost případně účinnost odpovídající garantované výstupní koncentraci.</w:t>
      </w:r>
    </w:p>
    <w:p w14:paraId="213F8591"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 xml:space="preserve">13    Celkové množství emisí znečišťujících látek (dle číselníku uveřejněného ve Věstníku MŽP) vypuštěných do ovzduší za vykazovaný kalendářní rok daným komínem/výduchem, pro které má provozovatel stacionárního zdroje stanovenu povinnost zjišťovat úroveň znečišťování podle </w:t>
      </w:r>
      <w:hyperlink w:history="1">
        <w:r w:rsidR="00A77B3E" w:rsidRPr="0030358C">
          <w:rPr>
            <w:rFonts w:ascii="Arial" w:hAnsi="Arial" w:cs="Arial"/>
            <w:strike/>
            <w:sz w:val="22"/>
            <w:szCs w:val="22"/>
          </w:rPr>
          <w:t>§ 6 odst. 1</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 V případě, že dochází k vypouštění/úniku veškerých emisí ze stacionárních zdrojů pouze jedním komínem/výduchem, tento údaj se nevyplňuje.</w:t>
      </w:r>
    </w:p>
    <w:p w14:paraId="1CF3DD20" w14:textId="77777777" w:rsidR="00A77B3E" w:rsidRPr="0030358C" w:rsidRDefault="00000000">
      <w:pPr>
        <w:pStyle w:val="57"/>
        <w:rPr>
          <w:rFonts w:ascii="Arial" w:hAnsi="Arial" w:cs="Arial"/>
          <w:strike/>
          <w:szCs w:val="22"/>
        </w:rPr>
      </w:pPr>
      <w:r w:rsidRPr="0030358C">
        <w:rPr>
          <w:rFonts w:ascii="Arial" w:hAnsi="Arial" w:cs="Arial"/>
          <w:strike/>
          <w:szCs w:val="22"/>
        </w:rPr>
        <w:t>1.5.    Údaje o měření emisí</w:t>
      </w:r>
    </w:p>
    <w:tbl>
      <w:tblPr>
        <w:tblStyle w:val="data-tisk-na-sirku"/>
        <w:tblW w:w="10093" w:type="dxa"/>
        <w:tblInd w:w="-15"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760"/>
        <w:gridCol w:w="3172"/>
        <w:gridCol w:w="4010"/>
        <w:gridCol w:w="2151"/>
      </w:tblGrid>
      <w:tr w:rsidR="00E40657" w14:paraId="50EC9223" w14:textId="77777777" w:rsidTr="00390E5F">
        <w:trPr>
          <w:trHeight w:val="328"/>
        </w:trPr>
        <w:tc>
          <w:tcPr>
            <w:tcW w:w="760" w:type="dxa"/>
            <w:tcBorders>
              <w:top w:val="single" w:sz="12" w:space="0" w:color="000000"/>
              <w:bottom w:val="single" w:sz="3" w:space="0" w:color="000000"/>
              <w:right w:val="single" w:sz="3" w:space="0" w:color="000000"/>
            </w:tcBorders>
            <w:tcMar>
              <w:top w:w="85" w:type="dxa"/>
              <w:left w:w="157" w:type="dxa"/>
              <w:bottom w:w="85" w:type="dxa"/>
              <w:right w:w="146" w:type="dxa"/>
            </w:tcMar>
            <w:vAlign w:val="center"/>
            <w:hideMark/>
          </w:tcPr>
          <w:p w14:paraId="5276D91C"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w:t>
            </w:r>
          </w:p>
        </w:tc>
        <w:tc>
          <w:tcPr>
            <w:tcW w:w="0" w:type="auto"/>
            <w:gridSpan w:val="2"/>
            <w:tcBorders>
              <w:top w:val="single" w:sz="12"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473E1C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Pořadové číslo stacionárního zdroje/zdrojů</w:t>
            </w:r>
          </w:p>
        </w:tc>
        <w:tc>
          <w:tcPr>
            <w:tcW w:w="2151" w:type="dxa"/>
            <w:tcBorders>
              <w:top w:val="single" w:sz="12" w:space="0" w:color="000000"/>
              <w:left w:val="single" w:sz="3" w:space="0" w:color="000000"/>
              <w:bottom w:val="single" w:sz="3" w:space="0" w:color="000000"/>
            </w:tcBorders>
            <w:tcMar>
              <w:top w:w="85" w:type="dxa"/>
              <w:left w:w="146" w:type="dxa"/>
              <w:bottom w:w="85" w:type="dxa"/>
              <w:right w:w="157" w:type="dxa"/>
            </w:tcMar>
            <w:vAlign w:val="center"/>
            <w:hideMark/>
          </w:tcPr>
          <w:p w14:paraId="5CA8C078" w14:textId="77777777" w:rsidR="00A77B3E" w:rsidRPr="0030358C" w:rsidRDefault="00A77B3E">
            <w:pPr>
              <w:pStyle w:val="59"/>
              <w:overflowPunct w:val="0"/>
              <w:ind w:left="0"/>
              <w:jc w:val="left"/>
              <w:rPr>
                <w:rFonts w:ascii="Arial" w:hAnsi="Arial" w:cs="Arial"/>
                <w:strike/>
                <w:sz w:val="22"/>
                <w:szCs w:val="22"/>
              </w:rPr>
            </w:pPr>
          </w:p>
        </w:tc>
      </w:tr>
      <w:tr w:rsidR="00E40657" w14:paraId="0B54F316" w14:textId="77777777" w:rsidTr="00390E5F">
        <w:trPr>
          <w:trHeight w:val="300"/>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EAF1AB0"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2</w:t>
            </w:r>
          </w:p>
        </w:tc>
        <w:tc>
          <w:tcPr>
            <w:tcW w:w="0" w:type="auto"/>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E9FA0D6"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Označení místa měření emisí</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CEA15DA" w14:textId="77777777" w:rsidR="00A77B3E" w:rsidRPr="0030358C" w:rsidRDefault="00A77B3E">
            <w:pPr>
              <w:pStyle w:val="59"/>
              <w:overflowPunct w:val="0"/>
              <w:ind w:left="0"/>
              <w:jc w:val="left"/>
              <w:rPr>
                <w:rFonts w:ascii="Arial" w:hAnsi="Arial" w:cs="Arial"/>
                <w:strike/>
                <w:sz w:val="22"/>
                <w:szCs w:val="22"/>
              </w:rPr>
            </w:pPr>
          </w:p>
        </w:tc>
      </w:tr>
      <w:tr w:rsidR="00E40657" w14:paraId="2589E821" w14:textId="77777777" w:rsidTr="00390E5F">
        <w:trPr>
          <w:trHeight w:val="314"/>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4FE50E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3</w:t>
            </w:r>
          </w:p>
        </w:tc>
        <w:tc>
          <w:tcPr>
            <w:tcW w:w="0" w:type="auto"/>
            <w:gridSpan w:val="2"/>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B71C94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Datum měření</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743F7E6" w14:textId="77777777" w:rsidR="00A77B3E" w:rsidRPr="0030358C" w:rsidRDefault="00A77B3E">
            <w:pPr>
              <w:pStyle w:val="59"/>
              <w:overflowPunct w:val="0"/>
              <w:ind w:left="0"/>
              <w:jc w:val="left"/>
              <w:rPr>
                <w:rFonts w:ascii="Arial" w:hAnsi="Arial" w:cs="Arial"/>
                <w:strike/>
                <w:sz w:val="22"/>
                <w:szCs w:val="22"/>
              </w:rPr>
            </w:pPr>
          </w:p>
        </w:tc>
      </w:tr>
      <w:tr w:rsidR="00E40657" w14:paraId="2F931BCB" w14:textId="77777777" w:rsidTr="00390E5F">
        <w:trPr>
          <w:trHeight w:val="314"/>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69B0EF5"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4</w:t>
            </w:r>
          </w:p>
        </w:tc>
        <w:tc>
          <w:tcPr>
            <w:tcW w:w="0" w:type="auto"/>
            <w:vMerge w:val="restart"/>
            <w:tcBorders>
              <w:top w:val="single" w:sz="3" w:space="0" w:color="000000"/>
              <w:left w:val="single" w:sz="3" w:space="0" w:color="000000"/>
              <w:right w:val="single" w:sz="3" w:space="0" w:color="000000"/>
            </w:tcBorders>
            <w:tcMar>
              <w:top w:w="85" w:type="dxa"/>
              <w:left w:w="146" w:type="dxa"/>
              <w:bottom w:w="85" w:type="dxa"/>
              <w:right w:w="146" w:type="dxa"/>
            </w:tcMar>
            <w:vAlign w:val="center"/>
            <w:hideMark/>
          </w:tcPr>
          <w:p w14:paraId="7599A617"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Emise znečišťujících látek</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285BF70"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specifický emisní limit</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00DE191" w14:textId="77777777" w:rsidR="00A77B3E" w:rsidRPr="0030358C" w:rsidRDefault="00A77B3E">
            <w:pPr>
              <w:pStyle w:val="59"/>
              <w:overflowPunct w:val="0"/>
              <w:ind w:left="0"/>
              <w:jc w:val="left"/>
              <w:rPr>
                <w:rFonts w:ascii="Arial" w:hAnsi="Arial" w:cs="Arial"/>
                <w:strike/>
                <w:sz w:val="22"/>
                <w:szCs w:val="22"/>
              </w:rPr>
            </w:pPr>
          </w:p>
        </w:tc>
      </w:tr>
      <w:tr w:rsidR="00E40657" w14:paraId="162DDD11" w14:textId="77777777" w:rsidTr="00390E5F">
        <w:trPr>
          <w:trHeight w:val="300"/>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99E035B"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5</w:t>
            </w:r>
          </w:p>
        </w:tc>
        <w:tc>
          <w:tcPr>
            <w:tcW w:w="0" w:type="auto"/>
            <w:vMerge/>
            <w:tcBorders>
              <w:left w:val="single" w:sz="3" w:space="0" w:color="000000"/>
              <w:right w:val="single" w:sz="3" w:space="0" w:color="000000"/>
            </w:tcBorders>
            <w:vAlign w:val="center"/>
            <w:hideMark/>
          </w:tcPr>
          <w:p w14:paraId="7DF37B8B"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D77A43"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jednotka emisního limitu</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57A0C11" w14:textId="77777777" w:rsidR="00A77B3E" w:rsidRPr="0030358C" w:rsidRDefault="00A77B3E">
            <w:pPr>
              <w:pStyle w:val="59"/>
              <w:overflowPunct w:val="0"/>
              <w:ind w:left="0"/>
              <w:jc w:val="left"/>
              <w:rPr>
                <w:rFonts w:ascii="Arial" w:hAnsi="Arial" w:cs="Arial"/>
                <w:strike/>
                <w:sz w:val="22"/>
                <w:szCs w:val="22"/>
              </w:rPr>
            </w:pPr>
          </w:p>
        </w:tc>
      </w:tr>
      <w:tr w:rsidR="00E40657" w14:paraId="5F86FD47" w14:textId="77777777" w:rsidTr="00390E5F">
        <w:trPr>
          <w:trHeight w:val="300"/>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886A1E6"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6</w:t>
            </w:r>
          </w:p>
        </w:tc>
        <w:tc>
          <w:tcPr>
            <w:tcW w:w="0" w:type="auto"/>
            <w:vMerge/>
            <w:tcBorders>
              <w:left w:val="single" w:sz="3" w:space="0" w:color="000000"/>
              <w:right w:val="single" w:sz="3" w:space="0" w:color="000000"/>
            </w:tcBorders>
            <w:vAlign w:val="center"/>
            <w:hideMark/>
          </w:tcPr>
          <w:p w14:paraId="5FFDF4C1"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CA3883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emisní koncentrace BAT</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8ADD311" w14:textId="77777777" w:rsidR="00A77B3E" w:rsidRPr="0030358C" w:rsidRDefault="00A77B3E">
            <w:pPr>
              <w:pStyle w:val="59"/>
              <w:overflowPunct w:val="0"/>
              <w:ind w:left="0"/>
              <w:jc w:val="left"/>
              <w:rPr>
                <w:rFonts w:ascii="Arial" w:hAnsi="Arial" w:cs="Arial"/>
                <w:strike/>
                <w:sz w:val="22"/>
                <w:szCs w:val="22"/>
              </w:rPr>
            </w:pPr>
          </w:p>
        </w:tc>
      </w:tr>
      <w:tr w:rsidR="00E40657" w14:paraId="73C70F6D" w14:textId="77777777" w:rsidTr="00390E5F">
        <w:trPr>
          <w:trHeight w:val="314"/>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8AF7F48"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7</w:t>
            </w:r>
          </w:p>
        </w:tc>
        <w:tc>
          <w:tcPr>
            <w:tcW w:w="0" w:type="auto"/>
            <w:vMerge/>
            <w:tcBorders>
              <w:left w:val="single" w:sz="3" w:space="0" w:color="000000"/>
              <w:right w:val="single" w:sz="3" w:space="0" w:color="000000"/>
            </w:tcBorders>
            <w:vAlign w:val="center"/>
            <w:hideMark/>
          </w:tcPr>
          <w:p w14:paraId="5FB2DBF9"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BADD21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jednotka emisní koncentrace BAT</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661DF7A" w14:textId="77777777" w:rsidR="00A77B3E" w:rsidRPr="0030358C" w:rsidRDefault="00A77B3E">
            <w:pPr>
              <w:pStyle w:val="59"/>
              <w:overflowPunct w:val="0"/>
              <w:ind w:left="0"/>
              <w:jc w:val="left"/>
              <w:rPr>
                <w:rFonts w:ascii="Arial" w:hAnsi="Arial" w:cs="Arial"/>
                <w:strike/>
                <w:sz w:val="22"/>
                <w:szCs w:val="22"/>
              </w:rPr>
            </w:pPr>
          </w:p>
        </w:tc>
      </w:tr>
      <w:tr w:rsidR="00E40657" w14:paraId="7309AD2A" w14:textId="77777777" w:rsidTr="00390E5F">
        <w:trPr>
          <w:trHeight w:val="300"/>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6A7CD1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8</w:t>
            </w:r>
          </w:p>
        </w:tc>
        <w:tc>
          <w:tcPr>
            <w:tcW w:w="0" w:type="auto"/>
            <w:vMerge/>
            <w:tcBorders>
              <w:left w:val="single" w:sz="3" w:space="0" w:color="000000"/>
              <w:right w:val="single" w:sz="3" w:space="0" w:color="000000"/>
            </w:tcBorders>
            <w:vAlign w:val="center"/>
            <w:hideMark/>
          </w:tcPr>
          <w:p w14:paraId="5E730AC5"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E712298"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hmotnostní koncentrace</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5492B29" w14:textId="77777777" w:rsidR="00A77B3E" w:rsidRPr="0030358C" w:rsidRDefault="00A77B3E">
            <w:pPr>
              <w:pStyle w:val="59"/>
              <w:overflowPunct w:val="0"/>
              <w:ind w:left="0"/>
              <w:jc w:val="left"/>
              <w:rPr>
                <w:rFonts w:ascii="Arial" w:hAnsi="Arial" w:cs="Arial"/>
                <w:strike/>
                <w:sz w:val="22"/>
                <w:szCs w:val="22"/>
              </w:rPr>
            </w:pPr>
          </w:p>
        </w:tc>
      </w:tr>
      <w:tr w:rsidR="00E40657" w14:paraId="212AE2C8" w14:textId="77777777" w:rsidTr="00390E5F">
        <w:trPr>
          <w:trHeight w:val="300"/>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5452C54"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9</w:t>
            </w:r>
          </w:p>
        </w:tc>
        <w:tc>
          <w:tcPr>
            <w:tcW w:w="0" w:type="auto"/>
            <w:vMerge/>
            <w:tcBorders>
              <w:left w:val="single" w:sz="3" w:space="0" w:color="000000"/>
              <w:right w:val="single" w:sz="3" w:space="0" w:color="000000"/>
            </w:tcBorders>
            <w:vAlign w:val="center"/>
            <w:hideMark/>
          </w:tcPr>
          <w:p w14:paraId="59C266F5"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F4BA0C"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jednotka hmotnostní koncentrace</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4920731" w14:textId="77777777" w:rsidR="00A77B3E" w:rsidRPr="0030358C" w:rsidRDefault="00A77B3E">
            <w:pPr>
              <w:pStyle w:val="59"/>
              <w:overflowPunct w:val="0"/>
              <w:ind w:left="0"/>
              <w:jc w:val="left"/>
              <w:rPr>
                <w:rFonts w:ascii="Arial" w:hAnsi="Arial" w:cs="Arial"/>
                <w:strike/>
                <w:sz w:val="22"/>
                <w:szCs w:val="22"/>
              </w:rPr>
            </w:pPr>
          </w:p>
        </w:tc>
      </w:tr>
      <w:tr w:rsidR="00E40657" w14:paraId="43401036" w14:textId="77777777" w:rsidTr="00390E5F">
        <w:trPr>
          <w:trHeight w:val="300"/>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54ACF6D"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10</w:t>
            </w:r>
          </w:p>
        </w:tc>
        <w:tc>
          <w:tcPr>
            <w:tcW w:w="0" w:type="auto"/>
            <w:vMerge/>
            <w:tcBorders>
              <w:left w:val="single" w:sz="3" w:space="0" w:color="000000"/>
              <w:right w:val="single" w:sz="3" w:space="0" w:color="000000"/>
            </w:tcBorders>
            <w:vAlign w:val="center"/>
            <w:hideMark/>
          </w:tcPr>
          <w:p w14:paraId="220447FD"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94A8204"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hmotnostní tok [kg/h]</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A6A8368" w14:textId="77777777" w:rsidR="00A77B3E" w:rsidRPr="0030358C" w:rsidRDefault="00A77B3E">
            <w:pPr>
              <w:pStyle w:val="59"/>
              <w:overflowPunct w:val="0"/>
              <w:ind w:left="0"/>
              <w:jc w:val="left"/>
              <w:rPr>
                <w:rFonts w:ascii="Arial" w:hAnsi="Arial" w:cs="Arial"/>
                <w:strike/>
                <w:sz w:val="22"/>
                <w:szCs w:val="22"/>
              </w:rPr>
            </w:pPr>
          </w:p>
        </w:tc>
      </w:tr>
      <w:tr w:rsidR="00E40657" w14:paraId="36B24E3B" w14:textId="77777777" w:rsidTr="00390E5F">
        <w:trPr>
          <w:trHeight w:val="300"/>
        </w:trPr>
        <w:tc>
          <w:tcPr>
            <w:tcW w:w="760" w:type="dxa"/>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BBAC2E2"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11</w:t>
            </w:r>
          </w:p>
        </w:tc>
        <w:tc>
          <w:tcPr>
            <w:tcW w:w="0" w:type="auto"/>
            <w:vMerge/>
            <w:tcBorders>
              <w:left w:val="single" w:sz="3" w:space="0" w:color="000000"/>
              <w:right w:val="single" w:sz="3" w:space="0" w:color="000000"/>
            </w:tcBorders>
            <w:vAlign w:val="center"/>
            <w:hideMark/>
          </w:tcPr>
          <w:p w14:paraId="16D314B9"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ACEAEA9"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měrná výrobní emise</w:t>
            </w:r>
          </w:p>
        </w:tc>
        <w:tc>
          <w:tcPr>
            <w:tcW w:w="2151" w:type="dxa"/>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60F5EBD" w14:textId="77777777" w:rsidR="00A77B3E" w:rsidRPr="0030358C" w:rsidRDefault="00A77B3E">
            <w:pPr>
              <w:pStyle w:val="59"/>
              <w:overflowPunct w:val="0"/>
              <w:ind w:left="0"/>
              <w:jc w:val="left"/>
              <w:rPr>
                <w:rFonts w:ascii="Arial" w:hAnsi="Arial" w:cs="Arial"/>
                <w:strike/>
                <w:sz w:val="22"/>
                <w:szCs w:val="22"/>
              </w:rPr>
            </w:pPr>
          </w:p>
        </w:tc>
      </w:tr>
      <w:tr w:rsidR="00E40657" w14:paraId="69464FC8" w14:textId="77777777" w:rsidTr="00390E5F">
        <w:trPr>
          <w:trHeight w:val="314"/>
        </w:trPr>
        <w:tc>
          <w:tcPr>
            <w:tcW w:w="760" w:type="dxa"/>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716FF18A" w14:textId="77777777" w:rsidR="00A77B3E" w:rsidRPr="0030358C" w:rsidRDefault="00000000">
            <w:pPr>
              <w:pStyle w:val="59"/>
              <w:overflowPunct w:val="0"/>
              <w:ind w:left="0"/>
              <w:jc w:val="center"/>
              <w:rPr>
                <w:rFonts w:ascii="Arial" w:hAnsi="Arial" w:cs="Arial"/>
                <w:strike/>
                <w:sz w:val="22"/>
                <w:szCs w:val="22"/>
              </w:rPr>
            </w:pPr>
            <w:r w:rsidRPr="0030358C">
              <w:rPr>
                <w:rFonts w:ascii="Arial" w:hAnsi="Arial" w:cs="Arial"/>
                <w:strike/>
                <w:sz w:val="22"/>
                <w:szCs w:val="22"/>
              </w:rPr>
              <w:t>12</w:t>
            </w:r>
          </w:p>
        </w:tc>
        <w:tc>
          <w:tcPr>
            <w:tcW w:w="0" w:type="auto"/>
            <w:vMerge/>
            <w:tcBorders>
              <w:left w:val="single" w:sz="3" w:space="0" w:color="000000"/>
              <w:bottom w:val="single" w:sz="12" w:space="0" w:color="000000"/>
              <w:right w:val="single" w:sz="3" w:space="0" w:color="000000"/>
            </w:tcBorders>
            <w:vAlign w:val="center"/>
            <w:hideMark/>
          </w:tcPr>
          <w:p w14:paraId="6E923F9A" w14:textId="77777777" w:rsidR="00A77B3E" w:rsidRPr="0030358C" w:rsidRDefault="00A77B3E">
            <w:pPr>
              <w:overflowPunct w:val="0"/>
              <w:rPr>
                <w:rFonts w:ascii="Arial" w:hAnsi="Arial" w:cs="Arial"/>
                <w:strike/>
                <w:sz w:val="22"/>
                <w:szCs w:val="22"/>
              </w:rPr>
            </w:pP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B9EFC8A" w14:textId="77777777" w:rsidR="00A77B3E" w:rsidRPr="0030358C" w:rsidRDefault="00000000">
            <w:pPr>
              <w:pStyle w:val="59"/>
              <w:overflowPunct w:val="0"/>
              <w:ind w:left="0"/>
              <w:jc w:val="left"/>
              <w:rPr>
                <w:rFonts w:ascii="Arial" w:hAnsi="Arial" w:cs="Arial"/>
                <w:strike/>
                <w:sz w:val="22"/>
                <w:szCs w:val="22"/>
              </w:rPr>
            </w:pPr>
            <w:r w:rsidRPr="0030358C">
              <w:rPr>
                <w:rFonts w:ascii="Arial" w:hAnsi="Arial" w:cs="Arial"/>
                <w:strike/>
                <w:sz w:val="22"/>
                <w:szCs w:val="22"/>
              </w:rPr>
              <w:t>jednotka měrné výrobní emise</w:t>
            </w:r>
          </w:p>
        </w:tc>
        <w:tc>
          <w:tcPr>
            <w:tcW w:w="2151" w:type="dxa"/>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1D4B353E" w14:textId="77777777" w:rsidR="00A77B3E" w:rsidRPr="0030358C" w:rsidRDefault="00A77B3E">
            <w:pPr>
              <w:pStyle w:val="59"/>
              <w:overflowPunct w:val="0"/>
              <w:ind w:left="0"/>
              <w:jc w:val="left"/>
              <w:rPr>
                <w:rFonts w:ascii="Arial" w:hAnsi="Arial" w:cs="Arial"/>
                <w:strike/>
                <w:sz w:val="22"/>
                <w:szCs w:val="22"/>
              </w:rPr>
            </w:pPr>
          </w:p>
        </w:tc>
      </w:tr>
    </w:tbl>
    <w:p w14:paraId="496F97B4"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Vysvětlivky a návod pro vyplnění údajů podle čísla řádku:</w:t>
      </w:r>
    </w:p>
    <w:p w14:paraId="591BAB62"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    Pořadové číslo stacionárního zdroje uvedeného v položce č. 1 bodu 1.2. a 1.3.</w:t>
      </w:r>
    </w:p>
    <w:p w14:paraId="158AA406"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2    Uvede se označení místa jednorázového nebo kontinuálního měření emisí dle provozního řádu nebo povolení k provozu nebo technické dokumentace.</w:t>
      </w:r>
    </w:p>
    <w:p w14:paraId="02C3305B"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3    Datum posledního platného jednorázového měření emisí; v případě, že se zjišťování emisí provádí kontinuálním měřením, se datum měření nevyplňuje.</w:t>
      </w:r>
    </w:p>
    <w:p w14:paraId="1522D30D"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4    Uvede se specifický emisní limit pro jednotlivé znečišťující látky (dle číselníku uveřejněného ve Věstníku MŽP) stanovený v povolení provozu, a pokud v povolení provozu specifický emisní limit stanoven není, emisní limit platný pro daný stacionární zdroj podle této vyhlášky.</w:t>
      </w:r>
    </w:p>
    <w:p w14:paraId="740751D8"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lastRenderedPageBreak/>
        <w:t>5    Jednotka specifického emisního limitu (dle číselníku uveřejněného ve Věstníku MŽP).</w:t>
      </w:r>
    </w:p>
    <w:p w14:paraId="57DBBE2F"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 xml:space="preserve">6    Emisní koncentrace odpovídající horní hranici úrovně emisí spojené s nejlepšími dostupnými technikami (BAT) podle informací zveřejňovaných Evropskou komisí odpovídající příslušnému stacionárnímu zdroji. Vyplní se v údajích za r. 2016 a v dalším období v případě uplatnění </w:t>
      </w:r>
      <w:hyperlink w:history="1">
        <w:r w:rsidR="00A77B3E" w:rsidRPr="0030358C">
          <w:rPr>
            <w:rFonts w:ascii="Arial" w:hAnsi="Arial" w:cs="Arial"/>
            <w:strike/>
            <w:sz w:val="22"/>
            <w:szCs w:val="22"/>
          </w:rPr>
          <w:t>§ 15, odst. 5</w:t>
        </w:r>
      </w:hyperlink>
      <w:r w:rsidRPr="0030358C">
        <w:rPr>
          <w:rFonts w:ascii="Arial" w:hAnsi="Arial" w:cs="Arial"/>
          <w:strike/>
          <w:sz w:val="22"/>
          <w:szCs w:val="22"/>
        </w:rPr>
        <w:t xml:space="preserve"> a </w:t>
      </w:r>
      <w:hyperlink w:history="1">
        <w:r w:rsidR="00A77B3E" w:rsidRPr="0030358C">
          <w:rPr>
            <w:rFonts w:ascii="Arial" w:hAnsi="Arial" w:cs="Arial"/>
            <w:strike/>
            <w:sz w:val="22"/>
            <w:szCs w:val="22"/>
          </w:rPr>
          <w:t>odst. 6, písm. b)</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w:t>
        </w:r>
      </w:hyperlink>
      <w:r w:rsidRPr="0030358C">
        <w:rPr>
          <w:rFonts w:ascii="Arial" w:hAnsi="Arial" w:cs="Arial"/>
          <w:strike/>
          <w:sz w:val="22"/>
          <w:szCs w:val="22"/>
        </w:rPr>
        <w:t>.</w:t>
      </w:r>
    </w:p>
    <w:p w14:paraId="241BEE83"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7    Jednotka emisní koncentrace BAT (dle číselníku uveřejněného ve Věstníku MŽP).</w:t>
      </w:r>
    </w:p>
    <w:p w14:paraId="5E99DE78"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8    Hmotnostní koncentrace emisí jednotlivých znečišťujících látek přepočtená na podmínky stanovené pro emisní limit stacionárního zdroje v právním předpisu v mg.m</w:t>
      </w:r>
      <w:r w:rsidRPr="0030358C">
        <w:rPr>
          <w:rFonts w:ascii="Arial" w:hAnsi="Arial" w:cs="Arial"/>
          <w:strike/>
          <w:sz w:val="22"/>
          <w:szCs w:val="22"/>
          <w:vertAlign w:val="superscript"/>
        </w:rPr>
        <w:t>-3</w:t>
      </w:r>
      <w:r w:rsidRPr="0030358C">
        <w:rPr>
          <w:rFonts w:ascii="Arial" w:hAnsi="Arial" w:cs="Arial"/>
          <w:strike/>
          <w:sz w:val="22"/>
          <w:szCs w:val="22"/>
        </w:rPr>
        <w:t>, případně v jiných jednotkách uvedených v řádku č. 9; v případě kontinuálního měření se uvede hodnota vypočtená jako aritmetický průměr všech platných denních hodnot za kalendářní rok.</w:t>
      </w:r>
    </w:p>
    <w:p w14:paraId="4FF89B5A"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9    Jednotka hmotnostní koncentrace, ve které je stanoven emisní limit (dle číselníku uveřejněného ve Věstníku MŽP).</w:t>
      </w:r>
    </w:p>
    <w:p w14:paraId="0F6CABE8"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10    Podíl hmotnosti emisí jednotlivých znečišťujících látek za hodinu.</w:t>
      </w:r>
    </w:p>
    <w:p w14:paraId="570B9F73" w14:textId="77777777" w:rsidR="00A77B3E" w:rsidRPr="0030358C" w:rsidRDefault="00000000">
      <w:pPr>
        <w:pStyle w:val="61"/>
        <w:rPr>
          <w:rFonts w:ascii="Arial" w:hAnsi="Arial" w:cs="Arial"/>
          <w:strike/>
          <w:sz w:val="22"/>
          <w:szCs w:val="22"/>
        </w:rPr>
      </w:pPr>
      <w:r w:rsidRPr="0030358C">
        <w:rPr>
          <w:rFonts w:ascii="Arial" w:hAnsi="Arial" w:cs="Arial"/>
          <w:strike/>
          <w:sz w:val="22"/>
          <w:szCs w:val="22"/>
        </w:rPr>
        <w:t>11    Podíl hmotnosti emisí znečišťujících látek a vztažné veličiny, která je stanovena pro emisní limit stacionárního zdroje v právním předpisu.</w:t>
      </w:r>
    </w:p>
    <w:p w14:paraId="73F0D325" w14:textId="77777777" w:rsidR="00A77B3E" w:rsidRPr="0030358C" w:rsidRDefault="00000000">
      <w:pPr>
        <w:pStyle w:val="62"/>
        <w:rPr>
          <w:rFonts w:ascii="Arial" w:hAnsi="Arial" w:cs="Arial"/>
          <w:strike/>
          <w:sz w:val="22"/>
          <w:szCs w:val="22"/>
        </w:rPr>
      </w:pPr>
      <w:r w:rsidRPr="0030358C">
        <w:rPr>
          <w:rFonts w:ascii="Arial" w:hAnsi="Arial" w:cs="Arial"/>
          <w:strike/>
          <w:sz w:val="22"/>
          <w:szCs w:val="22"/>
        </w:rPr>
        <w:t>12    Jednotka měrné výrobní emise (dle číselníku uveřejněného ve Věstníku MŽP).</w:t>
      </w:r>
    </w:p>
    <w:p w14:paraId="78E12082" w14:textId="77777777" w:rsidR="00D52F71" w:rsidRPr="0030358C" w:rsidRDefault="00D52F71" w:rsidP="00D52F71">
      <w:pPr>
        <w:pStyle w:val="62"/>
        <w:ind w:left="0"/>
        <w:rPr>
          <w:rFonts w:ascii="Arial" w:hAnsi="Arial" w:cs="Arial"/>
          <w:b/>
          <w:sz w:val="22"/>
          <w:szCs w:val="22"/>
        </w:rPr>
      </w:pPr>
    </w:p>
    <w:p w14:paraId="6FA914FC" w14:textId="77777777" w:rsidR="00C961B6" w:rsidRPr="0030358C" w:rsidRDefault="00000000" w:rsidP="00D52F71">
      <w:pPr>
        <w:widowControl w:val="0"/>
        <w:suppressAutoHyphens/>
        <w:autoSpaceDE w:val="0"/>
        <w:autoSpaceDN w:val="0"/>
        <w:adjustRightInd w:val="0"/>
        <w:jc w:val="both"/>
        <w:rPr>
          <w:rFonts w:ascii="Arial" w:hAnsi="Arial" w:cs="Arial"/>
          <w:bCs/>
          <w:i/>
          <w:sz w:val="22"/>
          <w:szCs w:val="22"/>
          <w:lang w:eastAsia="ar-SA"/>
        </w:rPr>
      </w:pPr>
      <w:r w:rsidRPr="0030358C">
        <w:rPr>
          <w:rFonts w:ascii="Arial" w:hAnsi="Arial" w:cs="Arial"/>
          <w:bCs/>
          <w:i/>
          <w:sz w:val="22"/>
          <w:szCs w:val="22"/>
          <w:lang w:eastAsia="ar-SA"/>
        </w:rPr>
        <w:t>Znění účinné ode dne nabytí účinnosti vyhlášky</w:t>
      </w:r>
      <w:r w:rsidR="005074BE" w:rsidRPr="0030358C">
        <w:rPr>
          <w:rFonts w:ascii="Arial" w:hAnsi="Arial" w:cs="Arial"/>
          <w:bCs/>
          <w:i/>
          <w:sz w:val="22"/>
          <w:szCs w:val="22"/>
          <w:lang w:eastAsia="ar-SA"/>
        </w:rPr>
        <w:t xml:space="preserve"> </w:t>
      </w:r>
      <w:r w:rsidRPr="0030358C">
        <w:rPr>
          <w:rFonts w:ascii="Arial" w:hAnsi="Arial" w:cs="Arial"/>
          <w:bCs/>
          <w:i/>
          <w:sz w:val="22"/>
          <w:szCs w:val="22"/>
          <w:lang w:eastAsia="ar-SA"/>
        </w:rPr>
        <w:t>do 31. 12. 202</w:t>
      </w:r>
      <w:r w:rsidR="007A2E4F" w:rsidRPr="0030358C">
        <w:rPr>
          <w:rFonts w:ascii="Arial" w:hAnsi="Arial" w:cs="Arial"/>
          <w:bCs/>
          <w:i/>
          <w:sz w:val="22"/>
          <w:szCs w:val="22"/>
          <w:lang w:eastAsia="ar-SA"/>
        </w:rPr>
        <w:t>5</w:t>
      </w:r>
      <w:r w:rsidRPr="0030358C">
        <w:rPr>
          <w:rFonts w:ascii="Arial" w:hAnsi="Arial" w:cs="Arial"/>
          <w:bCs/>
          <w:i/>
          <w:sz w:val="22"/>
          <w:szCs w:val="22"/>
          <w:lang w:eastAsia="ar-SA"/>
        </w:rPr>
        <w:t>:</w:t>
      </w:r>
    </w:p>
    <w:p w14:paraId="4496E7D4" w14:textId="77777777" w:rsidR="00B16C0B" w:rsidRPr="0030358C" w:rsidRDefault="00000000" w:rsidP="00B16C0B">
      <w:pPr>
        <w:pStyle w:val="42"/>
        <w:rPr>
          <w:rFonts w:ascii="Arial" w:hAnsi="Arial" w:cs="Arial"/>
          <w:sz w:val="22"/>
          <w:szCs w:val="22"/>
        </w:rPr>
      </w:pPr>
      <w:bookmarkStart w:id="64" w:name="_Hlk181872763"/>
      <w:bookmarkStart w:id="65" w:name="_Hlk181606351"/>
      <w:r w:rsidRPr="0030358C">
        <w:rPr>
          <w:rFonts w:ascii="Arial" w:hAnsi="Arial" w:cs="Arial"/>
          <w:sz w:val="22"/>
          <w:szCs w:val="22"/>
        </w:rPr>
        <w:t>Příloha č. 11</w:t>
      </w:r>
      <w:r w:rsidR="00AD5854" w:rsidRPr="0030358C">
        <w:rPr>
          <w:rFonts w:ascii="Arial" w:hAnsi="Arial" w:cs="Arial"/>
          <w:sz w:val="22"/>
          <w:szCs w:val="22"/>
        </w:rPr>
        <w:t xml:space="preserve"> </w:t>
      </w:r>
      <w:r w:rsidRPr="0030358C">
        <w:rPr>
          <w:rFonts w:ascii="Arial" w:hAnsi="Arial" w:cs="Arial"/>
          <w:sz w:val="22"/>
          <w:szCs w:val="22"/>
        </w:rPr>
        <w:t>k vyhlášce č. 415/2012 Sb.</w:t>
      </w:r>
    </w:p>
    <w:p w14:paraId="6C489996" w14:textId="77777777" w:rsidR="00B16C0B" w:rsidRPr="0030358C" w:rsidRDefault="00000000" w:rsidP="00C604BD">
      <w:pPr>
        <w:pStyle w:val="62"/>
        <w:jc w:val="center"/>
        <w:rPr>
          <w:rFonts w:ascii="Arial" w:hAnsi="Arial" w:cs="Arial"/>
          <w:b/>
          <w:sz w:val="22"/>
          <w:szCs w:val="22"/>
        </w:rPr>
      </w:pPr>
      <w:r w:rsidRPr="0030358C">
        <w:rPr>
          <w:rFonts w:ascii="Arial" w:hAnsi="Arial" w:cs="Arial"/>
          <w:b/>
          <w:sz w:val="22"/>
          <w:szCs w:val="22"/>
        </w:rPr>
        <w:t>Náležitosti souhrnné provozní evidence</w:t>
      </w:r>
    </w:p>
    <w:p w14:paraId="38390D13" w14:textId="77777777" w:rsidR="00B16C0B" w:rsidRPr="0030358C" w:rsidRDefault="00000000" w:rsidP="00C604BD">
      <w:pPr>
        <w:pStyle w:val="62"/>
        <w:ind w:left="0"/>
        <w:rPr>
          <w:rFonts w:ascii="Arial" w:hAnsi="Arial" w:cs="Arial"/>
          <w:b/>
          <w:sz w:val="22"/>
          <w:szCs w:val="22"/>
        </w:rPr>
      </w:pPr>
      <w:r w:rsidRPr="0030358C">
        <w:rPr>
          <w:rFonts w:ascii="Arial" w:hAnsi="Arial" w:cs="Arial"/>
          <w:b/>
          <w:sz w:val="22"/>
          <w:szCs w:val="22"/>
        </w:rPr>
        <w:t>1</w:t>
      </w:r>
      <w:r w:rsidR="00C604BD" w:rsidRPr="0030358C">
        <w:rPr>
          <w:rFonts w:ascii="Arial" w:hAnsi="Arial" w:cs="Arial"/>
          <w:b/>
          <w:sz w:val="22"/>
          <w:szCs w:val="22"/>
        </w:rPr>
        <w:t>.</w:t>
      </w:r>
      <w:r w:rsidRPr="0030358C">
        <w:rPr>
          <w:rFonts w:ascii="Arial" w:hAnsi="Arial" w:cs="Arial"/>
          <w:b/>
          <w:sz w:val="22"/>
          <w:szCs w:val="22"/>
        </w:rPr>
        <w:t xml:space="preserve"> Obecné pokyny k vyplňování formulářů souhrnné provozní evidence:</w:t>
      </w:r>
    </w:p>
    <w:p w14:paraId="7FB755DC" w14:textId="77777777" w:rsidR="00B16C0B" w:rsidRPr="0030358C" w:rsidRDefault="00000000" w:rsidP="00C604BD">
      <w:pPr>
        <w:pStyle w:val="62"/>
        <w:ind w:left="0"/>
        <w:rPr>
          <w:rFonts w:ascii="Arial" w:hAnsi="Arial" w:cs="Arial"/>
          <w:b/>
          <w:sz w:val="22"/>
          <w:szCs w:val="22"/>
        </w:rPr>
      </w:pPr>
      <w:r w:rsidRPr="0030358C">
        <w:rPr>
          <w:rFonts w:ascii="Arial" w:hAnsi="Arial" w:cs="Arial"/>
          <w:b/>
          <w:sz w:val="22"/>
          <w:szCs w:val="22"/>
        </w:rPr>
        <w:t>a) Spalovací stacionární zdroje uvedené v příloze č. 2 k zákonu pod kódem 1.1. o celkovém jmenovitém tepelném příkonu do 5 MW včetně spalující kapalná nebo plynná paliva a spalovací stacionární zdroje uvedené v příloze č. 2 k zákonu pod kódem 1.1., 1.2. nebo 1.3., na něž se vztahuje ustanovení § 6 odst. 8 zákona, spalující kapalná nebo plynná paliva vykazují údaje uvedené v bodu 1.1. a v bodu 1.2. v položkách 18. a 20. způsobem určeným datovým standardem podle jiného právního předpisu</w:t>
      </w:r>
      <w:r w:rsidR="00347496" w:rsidRPr="0030358C">
        <w:rPr>
          <w:rFonts w:ascii="Arial" w:hAnsi="Arial" w:cs="Arial"/>
          <w:b/>
          <w:sz w:val="22"/>
          <w:szCs w:val="22"/>
          <w:vertAlign w:val="superscript"/>
        </w:rPr>
        <w:t>4</w:t>
      </w:r>
      <w:r w:rsidR="007368FC" w:rsidRPr="0030358C">
        <w:rPr>
          <w:rFonts w:ascii="Arial" w:hAnsi="Arial" w:cs="Arial"/>
          <w:b/>
          <w:sz w:val="22"/>
          <w:szCs w:val="22"/>
          <w:vertAlign w:val="superscript"/>
        </w:rPr>
        <w:t>)</w:t>
      </w:r>
      <w:r w:rsidRPr="0030358C">
        <w:rPr>
          <w:rFonts w:ascii="Arial" w:hAnsi="Arial" w:cs="Arial"/>
          <w:b/>
          <w:sz w:val="22"/>
          <w:szCs w:val="22"/>
        </w:rPr>
        <w:t>. Ostatní údaje uvedené v bodech 1.2., 1.4. a 1.5. neohlašují.</w:t>
      </w:r>
    </w:p>
    <w:p w14:paraId="3765CF76" w14:textId="77777777" w:rsidR="00B16C0B" w:rsidRPr="0030358C" w:rsidRDefault="00000000" w:rsidP="00C604BD">
      <w:pPr>
        <w:pStyle w:val="62"/>
        <w:ind w:left="0"/>
        <w:rPr>
          <w:rFonts w:ascii="Arial" w:hAnsi="Arial" w:cs="Arial"/>
          <w:b/>
          <w:sz w:val="22"/>
          <w:szCs w:val="22"/>
        </w:rPr>
      </w:pPr>
      <w:r w:rsidRPr="0030358C">
        <w:rPr>
          <w:rFonts w:ascii="Arial" w:hAnsi="Arial" w:cs="Arial"/>
          <w:b/>
          <w:sz w:val="22"/>
          <w:szCs w:val="22"/>
        </w:rPr>
        <w:t>b) Stacionární zdroje uvedené v příloze č. 2 k zákonu pod kódem 10.2. vykazují údaje uvedené v bodu 1.1. a v bodu 1.3. v položce 13 způsobem určeným datovým standardem podle jiného právního předpisu</w:t>
      </w:r>
      <w:r w:rsidRPr="0030358C">
        <w:rPr>
          <w:rFonts w:ascii="Arial" w:hAnsi="Arial" w:cs="Arial"/>
          <w:b/>
          <w:sz w:val="22"/>
          <w:szCs w:val="22"/>
          <w:vertAlign w:val="superscript"/>
        </w:rPr>
        <w:t>4</w:t>
      </w:r>
      <w:r w:rsidR="00C604BD" w:rsidRPr="0030358C">
        <w:rPr>
          <w:rFonts w:ascii="Arial" w:hAnsi="Arial" w:cs="Arial"/>
          <w:b/>
          <w:sz w:val="22"/>
          <w:szCs w:val="22"/>
          <w:vertAlign w:val="superscript"/>
        </w:rPr>
        <w:t>)</w:t>
      </w:r>
      <w:r w:rsidRPr="0030358C">
        <w:rPr>
          <w:rFonts w:ascii="Arial" w:hAnsi="Arial" w:cs="Arial"/>
          <w:b/>
          <w:sz w:val="22"/>
          <w:szCs w:val="22"/>
        </w:rPr>
        <w:t>. Ostatní údaje uvedené v bodech 1.3., 1.4. a 1.5. neohlašují.</w:t>
      </w:r>
    </w:p>
    <w:p w14:paraId="57D4A321" w14:textId="77777777" w:rsidR="00B16C0B" w:rsidRPr="0030358C" w:rsidRDefault="00000000" w:rsidP="00C604BD">
      <w:pPr>
        <w:pStyle w:val="62"/>
        <w:ind w:left="0"/>
        <w:rPr>
          <w:rFonts w:ascii="Arial" w:hAnsi="Arial" w:cs="Arial"/>
          <w:b/>
          <w:sz w:val="22"/>
          <w:szCs w:val="22"/>
        </w:rPr>
      </w:pPr>
      <w:r w:rsidRPr="0030358C">
        <w:rPr>
          <w:rFonts w:ascii="Arial" w:hAnsi="Arial" w:cs="Arial"/>
          <w:b/>
          <w:sz w:val="22"/>
          <w:szCs w:val="22"/>
        </w:rPr>
        <w:t>2</w:t>
      </w:r>
      <w:r w:rsidR="00C604BD" w:rsidRPr="0030358C">
        <w:rPr>
          <w:rFonts w:ascii="Arial" w:hAnsi="Arial" w:cs="Arial"/>
          <w:b/>
          <w:sz w:val="22"/>
          <w:szCs w:val="22"/>
        </w:rPr>
        <w:t>.</w:t>
      </w:r>
      <w:r w:rsidRPr="0030358C">
        <w:rPr>
          <w:rFonts w:ascii="Arial" w:hAnsi="Arial" w:cs="Arial"/>
          <w:b/>
          <w:sz w:val="22"/>
          <w:szCs w:val="22"/>
        </w:rPr>
        <w:t xml:space="preserve"> Obecné pokyny k identifikaci provozovny:</w:t>
      </w:r>
    </w:p>
    <w:p w14:paraId="13830AD9" w14:textId="77777777" w:rsidR="00B16C0B" w:rsidRPr="0030358C" w:rsidRDefault="00000000" w:rsidP="00C604BD">
      <w:pPr>
        <w:pStyle w:val="62"/>
        <w:ind w:left="0"/>
        <w:rPr>
          <w:rFonts w:ascii="Arial" w:hAnsi="Arial" w:cs="Arial"/>
          <w:b/>
          <w:sz w:val="22"/>
          <w:szCs w:val="22"/>
        </w:rPr>
      </w:pPr>
      <w:r w:rsidRPr="0030358C">
        <w:rPr>
          <w:rFonts w:ascii="Arial" w:hAnsi="Arial" w:cs="Arial"/>
          <w:b/>
          <w:sz w:val="22"/>
          <w:szCs w:val="22"/>
        </w:rPr>
        <w:t>a) U stacionárních zdrojů</w:t>
      </w:r>
      <w:r w:rsidR="00CE5385" w:rsidRPr="0030358C">
        <w:rPr>
          <w:rFonts w:ascii="Arial" w:hAnsi="Arial" w:cs="Arial"/>
          <w:b/>
          <w:sz w:val="22"/>
          <w:szCs w:val="22"/>
        </w:rPr>
        <w:t>, které mohou být provozovány na více místech</w:t>
      </w:r>
      <w:r w:rsidR="00CE5385" w:rsidRPr="0030358C">
        <w:rPr>
          <w:rFonts w:ascii="Arial" w:hAnsi="Arial" w:cs="Arial"/>
          <w:sz w:val="22"/>
          <w:szCs w:val="22"/>
        </w:rPr>
        <w:t>,</w:t>
      </w:r>
      <w:r w:rsidRPr="0030358C">
        <w:rPr>
          <w:rFonts w:ascii="Arial" w:hAnsi="Arial" w:cs="Arial"/>
          <w:b/>
          <w:sz w:val="22"/>
          <w:szCs w:val="22"/>
        </w:rPr>
        <w:t xml:space="preserve"> </w:t>
      </w:r>
      <w:r w:rsidR="00CE5385" w:rsidRPr="0030358C">
        <w:rPr>
          <w:rFonts w:ascii="Arial" w:hAnsi="Arial" w:cs="Arial"/>
          <w:b/>
          <w:sz w:val="22"/>
          <w:szCs w:val="22"/>
        </w:rPr>
        <w:t xml:space="preserve">a které jsou </w:t>
      </w:r>
      <w:r w:rsidRPr="0030358C">
        <w:rPr>
          <w:rFonts w:ascii="Arial" w:hAnsi="Arial" w:cs="Arial"/>
          <w:b/>
          <w:sz w:val="22"/>
          <w:szCs w:val="22"/>
        </w:rPr>
        <w:t>povolen</w:t>
      </w:r>
      <w:r w:rsidR="00CE5385" w:rsidRPr="0030358C">
        <w:rPr>
          <w:rFonts w:ascii="Arial" w:hAnsi="Arial" w:cs="Arial"/>
          <w:b/>
          <w:sz w:val="22"/>
          <w:szCs w:val="22"/>
        </w:rPr>
        <w:t>y</w:t>
      </w:r>
      <w:r w:rsidRPr="0030358C">
        <w:rPr>
          <w:rFonts w:ascii="Arial" w:hAnsi="Arial" w:cs="Arial"/>
          <w:b/>
          <w:sz w:val="22"/>
          <w:szCs w:val="22"/>
        </w:rPr>
        <w:t xml:space="preserve"> k provozu </w:t>
      </w:r>
      <w:r w:rsidR="002632AF" w:rsidRPr="0030358C">
        <w:rPr>
          <w:rFonts w:ascii="Arial" w:hAnsi="Arial" w:cs="Arial"/>
          <w:b/>
          <w:sz w:val="22"/>
          <w:szCs w:val="22"/>
        </w:rPr>
        <w:t xml:space="preserve">pro celé </w:t>
      </w:r>
      <w:r w:rsidRPr="0030358C">
        <w:rPr>
          <w:rFonts w:ascii="Arial" w:hAnsi="Arial" w:cs="Arial"/>
          <w:b/>
          <w:sz w:val="22"/>
          <w:szCs w:val="22"/>
        </w:rPr>
        <w:t>území kraje</w:t>
      </w:r>
      <w:r w:rsidR="00CE5385" w:rsidRPr="0030358C">
        <w:rPr>
          <w:rFonts w:ascii="Arial" w:hAnsi="Arial" w:cs="Arial"/>
          <w:b/>
          <w:sz w:val="22"/>
          <w:szCs w:val="22"/>
        </w:rPr>
        <w:t>,</w:t>
      </w:r>
      <w:r w:rsidRPr="0030358C">
        <w:rPr>
          <w:rFonts w:ascii="Arial" w:hAnsi="Arial" w:cs="Arial"/>
          <w:b/>
          <w:sz w:val="22"/>
          <w:szCs w:val="22"/>
        </w:rPr>
        <w:t xml:space="preserve"> se uvádí namísto adresy provozovny název krajského úřadu, který vydal povolení provozu zdroje.</w:t>
      </w:r>
    </w:p>
    <w:p w14:paraId="2543E2DA" w14:textId="77777777" w:rsidR="00B16C0B" w:rsidRPr="0030358C" w:rsidRDefault="00000000" w:rsidP="00C604BD">
      <w:pPr>
        <w:pStyle w:val="62"/>
        <w:ind w:left="0"/>
        <w:rPr>
          <w:rFonts w:ascii="Arial" w:hAnsi="Arial" w:cs="Arial"/>
          <w:b/>
          <w:sz w:val="22"/>
          <w:szCs w:val="22"/>
        </w:rPr>
      </w:pPr>
      <w:r w:rsidRPr="0030358C">
        <w:rPr>
          <w:rFonts w:ascii="Arial" w:hAnsi="Arial" w:cs="Arial"/>
          <w:b/>
          <w:sz w:val="22"/>
          <w:szCs w:val="22"/>
        </w:rPr>
        <w:t xml:space="preserve">b) Označení v položce Provádění jednorázového měření se týká stacionárních zdrojů uvedených v bodu 1 písm. a), u kterých se provádí jednorázové měření emisí v intervalu podle § 3 odst. 3.  </w:t>
      </w:r>
    </w:p>
    <w:p w14:paraId="38628BA1" w14:textId="77777777" w:rsidR="007368FC" w:rsidRPr="0030358C" w:rsidRDefault="007368FC" w:rsidP="00C604BD">
      <w:pPr>
        <w:pStyle w:val="62"/>
        <w:ind w:left="0"/>
        <w:rPr>
          <w:rFonts w:ascii="Arial" w:hAnsi="Arial" w:cs="Arial"/>
          <w:b/>
          <w:sz w:val="22"/>
          <w:szCs w:val="22"/>
        </w:rPr>
      </w:pPr>
    </w:p>
    <w:p w14:paraId="37936F70" w14:textId="77777777" w:rsidR="007368FC" w:rsidRPr="0030358C" w:rsidRDefault="007368FC">
      <w:pPr>
        <w:rPr>
          <w:rFonts w:ascii="Arial" w:hAnsi="Arial" w:cs="Arial"/>
          <w:b/>
          <w:sz w:val="22"/>
          <w:szCs w:val="22"/>
        </w:rPr>
      </w:pPr>
    </w:p>
    <w:p w14:paraId="2E26EE43" w14:textId="77777777" w:rsidR="00B16C0B" w:rsidRPr="0030358C" w:rsidRDefault="00000000" w:rsidP="00C604BD">
      <w:pPr>
        <w:pStyle w:val="62"/>
        <w:ind w:left="0"/>
        <w:rPr>
          <w:rFonts w:ascii="Arial" w:hAnsi="Arial" w:cs="Arial"/>
          <w:b/>
          <w:sz w:val="22"/>
          <w:szCs w:val="22"/>
        </w:rPr>
      </w:pPr>
      <w:r w:rsidRPr="0030358C">
        <w:rPr>
          <w:rFonts w:ascii="Arial" w:hAnsi="Arial" w:cs="Arial"/>
          <w:b/>
          <w:sz w:val="22"/>
          <w:szCs w:val="22"/>
        </w:rPr>
        <w:t>1.1. Identifikace provozovatele, provozovny a stacionárních zdrojů</w:t>
      </w:r>
    </w:p>
    <w:p w14:paraId="268F3A43"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tbl>
      <w:tblPr>
        <w:tblW w:w="0" w:type="auto"/>
        <w:tblLook w:val="04A0" w:firstRow="1" w:lastRow="0" w:firstColumn="1" w:lastColumn="0" w:noHBand="0" w:noVBand="1"/>
      </w:tblPr>
      <w:tblGrid>
        <w:gridCol w:w="6160"/>
        <w:gridCol w:w="468"/>
      </w:tblGrid>
      <w:tr w:rsidR="00E40657" w14:paraId="145A7820" w14:textId="77777777" w:rsidTr="00F64C20">
        <w:trPr>
          <w:trHeight w:val="61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FBADF7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 Údaje o provozovateli</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F1C1B9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A7674F1" w14:textId="77777777" w:rsidTr="00F64C20">
        <w:trPr>
          <w:trHeight w:val="450"/>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DBF0D0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Identifikační číslo (IČO)</w:t>
            </w:r>
            <w:r w:rsidRPr="0030358C">
              <w:rPr>
                <w:rFonts w:ascii="Arial" w:hAnsi="Arial" w:cs="Arial"/>
                <w:b/>
                <w:sz w:val="22"/>
                <w:szCs w:val="22"/>
                <w:vertAlign w:val="superscript"/>
              </w:rPr>
              <w:t>1</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564E37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34606A9D" w14:textId="77777777" w:rsidTr="00F64C20">
        <w:trPr>
          <w:trHeight w:val="720"/>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D7103F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Název provozovatele (obchodní firma nebo název nebo jméno a příjmení):</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3B0E57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C1FF305"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1E6D51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Adresa sídla provozovatele:</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F8994D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01107FF"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0BAC46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2. Údaje o provozovně</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80DAF7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2F3A8AD"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86CC27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Identifikační číslo provozovny (IČP)</w:t>
            </w:r>
            <w:r w:rsidRPr="0030358C">
              <w:rPr>
                <w:rFonts w:ascii="Arial" w:hAnsi="Arial" w:cs="Arial"/>
                <w:b/>
                <w:sz w:val="22"/>
                <w:szCs w:val="22"/>
                <w:vertAlign w:val="superscript"/>
              </w:rPr>
              <w:t>2</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F6C25D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395A3BAB"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89AE84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Identifikační číslo provozovny (IRZ)</w:t>
            </w:r>
            <w:r w:rsidRPr="0030358C">
              <w:rPr>
                <w:rFonts w:ascii="Arial" w:hAnsi="Arial" w:cs="Arial"/>
                <w:b/>
                <w:sz w:val="22"/>
                <w:szCs w:val="22"/>
                <w:vertAlign w:val="superscript"/>
              </w:rPr>
              <w:t>3</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9CF1B6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8B3EFF2"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5AFEA6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Identifikátor PID zařízení IPPC</w:t>
            </w:r>
            <w:r w:rsidRPr="0030358C">
              <w:rPr>
                <w:rFonts w:ascii="Arial" w:hAnsi="Arial" w:cs="Arial"/>
                <w:b/>
                <w:sz w:val="22"/>
                <w:szCs w:val="22"/>
                <w:vertAlign w:val="superscript"/>
              </w:rPr>
              <w:t>4</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8BF949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D163FF9"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A08EC4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Územně technická jednotka (ÚTJ)</w:t>
            </w:r>
            <w:r w:rsidRPr="0030358C">
              <w:rPr>
                <w:rFonts w:ascii="Arial" w:hAnsi="Arial" w:cs="Arial"/>
                <w:b/>
                <w:sz w:val="22"/>
                <w:szCs w:val="22"/>
                <w:vertAlign w:val="superscript"/>
              </w:rPr>
              <w:t>5</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35C758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4A6E54B"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9A0EB3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Název provozovny:</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D6C092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52029EF"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1B751D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Adresa zapsaná v registru územní identifikace</w:t>
            </w:r>
            <w:r w:rsidRPr="0030358C">
              <w:rPr>
                <w:rFonts w:ascii="Arial" w:hAnsi="Arial" w:cs="Arial"/>
                <w:b/>
                <w:sz w:val="22"/>
                <w:szCs w:val="22"/>
                <w:vertAlign w:val="superscript"/>
              </w:rPr>
              <w:t>6</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0CAF4D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5DBD337"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DF58E6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Parcela</w:t>
            </w:r>
            <w:r w:rsidRPr="0030358C">
              <w:rPr>
                <w:rFonts w:ascii="Arial" w:hAnsi="Arial" w:cs="Arial"/>
                <w:b/>
                <w:sz w:val="22"/>
                <w:szCs w:val="22"/>
                <w:vertAlign w:val="superscript"/>
              </w:rPr>
              <w:t>7</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06460A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FF45BFA" w14:textId="77777777" w:rsidTr="00F64C20">
        <w:trPr>
          <w:trHeight w:val="283"/>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D42867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Název kraje v případě, že se jedná o provoz zdroje/zdrojů</w:t>
            </w:r>
            <w:r w:rsidR="003039CD" w:rsidRPr="0030358C">
              <w:rPr>
                <w:rFonts w:ascii="Arial" w:hAnsi="Arial" w:cs="Arial"/>
                <w:b/>
                <w:sz w:val="22"/>
                <w:szCs w:val="22"/>
              </w:rPr>
              <w:t>, které mohou být provozovány na více místech</w:t>
            </w:r>
            <w:r w:rsidR="003039CD" w:rsidRPr="0030358C">
              <w:rPr>
                <w:rFonts w:ascii="Arial" w:hAnsi="Arial" w:cs="Arial"/>
                <w:sz w:val="22"/>
                <w:szCs w:val="22"/>
              </w:rPr>
              <w:t>,</w:t>
            </w:r>
            <w:r w:rsidR="003039CD" w:rsidRPr="0030358C">
              <w:rPr>
                <w:rFonts w:ascii="Arial" w:hAnsi="Arial" w:cs="Arial"/>
                <w:b/>
                <w:sz w:val="22"/>
                <w:szCs w:val="22"/>
              </w:rPr>
              <w:t xml:space="preserve"> a které jsou</w:t>
            </w:r>
            <w:r w:rsidRPr="0030358C">
              <w:rPr>
                <w:rFonts w:ascii="Arial" w:hAnsi="Arial" w:cs="Arial"/>
                <w:b/>
                <w:sz w:val="22"/>
                <w:szCs w:val="22"/>
              </w:rPr>
              <w:t xml:space="preserve"> povolen</w:t>
            </w:r>
            <w:r w:rsidR="003039CD" w:rsidRPr="0030358C">
              <w:rPr>
                <w:rFonts w:ascii="Arial" w:hAnsi="Arial" w:cs="Arial"/>
                <w:b/>
                <w:sz w:val="22"/>
                <w:szCs w:val="22"/>
              </w:rPr>
              <w:t>y</w:t>
            </w:r>
            <w:r w:rsidRPr="0030358C">
              <w:rPr>
                <w:rFonts w:ascii="Arial" w:hAnsi="Arial" w:cs="Arial"/>
                <w:b/>
                <w:sz w:val="22"/>
                <w:szCs w:val="22"/>
              </w:rPr>
              <w:t xml:space="preserve"> </w:t>
            </w:r>
            <w:r w:rsidR="003039CD" w:rsidRPr="0030358C">
              <w:rPr>
                <w:rFonts w:ascii="Arial" w:hAnsi="Arial" w:cs="Arial"/>
                <w:b/>
                <w:sz w:val="22"/>
                <w:szCs w:val="22"/>
              </w:rPr>
              <w:t xml:space="preserve">k </w:t>
            </w:r>
            <w:r w:rsidRPr="0030358C">
              <w:rPr>
                <w:rFonts w:ascii="Arial" w:hAnsi="Arial" w:cs="Arial"/>
                <w:b/>
                <w:sz w:val="22"/>
                <w:szCs w:val="22"/>
              </w:rPr>
              <w:t xml:space="preserve">provozu </w:t>
            </w:r>
            <w:r w:rsidR="002632AF" w:rsidRPr="0030358C">
              <w:rPr>
                <w:rFonts w:ascii="Arial" w:hAnsi="Arial" w:cs="Arial"/>
                <w:b/>
                <w:sz w:val="22"/>
                <w:szCs w:val="22"/>
              </w:rPr>
              <w:t xml:space="preserve">pro celé </w:t>
            </w:r>
            <w:r w:rsidRPr="0030358C">
              <w:rPr>
                <w:rFonts w:ascii="Arial" w:hAnsi="Arial" w:cs="Arial"/>
                <w:b/>
                <w:sz w:val="22"/>
                <w:szCs w:val="22"/>
              </w:rPr>
              <w:t>území kraje</w:t>
            </w:r>
            <w:r w:rsidRPr="0030358C">
              <w:rPr>
                <w:rFonts w:ascii="Arial" w:hAnsi="Arial" w:cs="Arial"/>
                <w:b/>
                <w:sz w:val="22"/>
                <w:szCs w:val="22"/>
                <w:vertAlign w:val="superscript"/>
              </w:rPr>
              <w:t>8</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C2DB13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0A04BC7"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C796D3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Provádění jednorázového měření</w:t>
            </w:r>
            <w:r w:rsidRPr="0030358C">
              <w:rPr>
                <w:rFonts w:ascii="Arial" w:hAnsi="Arial" w:cs="Arial"/>
                <w:b/>
                <w:sz w:val="22"/>
                <w:szCs w:val="22"/>
                <w:vertAlign w:val="superscript"/>
              </w:rPr>
              <w:t>9</w:t>
            </w:r>
            <w:r w:rsidRPr="0030358C">
              <w:rPr>
                <w:rFonts w:ascii="Arial" w:hAnsi="Arial" w:cs="Arial"/>
                <w:b/>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95FF0A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A24EE88"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087D69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Souhrnná provozní evidence za rok:</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640AC7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185FF1E"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5DF8BB6" w14:textId="77777777" w:rsidR="00B16C0B" w:rsidRPr="0030358C" w:rsidRDefault="00000000" w:rsidP="00B16C0B">
            <w:pPr>
              <w:pStyle w:val="62"/>
              <w:ind w:left="0"/>
              <w:rPr>
                <w:rFonts w:ascii="Arial" w:hAnsi="Arial" w:cs="Arial"/>
                <w:b/>
                <w:sz w:val="22"/>
                <w:szCs w:val="22"/>
                <w:vertAlign w:val="superscript"/>
              </w:rPr>
            </w:pPr>
            <w:r w:rsidRPr="0030358C">
              <w:rPr>
                <w:rFonts w:ascii="Arial" w:hAnsi="Arial" w:cs="Arial"/>
                <w:b/>
                <w:sz w:val="22"/>
                <w:szCs w:val="22"/>
              </w:rPr>
              <w:t>3. Údaje o stacionárních zdrojích</w:t>
            </w:r>
            <w:r w:rsidRPr="0030358C">
              <w:rPr>
                <w:rFonts w:ascii="Arial" w:hAnsi="Arial" w:cs="Arial"/>
                <w:b/>
                <w:sz w:val="22"/>
                <w:szCs w:val="22"/>
                <w:vertAlign w:val="superscript"/>
              </w:rPr>
              <w:t>10</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BFF705A" w14:textId="77777777" w:rsidR="00B16C0B" w:rsidRPr="0030358C" w:rsidRDefault="00B16C0B" w:rsidP="00B16C0B">
            <w:pPr>
              <w:pStyle w:val="62"/>
              <w:ind w:left="0"/>
              <w:rPr>
                <w:rFonts w:ascii="Arial" w:hAnsi="Arial" w:cs="Arial"/>
                <w:b/>
                <w:sz w:val="22"/>
                <w:szCs w:val="22"/>
              </w:rPr>
            </w:pPr>
          </w:p>
        </w:tc>
      </w:tr>
      <w:tr w:rsidR="00E40657" w14:paraId="2B4E6034"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C98F43F" w14:textId="77777777" w:rsidR="00B16C0B" w:rsidRPr="0030358C" w:rsidRDefault="00000000" w:rsidP="00B16C0B">
            <w:pPr>
              <w:pStyle w:val="62"/>
              <w:ind w:left="0"/>
              <w:rPr>
                <w:rFonts w:ascii="Arial" w:hAnsi="Arial" w:cs="Arial"/>
                <w:b/>
                <w:sz w:val="22"/>
                <w:szCs w:val="22"/>
                <w:vertAlign w:val="superscript"/>
              </w:rPr>
            </w:pPr>
            <w:r w:rsidRPr="0030358C">
              <w:rPr>
                <w:rFonts w:ascii="Arial" w:hAnsi="Arial" w:cs="Arial"/>
                <w:b/>
                <w:sz w:val="22"/>
                <w:szCs w:val="22"/>
              </w:rPr>
              <w:t xml:space="preserve">Pořadové číslo stacionárního zdroje </w:t>
            </w:r>
            <w:r w:rsidRPr="0030358C">
              <w:rPr>
                <w:rFonts w:ascii="Arial" w:hAnsi="Arial" w:cs="Arial"/>
                <w:b/>
                <w:sz w:val="22"/>
                <w:szCs w:val="22"/>
                <w:vertAlign w:val="superscript"/>
              </w:rPr>
              <w:t>11</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2DEE044" w14:textId="77777777" w:rsidR="00B16C0B" w:rsidRPr="0030358C" w:rsidRDefault="00B16C0B" w:rsidP="00B16C0B">
            <w:pPr>
              <w:pStyle w:val="62"/>
              <w:rPr>
                <w:rFonts w:ascii="Arial" w:hAnsi="Arial" w:cs="Arial"/>
                <w:b/>
                <w:sz w:val="22"/>
                <w:szCs w:val="22"/>
              </w:rPr>
            </w:pPr>
          </w:p>
        </w:tc>
      </w:tr>
      <w:tr w:rsidR="00E40657" w14:paraId="7F5FAC68"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8CD7A03" w14:textId="77777777" w:rsidR="00B16C0B" w:rsidRPr="0030358C" w:rsidRDefault="00000000" w:rsidP="00B16C0B">
            <w:pPr>
              <w:pStyle w:val="62"/>
              <w:ind w:left="0"/>
              <w:rPr>
                <w:rFonts w:ascii="Arial" w:hAnsi="Arial" w:cs="Arial"/>
                <w:b/>
                <w:sz w:val="22"/>
                <w:szCs w:val="22"/>
                <w:vertAlign w:val="superscript"/>
              </w:rPr>
            </w:pPr>
            <w:r w:rsidRPr="0030358C">
              <w:rPr>
                <w:rFonts w:ascii="Arial" w:hAnsi="Arial" w:cs="Arial"/>
                <w:b/>
                <w:sz w:val="22"/>
                <w:szCs w:val="22"/>
              </w:rPr>
              <w:t>Zařazení stacionárního zdroje podle zákona</w:t>
            </w:r>
            <w:r w:rsidRPr="0030358C">
              <w:rPr>
                <w:rFonts w:ascii="Arial" w:hAnsi="Arial" w:cs="Arial"/>
                <w:b/>
                <w:sz w:val="22"/>
                <w:szCs w:val="22"/>
                <w:vertAlign w:val="superscript"/>
              </w:rPr>
              <w:t>12</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DCEBE18" w14:textId="77777777" w:rsidR="00B16C0B" w:rsidRPr="0030358C" w:rsidRDefault="00B16C0B" w:rsidP="00B16C0B">
            <w:pPr>
              <w:pStyle w:val="62"/>
              <w:rPr>
                <w:rFonts w:ascii="Arial" w:hAnsi="Arial" w:cs="Arial"/>
                <w:b/>
                <w:sz w:val="22"/>
                <w:szCs w:val="22"/>
              </w:rPr>
            </w:pPr>
          </w:p>
        </w:tc>
      </w:tr>
      <w:tr w:rsidR="00E40657" w14:paraId="53A96478"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465FE35" w14:textId="77777777" w:rsidR="00B16C0B" w:rsidRPr="0030358C" w:rsidRDefault="00000000" w:rsidP="00B16C0B">
            <w:pPr>
              <w:pStyle w:val="62"/>
              <w:ind w:left="0"/>
              <w:rPr>
                <w:rFonts w:ascii="Arial" w:hAnsi="Arial" w:cs="Arial"/>
                <w:b/>
                <w:sz w:val="22"/>
                <w:szCs w:val="22"/>
                <w:vertAlign w:val="superscript"/>
              </w:rPr>
            </w:pPr>
            <w:r w:rsidRPr="0030358C">
              <w:rPr>
                <w:rFonts w:ascii="Arial" w:hAnsi="Arial" w:cs="Arial"/>
                <w:b/>
                <w:sz w:val="22"/>
                <w:szCs w:val="22"/>
              </w:rPr>
              <w:t>Název stacionárního zdroje</w:t>
            </w:r>
            <w:r w:rsidRPr="0030358C">
              <w:rPr>
                <w:rFonts w:ascii="Arial" w:hAnsi="Arial" w:cs="Arial"/>
                <w:b/>
                <w:sz w:val="22"/>
                <w:szCs w:val="22"/>
                <w:vertAlign w:val="superscript"/>
              </w:rPr>
              <w:t>13</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7D5E470" w14:textId="77777777" w:rsidR="00B16C0B" w:rsidRPr="0030358C" w:rsidRDefault="00B16C0B" w:rsidP="00B16C0B">
            <w:pPr>
              <w:pStyle w:val="62"/>
              <w:rPr>
                <w:rFonts w:ascii="Arial" w:hAnsi="Arial" w:cs="Arial"/>
                <w:b/>
                <w:sz w:val="22"/>
                <w:szCs w:val="22"/>
              </w:rPr>
            </w:pPr>
          </w:p>
        </w:tc>
      </w:tr>
      <w:tr w:rsidR="00E40657" w14:paraId="4783835F"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48029E2" w14:textId="77777777" w:rsidR="00B16C0B" w:rsidRPr="0030358C" w:rsidRDefault="00000000" w:rsidP="00B16C0B">
            <w:pPr>
              <w:pStyle w:val="62"/>
              <w:ind w:left="0"/>
              <w:rPr>
                <w:rFonts w:ascii="Arial" w:hAnsi="Arial" w:cs="Arial"/>
                <w:b/>
                <w:sz w:val="22"/>
                <w:szCs w:val="22"/>
                <w:vertAlign w:val="superscript"/>
              </w:rPr>
            </w:pPr>
            <w:r w:rsidRPr="0030358C">
              <w:rPr>
                <w:rFonts w:ascii="Arial" w:hAnsi="Arial" w:cs="Arial"/>
                <w:b/>
                <w:sz w:val="22"/>
                <w:szCs w:val="22"/>
              </w:rPr>
              <w:t xml:space="preserve">Způsob určení minimální vzdálenosti podle § </w:t>
            </w:r>
            <w:r w:rsidR="00CB476E" w:rsidRPr="0030358C">
              <w:rPr>
                <w:rFonts w:ascii="Arial" w:hAnsi="Arial" w:cs="Arial"/>
                <w:b/>
                <w:sz w:val="22"/>
                <w:szCs w:val="22"/>
              </w:rPr>
              <w:t>27d</w:t>
            </w:r>
            <w:r w:rsidR="00CB476E" w:rsidRPr="0030358C">
              <w:rPr>
                <w:rFonts w:ascii="Arial" w:hAnsi="Arial" w:cs="Arial"/>
                <w:b/>
                <w:sz w:val="22"/>
                <w:szCs w:val="22"/>
                <w:vertAlign w:val="superscript"/>
              </w:rPr>
              <w:t>14</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3D39838" w14:textId="77777777" w:rsidR="00B16C0B" w:rsidRPr="0030358C" w:rsidRDefault="00B16C0B" w:rsidP="00B16C0B">
            <w:pPr>
              <w:pStyle w:val="62"/>
              <w:rPr>
                <w:rFonts w:ascii="Arial" w:hAnsi="Arial" w:cs="Arial"/>
                <w:b/>
                <w:sz w:val="22"/>
                <w:szCs w:val="22"/>
              </w:rPr>
            </w:pPr>
          </w:p>
        </w:tc>
      </w:tr>
      <w:tr w:rsidR="00E40657" w14:paraId="51476634" w14:textId="77777777" w:rsidTr="00F64C2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B53A3FD" w14:textId="77777777" w:rsidR="00B16C0B" w:rsidRPr="0030358C" w:rsidRDefault="00000000" w:rsidP="00B16C0B">
            <w:pPr>
              <w:pStyle w:val="62"/>
              <w:ind w:left="0"/>
              <w:rPr>
                <w:rFonts w:ascii="Arial" w:hAnsi="Arial" w:cs="Arial"/>
                <w:b/>
                <w:sz w:val="22"/>
                <w:szCs w:val="22"/>
                <w:vertAlign w:val="superscript"/>
              </w:rPr>
            </w:pPr>
            <w:r w:rsidRPr="0030358C">
              <w:rPr>
                <w:rFonts w:ascii="Arial" w:hAnsi="Arial" w:cs="Arial"/>
                <w:b/>
                <w:sz w:val="22"/>
                <w:szCs w:val="22"/>
              </w:rPr>
              <w:t>GPS souřadnice stacionárního zdroje</w:t>
            </w:r>
            <w:r w:rsidRPr="0030358C">
              <w:rPr>
                <w:rFonts w:ascii="Arial" w:hAnsi="Arial" w:cs="Arial"/>
                <w:b/>
                <w:sz w:val="22"/>
                <w:szCs w:val="22"/>
                <w:vertAlign w:val="superscript"/>
              </w:rPr>
              <w:t>15</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2C6D788" w14:textId="77777777" w:rsidR="00B16C0B" w:rsidRPr="0030358C" w:rsidRDefault="00B16C0B" w:rsidP="00B16C0B">
            <w:pPr>
              <w:pStyle w:val="62"/>
              <w:ind w:left="0"/>
              <w:rPr>
                <w:rFonts w:ascii="Arial" w:hAnsi="Arial" w:cs="Arial"/>
                <w:b/>
                <w:sz w:val="22"/>
                <w:szCs w:val="22"/>
              </w:rPr>
            </w:pPr>
          </w:p>
        </w:tc>
      </w:tr>
    </w:tbl>
    <w:p w14:paraId="3B28C503"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p w14:paraId="261AE20D"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Vysvětlivky k tabulce:</w:t>
      </w:r>
    </w:p>
    <w:p w14:paraId="705EDE04" w14:textId="77777777" w:rsidR="00A63993" w:rsidRPr="0030358C" w:rsidRDefault="00000000" w:rsidP="00A63993">
      <w:pPr>
        <w:pStyle w:val="62"/>
        <w:ind w:left="0"/>
        <w:rPr>
          <w:rFonts w:ascii="Arial" w:hAnsi="Arial" w:cs="Arial"/>
          <w:b/>
          <w:sz w:val="22"/>
          <w:szCs w:val="22"/>
        </w:rPr>
      </w:pPr>
      <w:r w:rsidRPr="0030358C">
        <w:rPr>
          <w:rFonts w:ascii="Arial" w:hAnsi="Arial" w:cs="Arial"/>
          <w:b/>
          <w:sz w:val="22"/>
          <w:szCs w:val="22"/>
        </w:rPr>
        <w:t>1) Identifikační číslo (IČO), bylo-li přiděleno. Fyzické osoby bez IČO vyplní ID přidělené v ISPOP.</w:t>
      </w:r>
    </w:p>
    <w:p w14:paraId="027842BB" w14:textId="77777777" w:rsidR="00B16C0B" w:rsidRPr="0030358C" w:rsidRDefault="00000000" w:rsidP="00A63993">
      <w:pPr>
        <w:pStyle w:val="62"/>
        <w:ind w:left="0"/>
        <w:rPr>
          <w:rFonts w:ascii="Arial" w:hAnsi="Arial" w:cs="Arial"/>
          <w:b/>
          <w:sz w:val="22"/>
          <w:szCs w:val="22"/>
        </w:rPr>
      </w:pPr>
      <w:r w:rsidRPr="0030358C">
        <w:rPr>
          <w:rFonts w:ascii="Arial" w:hAnsi="Arial" w:cs="Arial"/>
          <w:b/>
          <w:sz w:val="22"/>
          <w:szCs w:val="22"/>
        </w:rPr>
        <w:t xml:space="preserve">2) Identifikační číslo provozovny (IČP) přidělené v ISPOP – označení provozovny, ve které je provozován jeden nebo více stacionárních zdrojů nebo jeden nebo více </w:t>
      </w:r>
      <w:r w:rsidRPr="0030358C">
        <w:rPr>
          <w:rFonts w:ascii="Arial" w:hAnsi="Arial" w:cs="Arial"/>
          <w:b/>
          <w:sz w:val="22"/>
          <w:szCs w:val="22"/>
        </w:rPr>
        <w:lastRenderedPageBreak/>
        <w:t>stacionárních zdrojů s povolením provozu na území kraje.</w:t>
      </w:r>
      <w:r w:rsidRPr="0030358C">
        <w:rPr>
          <w:rFonts w:ascii="Arial" w:hAnsi="Arial" w:cs="Arial"/>
          <w:b/>
          <w:sz w:val="22"/>
          <w:szCs w:val="22"/>
          <w:vertAlign w:val="superscript"/>
        </w:rPr>
        <w:t>3)</w:t>
      </w:r>
      <w:r w:rsidRPr="0030358C">
        <w:rPr>
          <w:rFonts w:ascii="Arial" w:hAnsi="Arial" w:cs="Arial"/>
          <w:b/>
          <w:sz w:val="22"/>
          <w:szCs w:val="22"/>
        </w:rPr>
        <w:t xml:space="preserve"> Identifikační číslo provozovny IRZ (integrovaný registr znečišťování životního prostředí), bylo-li přiděleno.</w:t>
      </w:r>
    </w:p>
    <w:p w14:paraId="5AA4BC66"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4) Identifikátor PID zařízení IPPC (integrovaná prevence a omezování znečištění), byl-li přidělen.</w:t>
      </w:r>
    </w:p>
    <w:p w14:paraId="7CDC854C"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5) Územně technickou jednotkou se rozumí jednotka, která je vymezena jako katastrální území nebo jeho část. Názvy a kódy ÚTJ jsou součástí METIS, vedeného ČSÚ, který je garantem vedení číselníku územně technických jednotek.</w:t>
      </w:r>
      <w:r w:rsidR="00666B40" w:rsidRPr="0030358C">
        <w:rPr>
          <w:rFonts w:ascii="Arial" w:hAnsi="Arial" w:cs="Arial"/>
          <w:b/>
          <w:sz w:val="22"/>
          <w:szCs w:val="22"/>
        </w:rPr>
        <w:t xml:space="preserve"> V případě zdroje </w:t>
      </w:r>
      <w:r w:rsidR="00500F5B" w:rsidRPr="0030358C">
        <w:rPr>
          <w:rFonts w:ascii="Arial" w:hAnsi="Arial" w:cs="Arial"/>
          <w:b/>
          <w:sz w:val="22"/>
          <w:szCs w:val="22"/>
        </w:rPr>
        <w:t>uvedeného v bodě</w:t>
      </w:r>
      <w:r w:rsidR="00666B40" w:rsidRPr="0030358C">
        <w:rPr>
          <w:rFonts w:ascii="Arial" w:hAnsi="Arial" w:cs="Arial"/>
          <w:b/>
          <w:sz w:val="22"/>
          <w:szCs w:val="22"/>
        </w:rPr>
        <w:t xml:space="preserve"> </w:t>
      </w:r>
      <w:r w:rsidR="00500F5B" w:rsidRPr="0030358C">
        <w:rPr>
          <w:rFonts w:ascii="Arial" w:hAnsi="Arial" w:cs="Arial"/>
          <w:b/>
          <w:sz w:val="22"/>
          <w:szCs w:val="22"/>
        </w:rPr>
        <w:t>2 písm. a)</w:t>
      </w:r>
      <w:r w:rsidR="00FB0073" w:rsidRPr="0030358C">
        <w:rPr>
          <w:rFonts w:ascii="Arial" w:hAnsi="Arial" w:cs="Arial"/>
          <w:b/>
          <w:sz w:val="22"/>
          <w:szCs w:val="22"/>
        </w:rPr>
        <w:t xml:space="preserve"> </w:t>
      </w:r>
      <w:r w:rsidR="00666B40" w:rsidRPr="0030358C">
        <w:rPr>
          <w:rFonts w:ascii="Arial" w:hAnsi="Arial" w:cs="Arial"/>
          <w:b/>
          <w:sz w:val="22"/>
          <w:szCs w:val="22"/>
        </w:rPr>
        <w:t>se tento údaj nevyplňuje.</w:t>
      </w:r>
    </w:p>
    <w:p w14:paraId="32F2A933"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6) Adresa evidovaná v Registru územní identifikace, adres a nemovitostí podle vyhlášky 359/2011 Sb. o základním registru územní identifikace, adres a nemovitostí.</w:t>
      </w:r>
    </w:p>
    <w:p w14:paraId="2251D548"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7) Parcela související s provozem zdroje/zdrojů v případě, že není k dispozici adresa evidovaná v Registru územní identifikace, adres a nemovitostí. Pokyny k výběru parcely určuje provozovatel ISPOP.</w:t>
      </w:r>
    </w:p>
    <w:p w14:paraId="386FF722"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 xml:space="preserve">8) V případě zdroje </w:t>
      </w:r>
      <w:r w:rsidR="00500F5B" w:rsidRPr="0030358C">
        <w:rPr>
          <w:rFonts w:ascii="Arial" w:hAnsi="Arial" w:cs="Arial"/>
          <w:b/>
          <w:sz w:val="22"/>
          <w:szCs w:val="22"/>
        </w:rPr>
        <w:t>uvedeného v bodě 2 písm. a)</w:t>
      </w:r>
      <w:r w:rsidR="00FB0073" w:rsidRPr="0030358C">
        <w:rPr>
          <w:rFonts w:ascii="Arial" w:hAnsi="Arial" w:cs="Arial"/>
          <w:b/>
          <w:sz w:val="22"/>
          <w:szCs w:val="22"/>
        </w:rPr>
        <w:t xml:space="preserve"> </w:t>
      </w:r>
      <w:r w:rsidRPr="0030358C">
        <w:rPr>
          <w:rFonts w:ascii="Arial" w:hAnsi="Arial" w:cs="Arial"/>
          <w:b/>
          <w:sz w:val="22"/>
          <w:szCs w:val="22"/>
        </w:rPr>
        <w:t>se uvede název krajského úřadu, který vydal povolení provozu zdroje.</w:t>
      </w:r>
    </w:p>
    <w:p w14:paraId="3A68B43C" w14:textId="77777777" w:rsidR="00A63993" w:rsidRPr="0030358C" w:rsidRDefault="00000000" w:rsidP="00A63993">
      <w:pPr>
        <w:pStyle w:val="62"/>
        <w:ind w:left="0"/>
        <w:rPr>
          <w:rFonts w:ascii="Arial" w:hAnsi="Arial" w:cs="Arial"/>
          <w:b/>
          <w:sz w:val="22"/>
          <w:szCs w:val="22"/>
        </w:rPr>
      </w:pPr>
      <w:r w:rsidRPr="0030358C">
        <w:rPr>
          <w:rFonts w:ascii="Arial" w:hAnsi="Arial" w:cs="Arial"/>
          <w:b/>
          <w:sz w:val="22"/>
          <w:szCs w:val="22"/>
        </w:rPr>
        <w:t>9) U provozovny, za kterou se provádí ohlašování podle bodu 1 písm. a), se uvede, zda se provádí pravidelné měření emisí (v intervalech podle § 3 odst. 3 písm. b) bodu 1).</w:t>
      </w:r>
    </w:p>
    <w:p w14:paraId="5DD73651" w14:textId="77777777" w:rsidR="00A63993" w:rsidRPr="0030358C" w:rsidRDefault="00000000" w:rsidP="00A63993">
      <w:pPr>
        <w:pStyle w:val="62"/>
        <w:ind w:left="0"/>
        <w:rPr>
          <w:rFonts w:ascii="Arial" w:hAnsi="Arial" w:cs="Arial"/>
          <w:b/>
          <w:sz w:val="22"/>
          <w:szCs w:val="22"/>
        </w:rPr>
      </w:pPr>
      <w:r w:rsidRPr="0030358C">
        <w:rPr>
          <w:rFonts w:ascii="Arial" w:hAnsi="Arial" w:cs="Arial"/>
          <w:b/>
          <w:sz w:val="22"/>
          <w:szCs w:val="22"/>
        </w:rPr>
        <w:t>10) Vztahuje se na stacionární zdroje, pro které jsou stanoveny minimální vzdálenosti podle §12a zákona.</w:t>
      </w:r>
    </w:p>
    <w:p w14:paraId="244B9712"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11)  Pořadové číslo stacionárního zdroje v rámci provozovny.</w:t>
      </w:r>
    </w:p>
    <w:p w14:paraId="02EF589F"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12) Zařazení stacionárního zdroje do kategorie podle přílohy č. 2</w:t>
      </w:r>
      <w:r w:rsidR="00C212D4" w:rsidRPr="0030358C">
        <w:rPr>
          <w:rFonts w:ascii="Arial" w:hAnsi="Arial" w:cs="Arial"/>
          <w:b/>
          <w:sz w:val="22"/>
          <w:szCs w:val="22"/>
        </w:rPr>
        <w:t>a</w:t>
      </w:r>
      <w:r w:rsidRPr="0030358C">
        <w:rPr>
          <w:rFonts w:ascii="Arial" w:hAnsi="Arial" w:cs="Arial"/>
          <w:b/>
          <w:sz w:val="22"/>
          <w:szCs w:val="22"/>
        </w:rPr>
        <w:t xml:space="preserve"> zákona (dle číselníku uveřejněného ve Věstníku MŽP).</w:t>
      </w:r>
    </w:p>
    <w:p w14:paraId="33277F63" w14:textId="77777777" w:rsidR="000261E9" w:rsidRPr="0030358C" w:rsidRDefault="00000000" w:rsidP="007368FC">
      <w:pPr>
        <w:pStyle w:val="62"/>
        <w:ind w:left="0"/>
        <w:rPr>
          <w:rFonts w:ascii="Arial" w:hAnsi="Arial" w:cs="Arial"/>
          <w:b/>
          <w:sz w:val="22"/>
          <w:szCs w:val="22"/>
        </w:rPr>
      </w:pPr>
      <w:r w:rsidRPr="0030358C">
        <w:rPr>
          <w:rFonts w:ascii="Arial" w:hAnsi="Arial" w:cs="Arial"/>
          <w:b/>
          <w:sz w:val="22"/>
          <w:szCs w:val="22"/>
        </w:rPr>
        <w:t>13) Název jiného stacionárního zdroje dle provozního řádu a není-li tento vyžadován, dle povolení k provozu nebo technické dokumentace.</w:t>
      </w:r>
    </w:p>
    <w:p w14:paraId="0D4ED894"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 xml:space="preserve">14) Způsob určení minimální vzdálenosti podle § </w:t>
      </w:r>
      <w:r w:rsidR="00CB476E" w:rsidRPr="0030358C">
        <w:rPr>
          <w:rFonts w:ascii="Arial" w:hAnsi="Arial" w:cs="Arial"/>
          <w:b/>
          <w:sz w:val="22"/>
          <w:szCs w:val="22"/>
        </w:rPr>
        <w:t xml:space="preserve">27d </w:t>
      </w:r>
      <w:r w:rsidRPr="0030358C">
        <w:rPr>
          <w:rFonts w:ascii="Arial" w:hAnsi="Arial" w:cs="Arial"/>
          <w:b/>
          <w:sz w:val="22"/>
          <w:szCs w:val="22"/>
        </w:rPr>
        <w:t>(dle číselníku uveřejněného ve Věstníku MŽP).</w:t>
      </w:r>
    </w:p>
    <w:p w14:paraId="24D7678E"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15) GPS souřadnice geometrického středu stacionárního zdroje, ve formátu WGS 84 DD (World Geodetic System), běžně používaném GPS přístroji.</w:t>
      </w:r>
    </w:p>
    <w:p w14:paraId="76AC787E" w14:textId="77777777" w:rsidR="00EC5971" w:rsidRPr="0030358C" w:rsidRDefault="00EC5971" w:rsidP="00EC5971">
      <w:pPr>
        <w:rPr>
          <w:rFonts w:ascii="Arial" w:hAnsi="Arial" w:cs="Arial"/>
          <w:b/>
          <w:sz w:val="22"/>
          <w:szCs w:val="22"/>
        </w:rPr>
      </w:pPr>
    </w:p>
    <w:p w14:paraId="519765AB" w14:textId="77777777" w:rsidR="00B16C0B" w:rsidRPr="0030358C" w:rsidRDefault="00000000" w:rsidP="00EC5971">
      <w:pPr>
        <w:rPr>
          <w:rFonts w:ascii="Arial" w:hAnsi="Arial" w:cs="Arial"/>
          <w:b/>
          <w:sz w:val="22"/>
          <w:szCs w:val="22"/>
        </w:rPr>
      </w:pPr>
      <w:r w:rsidRPr="0030358C">
        <w:rPr>
          <w:rFonts w:ascii="Arial" w:hAnsi="Arial" w:cs="Arial"/>
          <w:b/>
          <w:sz w:val="22"/>
          <w:szCs w:val="22"/>
        </w:rPr>
        <w:t>1.2. Souhrnná provozní evidence spalovacích stacionárních zdrojů a spaloven odpadů</w:t>
      </w:r>
    </w:p>
    <w:p w14:paraId="3824408A"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tbl>
      <w:tblPr>
        <w:tblW w:w="0" w:type="auto"/>
        <w:tblLook w:val="04A0" w:firstRow="1" w:lastRow="0" w:firstColumn="1" w:lastColumn="0" w:noHBand="0" w:noVBand="1"/>
      </w:tblPr>
      <w:tblGrid>
        <w:gridCol w:w="1657"/>
        <w:gridCol w:w="4700"/>
        <w:gridCol w:w="2434"/>
        <w:gridCol w:w="259"/>
      </w:tblGrid>
      <w:tr w:rsidR="00E40657" w14:paraId="61D6A5CE"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1CCCBC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8B3068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Pořadové číslo stacionárního zdroje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70E7CC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6311F5E9"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2A3A7C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B6946C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Zařazení stacionárního zdroje podle zákona</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0CC277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32C7F48"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313E02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C8B49A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Datum vydání povolení provozu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696684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6EDF492"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D1BCC2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E744D6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Datum uvedení do provozu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EC9988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6159CD04"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1CC6A5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A187BA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Název stacionárního zdroje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84B71C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6D9BE1A"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D1B02D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04903F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Tepelná účinnost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C2AF3D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65FF0669"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A5E9EF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B06754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Jmenovitý tepelný výkon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1CDFA1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3CDB7B0" w14:textId="77777777" w:rsidTr="00F64C20">
        <w:trPr>
          <w:trHeight w:val="55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3A5D8B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C78A86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Instalovaný elektrický výkon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BE10D7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FFA20C7"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60CBCA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1ADDA6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Jmenovitý tepelný příkon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59FD6A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B72942C"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9C862E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lastRenderedPageBreak/>
              <w:t>10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78702B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Celkový jmenovitý tepelný příkon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17F4B2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4F08526"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5AB2BA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2B5C2E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Projektovaná kapacita spalovny odpadu [t/rok]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203556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AC3D72C"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A30BAC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A7A321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Druh topeniště</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CDFA4D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BDBE0B3"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622919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739440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Provozní hodiny [h/rok]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AF45E8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CA612CC"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D48039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EBE025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Celkové provozní hodiny [h/rok]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A6D42B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E39FB28"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A2BD02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DDE7E2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Využití kapacity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B9996C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6E14E62B"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164DD1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583621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Teplo dodané k využití ze stacionárního zdroje [GJ/rok]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C582F2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317F7F1" w14:textId="77777777" w:rsidTr="00F64C20">
        <w:trPr>
          <w:trHeight w:val="720"/>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2CEF00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7DA8E9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Podíl tepla dodaného ve formě páry nebo horké vody do soustavy zásobování tepelnou energií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69DE99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3C71BFF1"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98F8C1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2FE9A1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Druh paliva nebo odpadu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C6A134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FC8D01B"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2DD48D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E40DE4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Výhřevnost paliva [kJ/kg, kJ/m</w:t>
            </w:r>
            <w:r w:rsidR="00F47DF9" w:rsidRPr="0030358C">
              <w:rPr>
                <w:rFonts w:ascii="Arial" w:hAnsi="Arial" w:cs="Arial"/>
                <w:b/>
                <w:sz w:val="22"/>
                <w:szCs w:val="22"/>
                <w:vertAlign w:val="superscript"/>
              </w:rPr>
              <w:t>3</w:t>
            </w:r>
            <w:r w:rsidRPr="0030358C">
              <w:rPr>
                <w:rFonts w:ascii="Arial" w:hAnsi="Arial" w:cs="Arial"/>
                <w:b/>
                <w:sz w:val="22"/>
                <w:szCs w:val="22"/>
              </w:rPr>
              <w: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99B8EF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EA9639B"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5E479F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20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928EB7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Spotřeba paliva nebo odpadů [t/rok, tis. m</w:t>
            </w:r>
            <w:r w:rsidRPr="0030358C">
              <w:rPr>
                <w:rFonts w:ascii="Arial" w:hAnsi="Arial" w:cs="Arial"/>
                <w:b/>
                <w:sz w:val="22"/>
                <w:szCs w:val="22"/>
                <w:vertAlign w:val="superscript"/>
              </w:rPr>
              <w:t>3</w:t>
            </w:r>
            <w:r w:rsidRPr="0030358C">
              <w:rPr>
                <w:rFonts w:ascii="Arial" w:hAnsi="Arial" w:cs="Arial"/>
                <w:b/>
                <w:sz w:val="22"/>
                <w:szCs w:val="22"/>
              </w:rPr>
              <w:t>/rok]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1DE77D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BBEE219" w14:textId="77777777" w:rsidTr="00F64C2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35EF0A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21</w:t>
            </w:r>
          </w:p>
        </w:tc>
        <w:tc>
          <w:tcPr>
            <w:tcW w:w="6982"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C41F04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Emise znečišťujících látek [t/rok]</w:t>
            </w:r>
          </w:p>
        </w:tc>
        <w:tc>
          <w:tcPr>
            <w:tcW w:w="408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8AAEE6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0893B9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bl>
    <w:p w14:paraId="54F4AA4E"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p w14:paraId="493653C8" w14:textId="77777777" w:rsidR="00B16C0B" w:rsidRPr="0030358C" w:rsidRDefault="00000000" w:rsidP="00EC5971">
      <w:pPr>
        <w:rPr>
          <w:rFonts w:ascii="Arial" w:hAnsi="Arial" w:cs="Arial"/>
          <w:b/>
          <w:sz w:val="22"/>
          <w:szCs w:val="22"/>
        </w:rPr>
      </w:pPr>
      <w:r w:rsidRPr="0030358C">
        <w:rPr>
          <w:rFonts w:ascii="Arial" w:hAnsi="Arial" w:cs="Arial"/>
          <w:b/>
          <w:sz w:val="22"/>
          <w:szCs w:val="22"/>
        </w:rPr>
        <w:t>Vysvětlivky a návod pro vyplnění údajů podle čísla řádku:</w:t>
      </w:r>
    </w:p>
    <w:p w14:paraId="4438EEEE"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 </w:t>
      </w:r>
    </w:p>
    <w:p w14:paraId="5733010B"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V případě spalovacích stacionárních zdrojů označených stejným kódem podle přílohy č. 2 k zákonu o jmenovitém tepelném příkonu do 1 MW včetně, spalujících plynná paliva, se níže uvedené údaje vyplňují souhrnně.</w:t>
      </w:r>
    </w:p>
    <w:p w14:paraId="5ABBE201"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 xml:space="preserve">1 Pořadové číslo stacionárního zdroje v rámci provozovny, </w:t>
      </w:r>
      <w:r w:rsidR="006441D4" w:rsidRPr="0030358C">
        <w:rPr>
          <w:rFonts w:ascii="Arial" w:hAnsi="Arial" w:cs="Arial"/>
          <w:b/>
          <w:sz w:val="22"/>
          <w:szCs w:val="22"/>
        </w:rPr>
        <w:t>evidované v</w:t>
      </w:r>
      <w:r w:rsidRPr="0030358C">
        <w:rPr>
          <w:rFonts w:ascii="Arial" w:hAnsi="Arial" w:cs="Arial"/>
          <w:b/>
          <w:sz w:val="22"/>
          <w:szCs w:val="22"/>
        </w:rPr>
        <w:t xml:space="preserve"> ISPOP.</w:t>
      </w:r>
    </w:p>
    <w:p w14:paraId="74DA267D"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2 Zařazení stacionárního zdroje do kategorie podle přílohy č. 2 zákona (dle číselníku uveřejněného ve Věstníku MŽP).</w:t>
      </w:r>
    </w:p>
    <w:p w14:paraId="7003795A"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3 Uvede se datum vydání povolení provozu nebo jiného obdobného povolení vydaného podle dřívějších právních předpisů pro daný stacionární zdroj.</w:t>
      </w:r>
    </w:p>
    <w:p w14:paraId="505359EB"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4 Uvede se datum prvního uvedení spalovacího stacionárního zdroje o jmenovitém tepelném příkonu nižším než 50 MW do provozu. Pokud není skutečné datum uvedení do provozu známo a zdroj byl uveden do provozu před 20. 12. 2018, uvede se datum 1. 1. 1900.</w:t>
      </w:r>
    </w:p>
    <w:p w14:paraId="28AD7FB0"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5 Uvede se název stacionárního zdroje dle provozního řádu nebo povolení provozu nebo technické dokumentace. Jedná-li se o záložní zdroj energie nebo požární čerpadlo, uvede se tato skutečnost jako součást názvu stacionárního zdroje (např. M1 – záložní zdroj energie).</w:t>
      </w:r>
    </w:p>
    <w:p w14:paraId="23084B52"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6 Vyplní se tepelná účinnost stacionárního zdroje.</w:t>
      </w:r>
    </w:p>
    <w:p w14:paraId="103E4E1A"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7 Vyplní se jmenovitý tepelný výkon spalovacího stacionárního zdroje dle technické dokumentace spalovacího stacionárního zdroje.</w:t>
      </w:r>
    </w:p>
    <w:p w14:paraId="4146EF98"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8 Vyplní se údaj o instalovaném elektrickém výkonu dle technické dokumentace stacionárního zdroje znečišťování. Nevyplňuje se u zdrojů, které nevyrábí elektrickou energii.</w:t>
      </w:r>
    </w:p>
    <w:p w14:paraId="5962843E"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9 Vyplní se jmenovitý tepelný příkon spalovacího stacionárního zdroje dle technické dokumentace spalovacího stacionárního zdroje.</w:t>
      </w:r>
    </w:p>
    <w:p w14:paraId="33781930"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lastRenderedPageBreak/>
        <w:t>10 Vyplní se celkový jmenovitý tepelný příkon podle § 4b zákona.</w:t>
      </w:r>
      <w:r w:rsidR="00782651" w:rsidRPr="0030358C">
        <w:rPr>
          <w:rFonts w:ascii="Arial" w:hAnsi="Arial" w:cs="Arial"/>
          <w:b/>
          <w:bCs/>
          <w:sz w:val="22"/>
          <w:szCs w:val="22"/>
        </w:rPr>
        <w:t xml:space="preserve"> </w:t>
      </w:r>
    </w:p>
    <w:p w14:paraId="216B1809"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11 Vyplní se údaj o projektované kapacitě spalovny odpadů dle technické dokumentace.</w:t>
      </w:r>
    </w:p>
    <w:p w14:paraId="2485E3B1"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12 Vyplní se druh topeniště (např. roštové, fluidní, plynový hořák atd.) dle číselníku uveřejněného ve Věstníku Ministerstva životního prostředí.</w:t>
      </w:r>
    </w:p>
    <w:p w14:paraId="3F7CCFA6"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13 Počet provozních hodin, po které byl spalovací stacionární zdroj ve vykazovaném kalendářním roce v provozu.</w:t>
      </w:r>
    </w:p>
    <w:p w14:paraId="3236DEAF"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14 Celkový počet provozních hodin, po které byly spalovací stacionární zdroje, u nichž se jmenovité tepelné příkony podle § 4b zákona sčítají, ve vykazovaném roce provozovány. Je-li současně v provozu více spalovacích stacionárních zdrojů, u nichž se jmenovité tepelné příkony podle § 4</w:t>
      </w:r>
      <w:r w:rsidR="008D78CC" w:rsidRPr="0030358C">
        <w:rPr>
          <w:rFonts w:ascii="Arial" w:hAnsi="Arial" w:cs="Arial"/>
          <w:b/>
          <w:sz w:val="22"/>
          <w:szCs w:val="22"/>
        </w:rPr>
        <w:t>b</w:t>
      </w:r>
      <w:r w:rsidRPr="0030358C">
        <w:rPr>
          <w:rFonts w:ascii="Arial" w:hAnsi="Arial" w:cs="Arial"/>
          <w:b/>
          <w:sz w:val="22"/>
          <w:szCs w:val="22"/>
        </w:rPr>
        <w:t xml:space="preserve"> zákona sčítají, každá hodina jejich společného provozu se započítává pouze jednou. Tento údaj se vyplňuje pouze u spalovacích stacionárních zdrojů s celkovým jmenovitým tepelným příkonem 50 MW a vyšším a u záložních zdrojů energie.</w:t>
      </w:r>
    </w:p>
    <w:p w14:paraId="7E09AF12"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15 Počet provozních hodin stacionárního zdroje za rok po přepočtu na stupeň využití instalované kapacity.</w:t>
      </w:r>
    </w:p>
    <w:p w14:paraId="548E3B07"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16 Celkové množství tepla dodaného k využití ze spalovacího stacionárního zdroje ve vykazovaném kalendářním roce.</w:t>
      </w:r>
    </w:p>
    <w:p w14:paraId="6F7B4E30"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17 Celkové množství tepla dodaného do soustavy zásobování tepelnou energií podle energetického zákona</w:t>
      </w:r>
      <w:r w:rsidRPr="0030358C">
        <w:rPr>
          <w:rFonts w:ascii="Arial" w:hAnsi="Arial" w:cs="Arial"/>
          <w:b/>
          <w:sz w:val="22"/>
          <w:szCs w:val="22"/>
          <w:vertAlign w:val="superscript"/>
        </w:rPr>
        <w:t>9</w:t>
      </w:r>
      <w:r w:rsidRPr="0030358C">
        <w:rPr>
          <w:rFonts w:ascii="Arial" w:hAnsi="Arial" w:cs="Arial"/>
          <w:b/>
          <w:sz w:val="22"/>
          <w:szCs w:val="22"/>
        </w:rPr>
        <w:t xml:space="preserve"> ve formě páry, horké či teplé vody, vyjádřeno jako klouzavý průměr za období pěti let a jako procenta (%) z celkového množství vyrobeného užitného tepla dodaného k využití ze spalovacího stacionárního zdroje, vyjádřeno jako klouzavý průměr za období pěti let. Tento údaj se vyplňuje se pouze u spalovacích stacionárních zdrojů s celkovým jmenovitým tepelným příkonem 20 MW a vyšším a u zdrojů využívajících výjimku z plnění emisních limitů na základě stanoveného minimálního podílu dodaného tepla.</w:t>
      </w:r>
    </w:p>
    <w:p w14:paraId="68736EB0"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18 Uvede se druh (druhy) spalovaného paliva (dle číselníku uveřejněného ve Věstníku MŽP), u spaloven odpadů nebo u spalovacích stacionárních zdrojů tepelně zpracovávajících odpad nebo palivo vyrobené z odpadu společně s palivem se uvede rovněž jako samostatná položka odpad nebo palivo vyrobené z odpadu (bez bližšího určení).</w:t>
      </w:r>
    </w:p>
    <w:p w14:paraId="2F6A3B77"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19 Uvede se hodnota roční průměrné výhřevnosti paliva podle údajů dodavatele paliva.</w:t>
      </w:r>
    </w:p>
    <w:p w14:paraId="197822CB"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20 Uvede se celková spotřeba paliva využívaného spalovacím stacionárním zdrojem ve vykazovaném roce; v případě, že je tepelně zpracováván odpad nebo odpady nebo palivo vyrobené z odpadu, uvede se k údaji odpovídajícímu položce 18 celkové množství spálených odpadů nebo paliv vyrobených z odpadů.</w:t>
      </w:r>
    </w:p>
    <w:p w14:paraId="30DB8211" w14:textId="77777777" w:rsidR="00B16C0B" w:rsidRPr="0030358C" w:rsidRDefault="00000000" w:rsidP="007368FC">
      <w:pPr>
        <w:pStyle w:val="62"/>
        <w:ind w:left="0"/>
        <w:rPr>
          <w:rFonts w:ascii="Arial" w:hAnsi="Arial" w:cs="Arial"/>
          <w:b/>
          <w:sz w:val="22"/>
          <w:szCs w:val="22"/>
        </w:rPr>
      </w:pPr>
      <w:r w:rsidRPr="0030358C">
        <w:rPr>
          <w:rFonts w:ascii="Arial" w:hAnsi="Arial" w:cs="Arial"/>
          <w:b/>
          <w:sz w:val="22"/>
          <w:szCs w:val="22"/>
        </w:rPr>
        <w:t>21 Celkové množství emisí znečišťujících látek (dle číselníku uveřejněného ve Věstníku MŽP), vypuštěných do ovzduší ze stacionárního zdroje za vykazovaný kalendářní rok, pro které má provozovatel stacionárního zdroje podle § 6 odst. 1 zákona stanovenu povinnost zjišťovat úroveň znečišťování.</w:t>
      </w:r>
    </w:p>
    <w:p w14:paraId="7019821E" w14:textId="77777777" w:rsidR="00B16C0B" w:rsidRPr="0030358C" w:rsidRDefault="00000000" w:rsidP="00B16C0B">
      <w:pPr>
        <w:pStyle w:val="62"/>
        <w:rPr>
          <w:rFonts w:ascii="Arial" w:hAnsi="Arial" w:cs="Arial"/>
          <w:sz w:val="22"/>
          <w:szCs w:val="22"/>
        </w:rPr>
      </w:pPr>
      <w:r w:rsidRPr="0030358C">
        <w:rPr>
          <w:rFonts w:ascii="Arial" w:hAnsi="Arial" w:cs="Arial"/>
          <w:sz w:val="22"/>
          <w:szCs w:val="22"/>
        </w:rPr>
        <w:t> </w:t>
      </w:r>
    </w:p>
    <w:p w14:paraId="1DA19EBA" w14:textId="77777777" w:rsidR="009955C5" w:rsidRPr="0030358C" w:rsidRDefault="00000000">
      <w:pPr>
        <w:rPr>
          <w:rFonts w:ascii="Arial" w:hAnsi="Arial" w:cs="Arial"/>
          <w:b/>
          <w:sz w:val="22"/>
          <w:szCs w:val="22"/>
        </w:rPr>
      </w:pPr>
      <w:r w:rsidRPr="0030358C">
        <w:rPr>
          <w:rFonts w:ascii="Arial" w:hAnsi="Arial" w:cs="Arial"/>
          <w:b/>
          <w:sz w:val="22"/>
          <w:szCs w:val="22"/>
        </w:rPr>
        <w:br w:type="page"/>
      </w:r>
    </w:p>
    <w:p w14:paraId="5C5319B7" w14:textId="77777777" w:rsidR="00B16C0B" w:rsidRPr="0030358C" w:rsidRDefault="00000000" w:rsidP="00AD5854">
      <w:pPr>
        <w:pStyle w:val="62"/>
        <w:ind w:left="0"/>
        <w:rPr>
          <w:rFonts w:ascii="Arial" w:hAnsi="Arial" w:cs="Arial"/>
          <w:b/>
          <w:sz w:val="22"/>
          <w:szCs w:val="22"/>
        </w:rPr>
      </w:pPr>
      <w:r w:rsidRPr="0030358C">
        <w:rPr>
          <w:rFonts w:ascii="Arial" w:hAnsi="Arial" w:cs="Arial"/>
          <w:b/>
          <w:sz w:val="22"/>
          <w:szCs w:val="22"/>
        </w:rPr>
        <w:lastRenderedPageBreak/>
        <w:t>1.3. Souhrnná provozní evidence jiných stacionárních zdrojů</w:t>
      </w:r>
    </w:p>
    <w:p w14:paraId="7B0E5AA4"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tbl>
      <w:tblPr>
        <w:tblW w:w="0" w:type="auto"/>
        <w:tblLook w:val="04A0" w:firstRow="1" w:lastRow="0" w:firstColumn="1" w:lastColumn="0" w:noHBand="0" w:noVBand="1"/>
      </w:tblPr>
      <w:tblGrid>
        <w:gridCol w:w="1299"/>
        <w:gridCol w:w="4660"/>
        <w:gridCol w:w="2822"/>
        <w:gridCol w:w="269"/>
      </w:tblGrid>
      <w:tr w:rsidR="00E40657" w14:paraId="53AC9215"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0B84B9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93A115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Pořadové číslo stacionárního zdroje</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3B7225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4D851E1"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E6D17D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A38F96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Zařazení stacionárního zdroje podle zákona</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6C5FF1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3E956D3A"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9C9D88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F84072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Výjimka z minimálních vzdáleností</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71292C6" w14:textId="77777777" w:rsidR="00B16C0B" w:rsidRPr="0030358C" w:rsidRDefault="00B16C0B" w:rsidP="00B16C0B">
            <w:pPr>
              <w:pStyle w:val="62"/>
              <w:ind w:left="0"/>
              <w:rPr>
                <w:rFonts w:ascii="Arial" w:hAnsi="Arial" w:cs="Arial"/>
                <w:b/>
                <w:sz w:val="22"/>
                <w:szCs w:val="22"/>
              </w:rPr>
            </w:pPr>
          </w:p>
        </w:tc>
      </w:tr>
      <w:tr w:rsidR="00E40657" w14:paraId="48C31C7F"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58C25D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C952FF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Název stacionárního zdroje</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25D84F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93C7C46"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0291E6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47F852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Provozní hodiny [h/rok]</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B24AE3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BA969FB"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07872D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7DB04E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xml:space="preserve">Druh spalovaného paliva nebo odpadu nebo elektrická energie </w:t>
            </w:r>
          </w:p>
          <w:p w14:paraId="3858582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03BA80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6CE2CA3"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D53BBC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0582D1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Výhřevnost paliva [kJ/kg, kJ/m</w:t>
            </w:r>
            <w:r w:rsidR="00F47DF9" w:rsidRPr="0030358C">
              <w:rPr>
                <w:rFonts w:ascii="Arial" w:hAnsi="Arial" w:cs="Arial"/>
                <w:b/>
                <w:sz w:val="22"/>
                <w:szCs w:val="22"/>
                <w:vertAlign w:val="superscript"/>
              </w:rPr>
              <w:t>3</w:t>
            </w:r>
            <w:r w:rsidRPr="0030358C">
              <w:rPr>
                <w:rFonts w:ascii="Arial" w:hAnsi="Arial" w:cs="Arial"/>
                <w:b/>
                <w:sz w:val="22"/>
                <w:szCs w:val="22"/>
              </w:rPr>
              <w:t>]</w:t>
            </w:r>
          </w:p>
          <w:p w14:paraId="51C6BD1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051379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C70D103"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E935D6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674143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Spotřeba spáleného paliva a odpadů [t/rok, tis. m</w:t>
            </w:r>
            <w:r w:rsidRPr="0030358C">
              <w:rPr>
                <w:rFonts w:ascii="Arial" w:hAnsi="Arial" w:cs="Arial"/>
                <w:b/>
                <w:sz w:val="22"/>
                <w:szCs w:val="22"/>
                <w:vertAlign w:val="superscript"/>
              </w:rPr>
              <w:t>3</w:t>
            </w:r>
            <w:r w:rsidRPr="0030358C">
              <w:rPr>
                <w:rFonts w:ascii="Arial" w:hAnsi="Arial" w:cs="Arial"/>
                <w:b/>
                <w:sz w:val="22"/>
                <w:szCs w:val="22"/>
              </w:rPr>
              <w:t xml:space="preserve">/rok] nebo elektrické energie [kWh] </w:t>
            </w:r>
          </w:p>
          <w:p w14:paraId="1E39226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0E8C24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42989DB"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F0F500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9</w:t>
            </w:r>
          </w:p>
        </w:tc>
        <w:tc>
          <w:tcPr>
            <w:tcW w:w="4444"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97E2AF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xml:space="preserve">Spotřeba VOC (t/rok] u stacionárních zdrojů spadajících do přílohy č. 5, části II </w:t>
            </w: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843C47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dle § 21 písm. a)</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AD5B91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2F58E23"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89A77B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10</w:t>
            </w:r>
          </w:p>
        </w:tc>
        <w:tc>
          <w:tcPr>
            <w:tcW w:w="0" w:type="auto"/>
            <w:vMerge/>
            <w:tcBorders>
              <w:top w:val="nil"/>
              <w:left w:val="single" w:sz="8" w:space="0" w:color="000000"/>
              <w:bottom w:val="single" w:sz="8" w:space="0" w:color="000000"/>
              <w:right w:val="single" w:sz="8" w:space="0" w:color="000000"/>
            </w:tcBorders>
          </w:tcPr>
          <w:p w14:paraId="28F07E0E" w14:textId="77777777" w:rsidR="00B16C0B" w:rsidRPr="0030358C" w:rsidRDefault="00B16C0B" w:rsidP="00B16C0B">
            <w:pPr>
              <w:pStyle w:val="62"/>
              <w:rPr>
                <w:rFonts w:ascii="Arial" w:hAnsi="Arial" w:cs="Arial"/>
                <w:b/>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D20A43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dle § 21 písm. b)</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849D17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54A0D26"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15A884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11</w:t>
            </w:r>
          </w:p>
        </w:tc>
        <w:tc>
          <w:tcPr>
            <w:tcW w:w="0" w:type="auto"/>
            <w:vMerge/>
            <w:tcBorders>
              <w:top w:val="nil"/>
              <w:left w:val="single" w:sz="8" w:space="0" w:color="000000"/>
              <w:bottom w:val="single" w:sz="8" w:space="0" w:color="000000"/>
              <w:right w:val="single" w:sz="8" w:space="0" w:color="000000"/>
            </w:tcBorders>
          </w:tcPr>
          <w:p w14:paraId="492A7158" w14:textId="77777777" w:rsidR="00B16C0B" w:rsidRPr="0030358C" w:rsidRDefault="00B16C0B" w:rsidP="00B16C0B">
            <w:pPr>
              <w:pStyle w:val="62"/>
              <w:rPr>
                <w:rFonts w:ascii="Arial" w:hAnsi="Arial" w:cs="Arial"/>
                <w:b/>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C4B123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dle § 21 písm. c)</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7077CC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1EA8068"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4E7292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3224F1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Druh výrobku</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640758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631ED329" w14:textId="77777777" w:rsidTr="00F64C2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C4CFBF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06BC31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Množství výrobku</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12853A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7C2BC0F" w14:textId="77777777" w:rsidTr="00F64C20">
        <w:trPr>
          <w:trHeight w:val="45"/>
        </w:trPr>
        <w:tc>
          <w:tcPr>
            <w:tcW w:w="1569"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097B86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14</w:t>
            </w:r>
          </w:p>
        </w:tc>
        <w:tc>
          <w:tcPr>
            <w:tcW w:w="4444"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789AEC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Emise znečišťujících látek [t/rok]</w:t>
            </w: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802784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1CC5AC2"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EBC140E" w14:textId="77777777" w:rsidTr="00F64C20">
        <w:trPr>
          <w:trHeight w:val="45"/>
        </w:trPr>
        <w:tc>
          <w:tcPr>
            <w:tcW w:w="0" w:type="auto"/>
            <w:vMerge/>
            <w:tcBorders>
              <w:top w:val="nil"/>
              <w:left w:val="single" w:sz="8" w:space="0" w:color="000000"/>
              <w:bottom w:val="single" w:sz="8" w:space="0" w:color="000000"/>
              <w:right w:val="single" w:sz="8" w:space="0" w:color="000000"/>
            </w:tcBorders>
          </w:tcPr>
          <w:p w14:paraId="04B587C2" w14:textId="77777777" w:rsidR="00B16C0B" w:rsidRPr="0030358C" w:rsidRDefault="00B16C0B" w:rsidP="00B16C0B">
            <w:pPr>
              <w:pStyle w:val="62"/>
              <w:rPr>
                <w:rFonts w:ascii="Arial" w:hAnsi="Arial" w:cs="Arial"/>
                <w:b/>
                <w:sz w:val="22"/>
                <w:szCs w:val="22"/>
              </w:rPr>
            </w:pPr>
          </w:p>
        </w:tc>
        <w:tc>
          <w:tcPr>
            <w:tcW w:w="0" w:type="auto"/>
            <w:vMerge/>
            <w:tcBorders>
              <w:top w:val="nil"/>
              <w:left w:val="single" w:sz="8" w:space="0" w:color="000000"/>
              <w:bottom w:val="single" w:sz="8" w:space="0" w:color="000000"/>
              <w:right w:val="single" w:sz="8" w:space="0" w:color="000000"/>
            </w:tcBorders>
          </w:tcPr>
          <w:p w14:paraId="4325DE24" w14:textId="77777777" w:rsidR="00B16C0B" w:rsidRPr="0030358C" w:rsidRDefault="00B16C0B" w:rsidP="00B16C0B">
            <w:pPr>
              <w:pStyle w:val="62"/>
              <w:rPr>
                <w:rFonts w:ascii="Arial" w:hAnsi="Arial" w:cs="Arial"/>
                <w:b/>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EC7DB8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43E8D3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1D30A4D" w14:textId="77777777" w:rsidTr="00F64C20">
        <w:trPr>
          <w:trHeight w:val="285"/>
        </w:trPr>
        <w:tc>
          <w:tcPr>
            <w:tcW w:w="0" w:type="auto"/>
            <w:vMerge/>
            <w:tcBorders>
              <w:top w:val="nil"/>
              <w:left w:val="single" w:sz="8" w:space="0" w:color="000000"/>
              <w:bottom w:val="single" w:sz="8" w:space="0" w:color="000000"/>
              <w:right w:val="single" w:sz="8" w:space="0" w:color="000000"/>
            </w:tcBorders>
          </w:tcPr>
          <w:p w14:paraId="305A22D8" w14:textId="77777777" w:rsidR="00B16C0B" w:rsidRPr="0030358C" w:rsidRDefault="00B16C0B" w:rsidP="00B16C0B">
            <w:pPr>
              <w:pStyle w:val="62"/>
              <w:rPr>
                <w:rFonts w:ascii="Arial" w:hAnsi="Arial" w:cs="Arial"/>
                <w:b/>
                <w:sz w:val="22"/>
                <w:szCs w:val="22"/>
              </w:rPr>
            </w:pPr>
          </w:p>
        </w:tc>
        <w:tc>
          <w:tcPr>
            <w:tcW w:w="0" w:type="auto"/>
            <w:vMerge/>
            <w:tcBorders>
              <w:top w:val="nil"/>
              <w:left w:val="single" w:sz="8" w:space="0" w:color="000000"/>
              <w:bottom w:val="single" w:sz="8" w:space="0" w:color="000000"/>
              <w:right w:val="single" w:sz="8" w:space="0" w:color="000000"/>
            </w:tcBorders>
          </w:tcPr>
          <w:p w14:paraId="0CF7966F" w14:textId="77777777" w:rsidR="00B16C0B" w:rsidRPr="0030358C" w:rsidRDefault="00B16C0B" w:rsidP="00B16C0B">
            <w:pPr>
              <w:pStyle w:val="62"/>
              <w:rPr>
                <w:rFonts w:ascii="Arial" w:hAnsi="Arial" w:cs="Arial"/>
                <w:b/>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152CB4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04C7FE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bl>
    <w:p w14:paraId="183ECF7E"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p w14:paraId="3CAACC00" w14:textId="77777777" w:rsidR="00B16C0B" w:rsidRPr="0030358C" w:rsidRDefault="00000000" w:rsidP="00EC5971">
      <w:pPr>
        <w:rPr>
          <w:rFonts w:ascii="Arial" w:hAnsi="Arial" w:cs="Arial"/>
          <w:b/>
          <w:sz w:val="22"/>
          <w:szCs w:val="22"/>
        </w:rPr>
      </w:pPr>
      <w:r w:rsidRPr="0030358C">
        <w:rPr>
          <w:rFonts w:ascii="Arial" w:hAnsi="Arial" w:cs="Arial"/>
          <w:b/>
          <w:sz w:val="22"/>
          <w:szCs w:val="22"/>
        </w:rPr>
        <w:t>Vysvětlivky a návod pro vyplnění údajů podle čísla řádku:</w:t>
      </w:r>
    </w:p>
    <w:p w14:paraId="7F60E174"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 xml:space="preserve">V případě jiného stacionárního zdroje, pro nějž je tato možnost uvedena v číselníku uveřejněném ve Věstníku MŽP, se níže uvedené údaje vyplňují souhrnně. U stacionárních zdrojů, na které se vztahují ustanovení § </w:t>
      </w:r>
      <w:r w:rsidR="00CB476E" w:rsidRPr="0030358C">
        <w:rPr>
          <w:rFonts w:ascii="Arial" w:hAnsi="Arial" w:cs="Arial"/>
          <w:b/>
          <w:sz w:val="22"/>
          <w:szCs w:val="22"/>
        </w:rPr>
        <w:t>27d</w:t>
      </w:r>
      <w:r w:rsidRPr="0030358C">
        <w:rPr>
          <w:rFonts w:ascii="Arial" w:hAnsi="Arial" w:cs="Arial"/>
          <w:b/>
          <w:sz w:val="22"/>
          <w:szCs w:val="22"/>
        </w:rPr>
        <w:t xml:space="preserve">, se souhrnně vyplňují pouze údaje pro stacionární zdroje, které nejsou umístěny ve stavbě. </w:t>
      </w:r>
    </w:p>
    <w:p w14:paraId="42B62DF4"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 </w:t>
      </w:r>
    </w:p>
    <w:p w14:paraId="620DCB92"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 xml:space="preserve">1 Pořadové číslo jiného stacionárního zdroje v rámci provozovny, </w:t>
      </w:r>
      <w:r w:rsidR="006441D4" w:rsidRPr="0030358C">
        <w:rPr>
          <w:rFonts w:ascii="Arial" w:hAnsi="Arial" w:cs="Arial"/>
          <w:b/>
          <w:sz w:val="22"/>
          <w:szCs w:val="22"/>
        </w:rPr>
        <w:t xml:space="preserve">evidované v </w:t>
      </w:r>
      <w:r w:rsidRPr="0030358C">
        <w:rPr>
          <w:rFonts w:ascii="Arial" w:hAnsi="Arial" w:cs="Arial"/>
          <w:b/>
          <w:sz w:val="22"/>
          <w:szCs w:val="22"/>
        </w:rPr>
        <w:t>ISPOP.</w:t>
      </w:r>
    </w:p>
    <w:p w14:paraId="46478963"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2 Zařazení stacionárního zdroje do kategorie podle přílohy č. 2 zákona (dle číselníku uveřejněného ve Věstníku MŽP) s uvedením doplňující informace, pokud by se jednalo o zdroj, u nějž byla ve vykazovaném kalendářním roce provozována činnost na několika místech.</w:t>
      </w:r>
    </w:p>
    <w:p w14:paraId="416E83A4"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3 Uvede se ANO nebo NE. Jedná se o výjimku podle § 12a odst. 1 písm. b) a c) a odst. 4 zákona.</w:t>
      </w:r>
    </w:p>
    <w:p w14:paraId="47BCFAE7" w14:textId="77777777" w:rsidR="000261E9" w:rsidRPr="0030358C" w:rsidRDefault="00000000" w:rsidP="009955C5">
      <w:pPr>
        <w:pStyle w:val="62"/>
        <w:ind w:left="0"/>
        <w:rPr>
          <w:rFonts w:ascii="Arial" w:hAnsi="Arial" w:cs="Arial"/>
          <w:b/>
          <w:sz w:val="22"/>
          <w:szCs w:val="22"/>
        </w:rPr>
      </w:pPr>
      <w:r w:rsidRPr="0030358C">
        <w:rPr>
          <w:rFonts w:ascii="Arial" w:hAnsi="Arial" w:cs="Arial"/>
          <w:b/>
          <w:sz w:val="22"/>
          <w:szCs w:val="22"/>
        </w:rPr>
        <w:lastRenderedPageBreak/>
        <w:t>4 Název jiného stacionárního zdroje (dle číselníku uveřejněného ve Věstníku MŽP). Název jiného stacionárního zdroje dle provozního řádu, a není-li tento vyžadován, dle povolení k provozu nebo technické dokumentace, se uvede v položce 4a.</w:t>
      </w:r>
    </w:p>
    <w:p w14:paraId="37F23EF8"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5 Počet provozních hodin, po které byl stacionární zdroj ve vykazovaném kalendářním roce v provozu.</w:t>
      </w:r>
    </w:p>
    <w:p w14:paraId="63667BC5"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 xml:space="preserve">6 Uvede se druh (druhy) spalovaného paliva (dle číselníku uveřejněného ve Věstníku MŽP) nebo elektrická energie používaná pro otop pecí a tavicích agregátů; v případě, že je tepelně zpracováván odpad nebo odpady nebo palivo vyrobené z odpadu, uvede se jako samostatná položka odpad nebo palivo vyrobené z odpadu (bez bližšího určení). </w:t>
      </w:r>
    </w:p>
    <w:p w14:paraId="6DA71FF0"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7 Uvede se hodnota roční průměrné výhřevnosti paliva podle údajů dodavatele paliva; v případě použití elektrické energie se tento údaj nevyplňuje.</w:t>
      </w:r>
    </w:p>
    <w:p w14:paraId="3F811F31"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8 Uvede se celková spotřeba paliva nebo elektrické energie využívaných stacionárním zdrojem ve vykazovaném kalendářním roce; v případě, že je tepelně zpracováván odpad nebo odpady nebo palivo vyrobené z odpadu, uvede se k údaji odpovídajícímu položce 6 celkové množství spálených odpadů nebo paliv vyrobených z odpadů.</w:t>
      </w:r>
    </w:p>
    <w:p w14:paraId="57966EF2"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9 - 11 U stacionárních zdrojů uvedených v příloze č. 5, části II se uvede spotřeba těkavých organických látek podle kategorií používaných těkavých organických látek podle § 21 písm. a), b) a c) této vyhlášky.</w:t>
      </w:r>
    </w:p>
    <w:p w14:paraId="412B1314"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12 Druh výrobku u vybraných technologií (dle číselníku uveřejněného ve Věstníku MŽP).</w:t>
      </w:r>
    </w:p>
    <w:p w14:paraId="2C87C5F3"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13 Množství výrobku v jednotkách uveřejněných ve Věstníku MŽP.</w:t>
      </w:r>
    </w:p>
    <w:p w14:paraId="6FC1D364"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14 Celkové množství emisí znečišťujících látek (dle číselníku uveřejněného ve Věstníku MŽP), vypuštěných do ovzduší za stacionární zdroj a vykazovaný kalendářní rok, pro které má provozovatel stacionárního zdroje podle § 6 odst. 1 zákona stanovenu povinnost zjišťovat úroveň znečišťování.</w:t>
      </w:r>
    </w:p>
    <w:p w14:paraId="79D7948B"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p w14:paraId="5E6A8404" w14:textId="77777777" w:rsidR="00B16C0B" w:rsidRPr="0030358C" w:rsidRDefault="00000000" w:rsidP="00EC5971">
      <w:pPr>
        <w:rPr>
          <w:rFonts w:ascii="Arial" w:hAnsi="Arial" w:cs="Arial"/>
          <w:b/>
          <w:sz w:val="22"/>
          <w:szCs w:val="22"/>
        </w:rPr>
      </w:pPr>
      <w:r w:rsidRPr="0030358C">
        <w:rPr>
          <w:rFonts w:ascii="Arial" w:hAnsi="Arial" w:cs="Arial"/>
          <w:b/>
          <w:sz w:val="22"/>
          <w:szCs w:val="22"/>
        </w:rPr>
        <w:t>1.4. Údaje o komínech a výduších</w:t>
      </w:r>
    </w:p>
    <w:tbl>
      <w:tblPr>
        <w:tblW w:w="0" w:type="auto"/>
        <w:tblLook w:val="04A0" w:firstRow="1" w:lastRow="0" w:firstColumn="1" w:lastColumn="0" w:noHBand="0" w:noVBand="1"/>
      </w:tblPr>
      <w:tblGrid>
        <w:gridCol w:w="1549"/>
        <w:gridCol w:w="4363"/>
        <w:gridCol w:w="2880"/>
        <w:gridCol w:w="258"/>
      </w:tblGrid>
      <w:tr w:rsidR="00E40657" w14:paraId="2E8F1C32"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757807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2E84E7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Pořadové číslo výduchu/komínu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517010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A0EC1B9"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3397BE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F537A0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Pořadové číslo každého jednotlivého stacionárního zdroje zaústěného do komína/výduchu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07C427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C4D1C89"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32A9EA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515AC0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Výška komínu/výduchu [m]</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B75ABC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BF4C285" w14:textId="77777777" w:rsidTr="00F64C20">
        <w:trPr>
          <w:trHeight w:val="450"/>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54C82D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3437DF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Průřez v koruně komínu, průřez výduchu [m</w:t>
            </w:r>
            <w:r w:rsidRPr="0030358C">
              <w:rPr>
                <w:rFonts w:ascii="Arial" w:hAnsi="Arial" w:cs="Arial"/>
                <w:b/>
                <w:sz w:val="22"/>
                <w:szCs w:val="22"/>
                <w:vertAlign w:val="superscript"/>
              </w:rPr>
              <w:t>2</w:t>
            </w:r>
            <w:r w:rsidRPr="0030358C">
              <w:rPr>
                <w:rFonts w:ascii="Arial" w:hAnsi="Arial" w:cs="Arial"/>
                <w:b/>
                <w:sz w:val="22"/>
                <w:szCs w:val="22"/>
              </w:rPr>
              <w: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F44581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6400504"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7D769D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5</w:t>
            </w:r>
          </w:p>
        </w:tc>
        <w:tc>
          <w:tcPr>
            <w:tcW w:w="6301"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E0545B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Zeměpisné souřadnice paty komínu/výduchu</w:t>
            </w: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B51204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N</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2501B9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4377724"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10D400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6</w:t>
            </w:r>
          </w:p>
        </w:tc>
        <w:tc>
          <w:tcPr>
            <w:tcW w:w="0" w:type="auto"/>
            <w:vMerge/>
            <w:tcBorders>
              <w:top w:val="nil"/>
              <w:left w:val="single" w:sz="8" w:space="0" w:color="000000"/>
              <w:bottom w:val="single" w:sz="8" w:space="0" w:color="000000"/>
              <w:right w:val="single" w:sz="8" w:space="0" w:color="000000"/>
            </w:tcBorders>
          </w:tcPr>
          <w:p w14:paraId="245E014B" w14:textId="77777777" w:rsidR="00B16C0B" w:rsidRPr="0030358C" w:rsidRDefault="00B16C0B" w:rsidP="00B16C0B">
            <w:pPr>
              <w:pStyle w:val="62"/>
              <w:rPr>
                <w:rFonts w:ascii="Arial" w:hAnsi="Arial" w:cs="Arial"/>
                <w:b/>
                <w:sz w:val="22"/>
                <w:szCs w:val="22"/>
              </w:rPr>
            </w:pP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5646F4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90E49F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3323483"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EE2A30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796170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Průměrná rychlost plynů v [m/s]</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3FEDB5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7418978"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815422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296E33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Průměrná teplota plynů [°C]</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196F4F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C35B65D"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843883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1CDE56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Časový režim vypouštění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2E73DA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B29381B"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3A2078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A083FB4"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Provozní hodiny komína/výduchu [h/rok]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980BEE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4C84ED9"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75A2B8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9443A4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Druh technologie ke snižování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97C68A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82CD601" w14:textId="77777777" w:rsidTr="00F64C2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385B5C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B9C1A3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Účinnost technologie ke snižování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EA6984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6CFFB90" w14:textId="77777777" w:rsidTr="00F64C20">
        <w:trPr>
          <w:trHeight w:val="45"/>
        </w:trPr>
        <w:tc>
          <w:tcPr>
            <w:tcW w:w="2458"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B1AA1A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13</w:t>
            </w:r>
          </w:p>
        </w:tc>
        <w:tc>
          <w:tcPr>
            <w:tcW w:w="6301"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7B873D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Emise znečišťujících látek [t/rok]</w:t>
            </w: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A40AF5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E94355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438C2F0" w14:textId="77777777" w:rsidTr="00F64C20">
        <w:trPr>
          <w:trHeight w:val="45"/>
        </w:trPr>
        <w:tc>
          <w:tcPr>
            <w:tcW w:w="0" w:type="auto"/>
            <w:vMerge/>
            <w:tcBorders>
              <w:top w:val="nil"/>
              <w:left w:val="single" w:sz="8" w:space="0" w:color="000000"/>
              <w:bottom w:val="single" w:sz="8" w:space="0" w:color="000000"/>
              <w:right w:val="single" w:sz="8" w:space="0" w:color="000000"/>
            </w:tcBorders>
          </w:tcPr>
          <w:p w14:paraId="03F2A7CC" w14:textId="77777777" w:rsidR="00B16C0B" w:rsidRPr="0030358C" w:rsidRDefault="00B16C0B" w:rsidP="00B16C0B">
            <w:pPr>
              <w:pStyle w:val="62"/>
              <w:rPr>
                <w:rFonts w:ascii="Arial" w:hAnsi="Arial" w:cs="Arial"/>
                <w:b/>
                <w:sz w:val="22"/>
                <w:szCs w:val="22"/>
              </w:rPr>
            </w:pPr>
          </w:p>
        </w:tc>
        <w:tc>
          <w:tcPr>
            <w:tcW w:w="0" w:type="auto"/>
            <w:vMerge/>
            <w:tcBorders>
              <w:top w:val="nil"/>
              <w:left w:val="single" w:sz="8" w:space="0" w:color="000000"/>
              <w:bottom w:val="single" w:sz="8" w:space="0" w:color="000000"/>
              <w:right w:val="single" w:sz="8" w:space="0" w:color="000000"/>
            </w:tcBorders>
          </w:tcPr>
          <w:p w14:paraId="0F1BE07B" w14:textId="77777777" w:rsidR="00B16C0B" w:rsidRPr="0030358C" w:rsidRDefault="00B16C0B" w:rsidP="00B16C0B">
            <w:pPr>
              <w:pStyle w:val="62"/>
              <w:rPr>
                <w:rFonts w:ascii="Arial" w:hAnsi="Arial" w:cs="Arial"/>
                <w:b/>
                <w:sz w:val="22"/>
                <w:szCs w:val="22"/>
              </w:rPr>
            </w:pP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B7F77F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42A422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9BCA43A" w14:textId="77777777" w:rsidTr="00F64C20">
        <w:trPr>
          <w:trHeight w:val="285"/>
        </w:trPr>
        <w:tc>
          <w:tcPr>
            <w:tcW w:w="0" w:type="auto"/>
            <w:vMerge/>
            <w:tcBorders>
              <w:top w:val="nil"/>
              <w:left w:val="single" w:sz="8" w:space="0" w:color="000000"/>
              <w:bottom w:val="single" w:sz="8" w:space="0" w:color="000000"/>
              <w:right w:val="single" w:sz="8" w:space="0" w:color="000000"/>
            </w:tcBorders>
          </w:tcPr>
          <w:p w14:paraId="109B32D4" w14:textId="77777777" w:rsidR="00B16C0B" w:rsidRPr="0030358C" w:rsidRDefault="00B16C0B" w:rsidP="00B16C0B">
            <w:pPr>
              <w:pStyle w:val="62"/>
              <w:rPr>
                <w:rFonts w:ascii="Arial" w:hAnsi="Arial" w:cs="Arial"/>
                <w:b/>
                <w:sz w:val="22"/>
                <w:szCs w:val="22"/>
              </w:rPr>
            </w:pPr>
          </w:p>
        </w:tc>
        <w:tc>
          <w:tcPr>
            <w:tcW w:w="0" w:type="auto"/>
            <w:vMerge/>
            <w:tcBorders>
              <w:top w:val="nil"/>
              <w:left w:val="single" w:sz="8" w:space="0" w:color="000000"/>
              <w:bottom w:val="single" w:sz="8" w:space="0" w:color="000000"/>
              <w:right w:val="single" w:sz="8" w:space="0" w:color="000000"/>
            </w:tcBorders>
          </w:tcPr>
          <w:p w14:paraId="2CF9A6FD" w14:textId="77777777" w:rsidR="00B16C0B" w:rsidRPr="0030358C" w:rsidRDefault="00B16C0B" w:rsidP="00B16C0B">
            <w:pPr>
              <w:pStyle w:val="62"/>
              <w:rPr>
                <w:rFonts w:ascii="Arial" w:hAnsi="Arial" w:cs="Arial"/>
                <w:b/>
                <w:sz w:val="22"/>
                <w:szCs w:val="22"/>
              </w:rPr>
            </w:pP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08805B1"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D4EF93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bl>
    <w:p w14:paraId="34F52F3F"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p w14:paraId="3D224620"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Vysvětlivky a návod pro vyplnění údajů podle čísla řádku:</w:t>
      </w:r>
    </w:p>
    <w:p w14:paraId="66E902FA"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 xml:space="preserve">1 Pořadové číslo komínu/výduchu v rámci provozovny, </w:t>
      </w:r>
      <w:r w:rsidR="006441D4" w:rsidRPr="0030358C">
        <w:rPr>
          <w:rFonts w:ascii="Arial" w:hAnsi="Arial" w:cs="Arial"/>
          <w:b/>
          <w:sz w:val="22"/>
          <w:szCs w:val="22"/>
        </w:rPr>
        <w:t xml:space="preserve">evidované v </w:t>
      </w:r>
      <w:r w:rsidRPr="0030358C">
        <w:rPr>
          <w:rFonts w:ascii="Arial" w:hAnsi="Arial" w:cs="Arial"/>
          <w:b/>
          <w:sz w:val="22"/>
          <w:szCs w:val="22"/>
        </w:rPr>
        <w:t>ISPOP.</w:t>
      </w:r>
    </w:p>
    <w:p w14:paraId="14242A5B"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2 Pořadové číslo stacionárního zdroje uvedeného v položce č. 1 bodu 1.2. a 1.3, u kterého jsou vypouštěny znečišťující látky, pro které má provozovatel stacionárního zdroje stanovenu povinnost zjišťovat úroveň znečišťování.</w:t>
      </w:r>
    </w:p>
    <w:p w14:paraId="4A79B05C"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3 Stavební výška komínu nebo převýšení výduchu/komínu nad okolním terénem.</w:t>
      </w:r>
    </w:p>
    <w:p w14:paraId="396FA851"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4 Plocha průřezu ústí komínu (vnitřní plocha v koruně komínu), plocha průřezu výduchu.</w:t>
      </w:r>
    </w:p>
    <w:p w14:paraId="0B98FEAD"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5,6 Zeměpisná šířka a délka umístění komínu/výduchu, uvedená v souřadnicovém systému WGS 84 (World Geodetic System) používaná běžně přístroji GPS.</w:t>
      </w:r>
    </w:p>
    <w:p w14:paraId="076EDEC2"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7 Zjištěná nebo odborně odhadnutá průměrná rychlost vzdušiny v ústí komínu/výduchu.</w:t>
      </w:r>
    </w:p>
    <w:p w14:paraId="43647CE3"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8 Zjištěná nebo odborně odhadnutá průměrná teplota vzdušiny v ústí komínu/výduchu.</w:t>
      </w:r>
    </w:p>
    <w:p w14:paraId="0117E417"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9 Časový režim charakterizující denní, týdenní a roční období, v němž dochází k vypouštění podstatného množství škodlivin z komínu/výduchu dle schématu uveřejněného ve Věstníku MŽP (1 = znečišťující látky jsou v daném časovém úseku vypouštěny; 0 = je vypouštěno malé množství znečišťujících látek nebo nejsou v daném časovém úseku vůbec vypouštěny).</w:t>
      </w:r>
    </w:p>
    <w:p w14:paraId="0C95EEBF"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10 Provozní doba komínu/výduchu (doba, po kterou docházelo k vypouštění škodlivin z některého ze zaústěných stacionárních zdrojů do komínu/výduchu).</w:t>
      </w:r>
    </w:p>
    <w:p w14:paraId="6EF4C531"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11 Uvede se druh každé technologie ke snižování emisí každé znečišťující látky (dle číselníku uveřejněného ve věstníku MŽP); v případě tuhých znečišťujících látek se uvede druh posledního stupně odlučovacího zařízení, v němž dochází ke snižování množství tuhých znečišťujících látek.</w:t>
      </w:r>
    </w:p>
    <w:p w14:paraId="3F3DC9CC"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12 Průměrná roční provozní účinnost každé technologie ke snižování emisí vyjádřená v % snížení koncentrace znečišťující látky vstupující do technologie ke snižování emisí. Není-li provozní účinnost sledována, uvede se garantovaná účinnost případně účinnost odpovídající garantované výstupní koncentraci.</w:t>
      </w:r>
    </w:p>
    <w:p w14:paraId="40736303"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13 Celkové množství emisí znečišťujících látek (dle číselníku uveřejněného ve Věstníku MŽP) vypuštěných do ovzduší za vykazovaný kalendářní rok daným komínem/výduchem, pro které má provozovatel stacionárního zdroje stanovenu povinnost zjišťovat úroveň znečišťování podle § 6 odst. 1 zákona. V případě, že dochází k vypouštění/úniku veškerých emisí ze stacionárních zdrojů pouze jedním komínem/výduchem, tento údaj se nevyplňuje.</w:t>
      </w:r>
    </w:p>
    <w:p w14:paraId="25AA4401"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 </w:t>
      </w:r>
    </w:p>
    <w:p w14:paraId="0FFFB302" w14:textId="77777777" w:rsidR="00B2096E" w:rsidRPr="0030358C" w:rsidRDefault="00000000">
      <w:pPr>
        <w:rPr>
          <w:rFonts w:ascii="Arial" w:hAnsi="Arial" w:cs="Arial"/>
          <w:b/>
          <w:sz w:val="22"/>
          <w:szCs w:val="22"/>
        </w:rPr>
      </w:pPr>
      <w:r w:rsidRPr="0030358C">
        <w:rPr>
          <w:rFonts w:ascii="Arial" w:hAnsi="Arial" w:cs="Arial"/>
          <w:b/>
          <w:sz w:val="22"/>
          <w:szCs w:val="22"/>
        </w:rPr>
        <w:br w:type="page"/>
      </w:r>
    </w:p>
    <w:p w14:paraId="5F8302A1"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lastRenderedPageBreak/>
        <w:t>1.5. Údaje o měření emisí</w:t>
      </w:r>
    </w:p>
    <w:p w14:paraId="4008CF74" w14:textId="77777777" w:rsidR="00B16C0B" w:rsidRPr="0030358C" w:rsidRDefault="00000000" w:rsidP="009955C5">
      <w:pPr>
        <w:pStyle w:val="62"/>
        <w:ind w:left="0"/>
        <w:rPr>
          <w:rFonts w:ascii="Arial" w:hAnsi="Arial" w:cs="Arial"/>
          <w:b/>
          <w:sz w:val="22"/>
          <w:szCs w:val="22"/>
        </w:rPr>
      </w:pPr>
      <w:r w:rsidRPr="0030358C">
        <w:rPr>
          <w:rFonts w:ascii="Arial" w:hAnsi="Arial" w:cs="Arial"/>
          <w:b/>
          <w:sz w:val="22"/>
          <w:szCs w:val="22"/>
        </w:rPr>
        <w:t>V případě jednorázových měření emisí prováděných podle ustanovení § 3 odst. 3 písm. c) dvakrát za kalendářní rok, se uvedou výsledky každého měření samostatně, a to včetně data měření.</w:t>
      </w:r>
    </w:p>
    <w:tbl>
      <w:tblPr>
        <w:tblW w:w="0" w:type="auto"/>
        <w:tblLook w:val="04A0" w:firstRow="1" w:lastRow="0" w:firstColumn="1" w:lastColumn="0" w:noHBand="0" w:noVBand="1"/>
      </w:tblPr>
      <w:tblGrid>
        <w:gridCol w:w="1470"/>
        <w:gridCol w:w="2929"/>
        <w:gridCol w:w="4396"/>
        <w:gridCol w:w="255"/>
      </w:tblGrid>
      <w:tr w:rsidR="00E40657" w14:paraId="5BEDDEDA"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D0B5D5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809E34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Pořadové číslo stacionárního zdroje/zdrojů</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E5FCAA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5C3C0011"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F8B32E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A2C9C5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Označení místa měření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C776A7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11906939"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4DB65C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FDCD98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Datum měření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6915C5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3798B40"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C216D9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4</w:t>
            </w:r>
          </w:p>
        </w:tc>
        <w:tc>
          <w:tcPr>
            <w:tcW w:w="4120" w:type="dxa"/>
            <w:tcBorders>
              <w:top w:val="single" w:sz="8" w:space="0" w:color="000000"/>
              <w:left w:val="single" w:sz="8" w:space="0" w:color="000000"/>
              <w:right w:val="single" w:sz="8" w:space="0" w:color="000000"/>
            </w:tcBorders>
            <w:tcMar>
              <w:top w:w="15" w:type="dxa"/>
              <w:left w:w="75" w:type="dxa"/>
              <w:bottom w:w="15" w:type="dxa"/>
              <w:right w:w="75" w:type="dxa"/>
            </w:tcMar>
            <w:vAlign w:val="center"/>
          </w:tcPr>
          <w:p w14:paraId="597661C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D919EA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specifický emisní limit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6804F9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DFC5DA2"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8DFEFB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5</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31FC14A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EB1F87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jednotka emisního limitu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C96530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537E844"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5A0CFE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6</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4555297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F246B7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emisní koncentrace BAT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33B4E4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3650CEDC"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CD6620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7</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477C758C"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CB65A3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jednotka emisní koncentrace BAT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AAEFDF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73068DDE"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51C8C4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8</w:t>
            </w:r>
          </w:p>
        </w:tc>
        <w:tc>
          <w:tcPr>
            <w:tcW w:w="4120" w:type="dxa"/>
            <w:vMerge w:val="restart"/>
            <w:tcBorders>
              <w:left w:val="single" w:sz="8" w:space="0" w:color="000000"/>
              <w:right w:val="single" w:sz="8" w:space="0" w:color="000000"/>
            </w:tcBorders>
            <w:tcMar>
              <w:top w:w="15" w:type="dxa"/>
              <w:left w:w="75" w:type="dxa"/>
              <w:bottom w:w="15" w:type="dxa"/>
              <w:right w:w="75" w:type="dxa"/>
            </w:tcMar>
          </w:tcPr>
          <w:p w14:paraId="433DC4F9"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Emise</w:t>
            </w:r>
          </w:p>
          <w:p w14:paraId="33BA6E1B"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znečišťujících látek</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21EDFFF"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hmotnostní koncentrace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583F97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D6639F8" w14:textId="77777777" w:rsidTr="009955C5">
        <w:trPr>
          <w:trHeight w:val="4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D7D619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9</w:t>
            </w:r>
          </w:p>
        </w:tc>
        <w:tc>
          <w:tcPr>
            <w:tcW w:w="0" w:type="auto"/>
            <w:vMerge/>
            <w:tcBorders>
              <w:top w:val="nil"/>
              <w:left w:val="single" w:sz="8" w:space="0" w:color="000000"/>
              <w:right w:val="single" w:sz="8" w:space="0" w:color="000000"/>
            </w:tcBorders>
          </w:tcPr>
          <w:p w14:paraId="2E1636C6" w14:textId="77777777" w:rsidR="00B16C0B" w:rsidRPr="0030358C" w:rsidRDefault="00B16C0B" w:rsidP="00B16C0B">
            <w:pPr>
              <w:pStyle w:val="62"/>
              <w:rPr>
                <w:rFonts w:ascii="Arial" w:hAnsi="Arial" w:cs="Arial"/>
                <w:b/>
                <w:sz w:val="22"/>
                <w:szCs w:val="22"/>
              </w:rPr>
            </w:pP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5401E00"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jednotka hmotnostní koncentrace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7CBB83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0F05E47E"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5CAB6D5"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10</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2CD4FE1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2259E9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hmotnostní tok [kg/h]</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841CA9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23457259"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01B73E3"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11</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6839BB8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9DD2C9A"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měrná výrobní emise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504C6A6"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r w:rsidR="00E40657" w14:paraId="4BAA246F" w14:textId="77777777" w:rsidTr="00F64C2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A4081F8"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12</w:t>
            </w:r>
          </w:p>
        </w:tc>
        <w:tc>
          <w:tcPr>
            <w:tcW w:w="4120" w:type="dxa"/>
            <w:tcBorders>
              <w:left w:val="single" w:sz="8" w:space="0" w:color="000000"/>
              <w:bottom w:val="single" w:sz="8" w:space="0" w:color="000000"/>
              <w:right w:val="single" w:sz="8" w:space="0" w:color="000000"/>
            </w:tcBorders>
            <w:tcMar>
              <w:top w:w="15" w:type="dxa"/>
              <w:left w:w="75" w:type="dxa"/>
              <w:bottom w:w="15" w:type="dxa"/>
              <w:right w:w="75" w:type="dxa"/>
            </w:tcMar>
            <w:vAlign w:val="center"/>
          </w:tcPr>
          <w:p w14:paraId="57C6E56D"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45C7ABE"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jednotka měrné výrobní emise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ADD6CF7" w14:textId="77777777" w:rsidR="00B16C0B" w:rsidRPr="0030358C" w:rsidRDefault="00000000" w:rsidP="00B16C0B">
            <w:pPr>
              <w:pStyle w:val="62"/>
              <w:ind w:left="0"/>
              <w:rPr>
                <w:rFonts w:ascii="Arial" w:hAnsi="Arial" w:cs="Arial"/>
                <w:b/>
                <w:sz w:val="22"/>
                <w:szCs w:val="22"/>
              </w:rPr>
            </w:pPr>
            <w:r w:rsidRPr="0030358C">
              <w:rPr>
                <w:rFonts w:ascii="Arial" w:hAnsi="Arial" w:cs="Arial"/>
                <w:b/>
                <w:sz w:val="22"/>
                <w:szCs w:val="22"/>
              </w:rPr>
              <w:t> </w:t>
            </w:r>
          </w:p>
        </w:tc>
      </w:tr>
    </w:tbl>
    <w:p w14:paraId="594494F5" w14:textId="77777777" w:rsidR="00B16C0B" w:rsidRPr="0030358C" w:rsidRDefault="00000000" w:rsidP="00B16C0B">
      <w:pPr>
        <w:pStyle w:val="62"/>
        <w:rPr>
          <w:rFonts w:ascii="Arial" w:hAnsi="Arial" w:cs="Arial"/>
          <w:b/>
          <w:sz w:val="22"/>
          <w:szCs w:val="22"/>
        </w:rPr>
      </w:pPr>
      <w:r w:rsidRPr="0030358C">
        <w:rPr>
          <w:rFonts w:ascii="Arial" w:hAnsi="Arial" w:cs="Arial"/>
          <w:b/>
          <w:sz w:val="22"/>
          <w:szCs w:val="22"/>
        </w:rPr>
        <w:t> </w:t>
      </w:r>
    </w:p>
    <w:p w14:paraId="371364A7"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Vysvětlivky a návod pro vyplnění údajů podle čísla řádku:</w:t>
      </w:r>
    </w:p>
    <w:p w14:paraId="7E0938D9"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 U zdrojů, u kterých se neprovádí pravidelné jednorázové měření emisí každý rok, se uvádí výsledky posledního pravidelného jednorázového měření emisí.</w:t>
      </w:r>
    </w:p>
    <w:p w14:paraId="42D6E966" w14:textId="77777777" w:rsidR="00B16C0B" w:rsidRPr="0030358C" w:rsidRDefault="00B16C0B" w:rsidP="00B2096E">
      <w:pPr>
        <w:pStyle w:val="62"/>
        <w:ind w:left="0"/>
        <w:rPr>
          <w:rFonts w:ascii="Arial" w:hAnsi="Arial" w:cs="Arial"/>
          <w:b/>
          <w:sz w:val="22"/>
          <w:szCs w:val="22"/>
        </w:rPr>
      </w:pPr>
    </w:p>
    <w:p w14:paraId="49C4BE9A"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1 Pořadové číslo stacionárního zdroje uvedeného v položce č. 1 bodu 1.2. a 1.3.</w:t>
      </w:r>
    </w:p>
    <w:p w14:paraId="1BD0FDE7"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2 Uvede se označení místa jednorázového nebo kontinuálního měření emisí dle provozního řádu nebo povolení k provozu nebo technické dokumentace.</w:t>
      </w:r>
    </w:p>
    <w:p w14:paraId="3BA9463C"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3 Datum posledního platného jednorázového měření emisí podle ustanovení § 3 odst. 1 nebo § 3 odst. 3; v případě, že se zjišťování emisí provádí kontinuálním měřením, se datum měření nevyplňuje. Nepoužije se pro jednorázová měření emisí prováděná podle ustanovení § 3 odst. 3 písm. c), kdy se uvede datum a výsledky každého měření.</w:t>
      </w:r>
    </w:p>
    <w:p w14:paraId="67F831ED"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4 Uvede se specifický emisní limit pro jednotlivé znečišťující látky (dle číselníku uveřejněného ve Věstníku MŽP) stanovený v povolení provozu, a pokud v povolení provozu specifický emisní limit stanoven není, emisní limit platný pro daný stacionární zdroj podle této vyhlášky.</w:t>
      </w:r>
    </w:p>
    <w:p w14:paraId="37A051E6"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5 Jednotka specifického emisního limitu (dle číselníku uveřejněného ve Věstníku MŽP).</w:t>
      </w:r>
    </w:p>
    <w:p w14:paraId="1C72C79D"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6 Emisní koncentrace odpovídající horní hranici úrovně emisí spojené s nejlepšími dostupnými technikami (BAT) podle informací zveřejňovaných Evropskou komisí odpovídající příslušnému stacionárnímu zdroji. Vyplní se v údajích za r. 2016 a v dalším období v případě uplatnění § 15, odst. 5 a odst. 6, písm. b) zákona.</w:t>
      </w:r>
    </w:p>
    <w:p w14:paraId="7A608A74"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7 Jednotka emisní koncentrace BAT (dle číselníku uveřejněného ve Věstníku MŽP).</w:t>
      </w:r>
    </w:p>
    <w:p w14:paraId="64AC7BB9"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lastRenderedPageBreak/>
        <w:t>8 Hmotnostní koncentrace emisí jednotlivých znečišťujících látek přepočtená na podmínky stanovené pro emisní limit stacionárního zdroje v právním předpisu v mg/m</w:t>
      </w:r>
      <w:r w:rsidRPr="0030358C">
        <w:rPr>
          <w:rFonts w:ascii="Arial" w:hAnsi="Arial" w:cs="Arial"/>
          <w:b/>
          <w:sz w:val="22"/>
          <w:szCs w:val="22"/>
          <w:vertAlign w:val="superscript"/>
        </w:rPr>
        <w:t>3</w:t>
      </w:r>
      <w:r w:rsidRPr="0030358C">
        <w:rPr>
          <w:rFonts w:ascii="Arial" w:hAnsi="Arial" w:cs="Arial"/>
          <w:b/>
          <w:sz w:val="22"/>
          <w:szCs w:val="22"/>
        </w:rPr>
        <w:t>, případně v jiných jednotkách uvedených v řádku č. 9; v případě kontinuálního měření se uvede hodnota vypočtená jako aritmetický průměr všech platných denních hodnot za kalendářní rok. V případě jednorázových měření emisí prováděných podle ustanovení § 3 odst. 3 písm. c), se uvedou výsledky každého měření společně s datem měření.</w:t>
      </w:r>
    </w:p>
    <w:p w14:paraId="48136483"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9 Jednotka hmotnostní koncentrace, ve které je stanoven emisní limit (dle číselníku uveřejněného ve Věstníku MŽP).</w:t>
      </w:r>
    </w:p>
    <w:p w14:paraId="2B03DC8B"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10 Podíl hmotnosti emisí jednotlivých znečišťujících látek za hodinu.</w:t>
      </w:r>
    </w:p>
    <w:p w14:paraId="4E308A00"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11 Podíl hmotnosti emisí znečišťujících látek a vztažné veličiny, která je stanovena pro emisní limit stacionárního zdroje v právním předpisu.</w:t>
      </w:r>
    </w:p>
    <w:p w14:paraId="372B031C" w14:textId="77777777" w:rsidR="00B16C0B" w:rsidRPr="0030358C" w:rsidRDefault="00000000" w:rsidP="00B2096E">
      <w:pPr>
        <w:pStyle w:val="62"/>
        <w:ind w:left="0"/>
        <w:rPr>
          <w:rFonts w:ascii="Arial" w:hAnsi="Arial" w:cs="Arial"/>
          <w:b/>
          <w:sz w:val="22"/>
          <w:szCs w:val="22"/>
        </w:rPr>
      </w:pPr>
      <w:r w:rsidRPr="0030358C">
        <w:rPr>
          <w:rFonts w:ascii="Arial" w:hAnsi="Arial" w:cs="Arial"/>
          <w:b/>
          <w:sz w:val="22"/>
          <w:szCs w:val="22"/>
        </w:rPr>
        <w:t>12 Jednotka měrné výrobní emise (dle číselníku uveřejněného ve Věstníku MŽP).</w:t>
      </w:r>
    </w:p>
    <w:bookmarkEnd w:id="64"/>
    <w:p w14:paraId="08230C3D" w14:textId="77777777" w:rsidR="00347496" w:rsidRPr="0030358C" w:rsidRDefault="00347496" w:rsidP="00347496">
      <w:pPr>
        <w:widowControl w:val="0"/>
        <w:suppressAutoHyphens/>
        <w:autoSpaceDE w:val="0"/>
        <w:autoSpaceDN w:val="0"/>
        <w:adjustRightInd w:val="0"/>
        <w:jc w:val="both"/>
        <w:rPr>
          <w:rFonts w:ascii="Arial" w:hAnsi="Arial" w:cs="Arial"/>
          <w:bCs/>
          <w:i/>
          <w:sz w:val="22"/>
          <w:szCs w:val="22"/>
          <w:lang w:eastAsia="ar-SA"/>
        </w:rPr>
      </w:pPr>
    </w:p>
    <w:p w14:paraId="43992314" w14:textId="77777777" w:rsidR="00802718" w:rsidRPr="0030358C" w:rsidRDefault="00802718" w:rsidP="00347496">
      <w:pPr>
        <w:widowControl w:val="0"/>
        <w:suppressAutoHyphens/>
        <w:autoSpaceDE w:val="0"/>
        <w:autoSpaceDN w:val="0"/>
        <w:adjustRightInd w:val="0"/>
        <w:jc w:val="both"/>
        <w:rPr>
          <w:rFonts w:ascii="Arial" w:hAnsi="Arial" w:cs="Arial"/>
          <w:bCs/>
          <w:i/>
          <w:sz w:val="22"/>
          <w:szCs w:val="22"/>
          <w:lang w:eastAsia="ar-SA"/>
        </w:rPr>
      </w:pPr>
    </w:p>
    <w:p w14:paraId="64E38277" w14:textId="77777777" w:rsidR="00D52F71" w:rsidRPr="0030358C" w:rsidRDefault="00000000" w:rsidP="00347496">
      <w:pPr>
        <w:widowControl w:val="0"/>
        <w:suppressAutoHyphens/>
        <w:autoSpaceDE w:val="0"/>
        <w:autoSpaceDN w:val="0"/>
        <w:adjustRightInd w:val="0"/>
        <w:jc w:val="both"/>
        <w:rPr>
          <w:rFonts w:ascii="Arial" w:hAnsi="Arial" w:cs="Arial"/>
          <w:bCs/>
          <w:i/>
          <w:sz w:val="22"/>
          <w:szCs w:val="22"/>
          <w:lang w:eastAsia="ar-SA"/>
        </w:rPr>
      </w:pPr>
      <w:r w:rsidRPr="0030358C">
        <w:rPr>
          <w:rFonts w:ascii="Arial" w:hAnsi="Arial" w:cs="Arial"/>
          <w:bCs/>
          <w:i/>
          <w:sz w:val="22"/>
          <w:szCs w:val="22"/>
          <w:lang w:eastAsia="ar-SA"/>
        </w:rPr>
        <w:t xml:space="preserve">Znění </w:t>
      </w:r>
      <w:r w:rsidR="0016206C" w:rsidRPr="0030358C">
        <w:rPr>
          <w:rFonts w:ascii="Arial" w:hAnsi="Arial" w:cs="Arial"/>
          <w:bCs/>
          <w:i/>
          <w:sz w:val="22"/>
          <w:szCs w:val="22"/>
          <w:lang w:eastAsia="ar-SA"/>
        </w:rPr>
        <w:t xml:space="preserve">části 1.5. přílohy č. 11 </w:t>
      </w:r>
      <w:r w:rsidRPr="0030358C">
        <w:rPr>
          <w:rFonts w:ascii="Arial" w:hAnsi="Arial" w:cs="Arial"/>
          <w:bCs/>
          <w:i/>
          <w:sz w:val="22"/>
          <w:szCs w:val="22"/>
          <w:lang w:eastAsia="ar-SA"/>
        </w:rPr>
        <w:t>účinné od 1. 1. 202</w:t>
      </w:r>
      <w:r w:rsidR="007A2E4F" w:rsidRPr="0030358C">
        <w:rPr>
          <w:rFonts w:ascii="Arial" w:hAnsi="Arial" w:cs="Arial"/>
          <w:bCs/>
          <w:i/>
          <w:sz w:val="22"/>
          <w:szCs w:val="22"/>
          <w:lang w:eastAsia="ar-SA"/>
        </w:rPr>
        <w:t>6</w:t>
      </w:r>
      <w:r w:rsidRPr="0030358C">
        <w:rPr>
          <w:rFonts w:ascii="Arial" w:hAnsi="Arial" w:cs="Arial"/>
          <w:bCs/>
          <w:i/>
          <w:sz w:val="22"/>
          <w:szCs w:val="22"/>
          <w:lang w:eastAsia="ar-SA"/>
        </w:rPr>
        <w:t xml:space="preserve"> do 31. 12. 202</w:t>
      </w:r>
      <w:r w:rsidR="007A2E4F" w:rsidRPr="0030358C">
        <w:rPr>
          <w:rFonts w:ascii="Arial" w:hAnsi="Arial" w:cs="Arial"/>
          <w:bCs/>
          <w:i/>
          <w:sz w:val="22"/>
          <w:szCs w:val="22"/>
          <w:lang w:eastAsia="ar-SA"/>
        </w:rPr>
        <w:t>7</w:t>
      </w:r>
      <w:r w:rsidR="00802718" w:rsidRPr="0030358C">
        <w:rPr>
          <w:rFonts w:ascii="Arial" w:hAnsi="Arial" w:cs="Arial"/>
          <w:bCs/>
          <w:i/>
          <w:sz w:val="22"/>
          <w:szCs w:val="22"/>
          <w:lang w:eastAsia="ar-SA"/>
        </w:rPr>
        <w:t>:</w:t>
      </w:r>
    </w:p>
    <w:p w14:paraId="07110506"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 </w:t>
      </w:r>
    </w:p>
    <w:p w14:paraId="32FA58F9" w14:textId="77777777" w:rsidR="00347496" w:rsidRPr="0030358C" w:rsidRDefault="00000000" w:rsidP="00347496">
      <w:pPr>
        <w:pStyle w:val="62"/>
        <w:ind w:left="0"/>
        <w:rPr>
          <w:rFonts w:ascii="Arial" w:hAnsi="Arial" w:cs="Arial"/>
          <w:b/>
          <w:sz w:val="22"/>
          <w:szCs w:val="22"/>
        </w:rPr>
      </w:pPr>
      <w:bookmarkStart w:id="66" w:name="_Hlk184975166"/>
      <w:r w:rsidRPr="0030358C">
        <w:rPr>
          <w:rFonts w:ascii="Arial" w:hAnsi="Arial" w:cs="Arial"/>
          <w:b/>
          <w:sz w:val="22"/>
          <w:szCs w:val="22"/>
        </w:rPr>
        <w:t>1.5. Údaje o měření emisí</w:t>
      </w:r>
    </w:p>
    <w:p w14:paraId="49341F39" w14:textId="77777777" w:rsidR="00347496" w:rsidRPr="0030358C" w:rsidRDefault="00347496" w:rsidP="00347496">
      <w:pPr>
        <w:pStyle w:val="62"/>
        <w:ind w:left="0"/>
        <w:rPr>
          <w:rFonts w:ascii="Arial" w:hAnsi="Arial" w:cs="Arial"/>
          <w:b/>
          <w:sz w:val="22"/>
          <w:szCs w:val="22"/>
        </w:rPr>
      </w:pPr>
    </w:p>
    <w:p w14:paraId="6F9EB495" w14:textId="77777777" w:rsidR="00077217" w:rsidRPr="0030358C" w:rsidRDefault="00000000" w:rsidP="00347496">
      <w:pPr>
        <w:pStyle w:val="62"/>
        <w:ind w:left="0"/>
        <w:rPr>
          <w:rFonts w:ascii="Arial" w:hAnsi="Arial" w:cs="Arial"/>
          <w:b/>
          <w:sz w:val="22"/>
          <w:szCs w:val="22"/>
        </w:rPr>
      </w:pPr>
      <w:r w:rsidRPr="0030358C">
        <w:rPr>
          <w:rFonts w:ascii="Arial" w:hAnsi="Arial" w:cs="Arial"/>
          <w:b/>
          <w:sz w:val="22"/>
          <w:szCs w:val="22"/>
        </w:rPr>
        <w:t>V případě jednorázov</w:t>
      </w:r>
      <w:r w:rsidR="0016206C" w:rsidRPr="0030358C">
        <w:rPr>
          <w:rFonts w:ascii="Arial" w:hAnsi="Arial" w:cs="Arial"/>
          <w:b/>
          <w:sz w:val="22"/>
          <w:szCs w:val="22"/>
        </w:rPr>
        <w:t>ého</w:t>
      </w:r>
      <w:r w:rsidRPr="0030358C">
        <w:rPr>
          <w:rFonts w:ascii="Arial" w:hAnsi="Arial" w:cs="Arial"/>
          <w:b/>
          <w:sz w:val="22"/>
          <w:szCs w:val="22"/>
        </w:rPr>
        <w:t xml:space="preserve"> měření emisí se část 1.5. nevyplňuje</w:t>
      </w:r>
    </w:p>
    <w:tbl>
      <w:tblPr>
        <w:tblW w:w="0" w:type="auto"/>
        <w:tblLook w:val="04A0" w:firstRow="1" w:lastRow="0" w:firstColumn="1" w:lastColumn="0" w:noHBand="0" w:noVBand="1"/>
      </w:tblPr>
      <w:tblGrid>
        <w:gridCol w:w="1470"/>
        <w:gridCol w:w="2929"/>
        <w:gridCol w:w="4396"/>
        <w:gridCol w:w="255"/>
      </w:tblGrid>
      <w:tr w:rsidR="00E40657" w14:paraId="6F16CE33"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682A108"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C686EC5"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Pořadové číslo stacionárního zdroje/zdrojů</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D6E649D"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4100744B"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8F15B55"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E49BFCB"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Označení místa měření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E4FA883"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2076ED1E"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97A3EC2"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1C66653" w14:textId="77777777" w:rsidR="00347496" w:rsidRPr="0030358C" w:rsidRDefault="00347496" w:rsidP="00BB7040">
            <w:pPr>
              <w:pStyle w:val="62"/>
              <w:ind w:left="0"/>
              <w:rPr>
                <w:rFonts w:ascii="Arial" w:hAnsi="Arial" w:cs="Arial"/>
                <w:b/>
                <w:sz w:val="22"/>
                <w:szCs w:val="22"/>
              </w:rPr>
            </w:pP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35073CA"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34FEFF3E"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D735E7C"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4</w:t>
            </w:r>
          </w:p>
        </w:tc>
        <w:tc>
          <w:tcPr>
            <w:tcW w:w="4120" w:type="dxa"/>
            <w:tcBorders>
              <w:top w:val="single" w:sz="8" w:space="0" w:color="000000"/>
              <w:left w:val="single" w:sz="8" w:space="0" w:color="000000"/>
              <w:right w:val="single" w:sz="8" w:space="0" w:color="000000"/>
            </w:tcBorders>
            <w:tcMar>
              <w:top w:w="15" w:type="dxa"/>
              <w:left w:w="75" w:type="dxa"/>
              <w:bottom w:w="15" w:type="dxa"/>
              <w:right w:w="75" w:type="dxa"/>
            </w:tcMar>
            <w:vAlign w:val="center"/>
          </w:tcPr>
          <w:p w14:paraId="1DFC7292"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8C4155D"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specifický emisní limit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574982F"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59A212B0"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592C1E5"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5</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5A2535E6"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0918BE0"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jednotka emisního limitu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AAFE99D"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0F3A9662"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9B3BDEF"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6</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3F8A450D"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687EBA6"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emisní koncentrace BAT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76816AD"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37F7C7D6"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5A7F588"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7</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27834AA2"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2D2F5BA"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jednotka emisní koncentrace BAT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229C859"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6E6AF685"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7BA3DDA"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8</w:t>
            </w:r>
          </w:p>
        </w:tc>
        <w:tc>
          <w:tcPr>
            <w:tcW w:w="4120" w:type="dxa"/>
            <w:vMerge w:val="restart"/>
            <w:tcBorders>
              <w:left w:val="single" w:sz="8" w:space="0" w:color="000000"/>
              <w:right w:val="single" w:sz="8" w:space="0" w:color="000000"/>
            </w:tcBorders>
            <w:tcMar>
              <w:top w:w="15" w:type="dxa"/>
              <w:left w:w="75" w:type="dxa"/>
              <w:bottom w:w="15" w:type="dxa"/>
              <w:right w:w="75" w:type="dxa"/>
            </w:tcMar>
          </w:tcPr>
          <w:p w14:paraId="7EE39741"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Emise</w:t>
            </w:r>
          </w:p>
          <w:p w14:paraId="7C2E8841"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znečišťujících látek</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02E1855"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hmotnostní koncentrace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3682BF4"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544040D3" w14:textId="77777777" w:rsidTr="00BB7040">
        <w:trPr>
          <w:trHeight w:val="4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8804614"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9</w:t>
            </w:r>
          </w:p>
        </w:tc>
        <w:tc>
          <w:tcPr>
            <w:tcW w:w="0" w:type="auto"/>
            <w:vMerge/>
            <w:tcBorders>
              <w:top w:val="nil"/>
              <w:left w:val="single" w:sz="8" w:space="0" w:color="000000"/>
              <w:right w:val="single" w:sz="8" w:space="0" w:color="000000"/>
            </w:tcBorders>
          </w:tcPr>
          <w:p w14:paraId="0C0D2730" w14:textId="77777777" w:rsidR="00347496" w:rsidRPr="0030358C" w:rsidRDefault="00347496" w:rsidP="00BB7040">
            <w:pPr>
              <w:pStyle w:val="62"/>
              <w:rPr>
                <w:rFonts w:ascii="Arial" w:hAnsi="Arial" w:cs="Arial"/>
                <w:b/>
                <w:sz w:val="22"/>
                <w:szCs w:val="22"/>
              </w:rPr>
            </w:pP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FA51F92"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jednotka hmotnostní koncentrace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CB91AA7"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7196216F"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003B56B"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10</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6953B0BF"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AB07849"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hmotnostní tok [kg/h]</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F036DBF"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51C43964"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78D92A4"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11</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7D3F6608"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43A338D"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měrná výrobní emise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7D85867"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r w:rsidR="00E40657" w14:paraId="1AE365EF"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FDA803A"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12</w:t>
            </w:r>
          </w:p>
        </w:tc>
        <w:tc>
          <w:tcPr>
            <w:tcW w:w="4120" w:type="dxa"/>
            <w:tcBorders>
              <w:left w:val="single" w:sz="8" w:space="0" w:color="000000"/>
              <w:bottom w:val="single" w:sz="8" w:space="0" w:color="000000"/>
              <w:right w:val="single" w:sz="8" w:space="0" w:color="000000"/>
            </w:tcBorders>
            <w:tcMar>
              <w:top w:w="15" w:type="dxa"/>
              <w:left w:w="75" w:type="dxa"/>
              <w:bottom w:w="15" w:type="dxa"/>
              <w:right w:w="75" w:type="dxa"/>
            </w:tcMar>
            <w:vAlign w:val="center"/>
          </w:tcPr>
          <w:p w14:paraId="2C76152D"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9172C99"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jednotka měrné výrobní emise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916CDD7" w14:textId="77777777" w:rsidR="00347496" w:rsidRPr="0030358C" w:rsidRDefault="00000000" w:rsidP="00BB7040">
            <w:pPr>
              <w:pStyle w:val="62"/>
              <w:ind w:left="0"/>
              <w:rPr>
                <w:rFonts w:ascii="Arial" w:hAnsi="Arial" w:cs="Arial"/>
                <w:b/>
                <w:sz w:val="22"/>
                <w:szCs w:val="22"/>
              </w:rPr>
            </w:pPr>
            <w:r w:rsidRPr="0030358C">
              <w:rPr>
                <w:rFonts w:ascii="Arial" w:hAnsi="Arial" w:cs="Arial"/>
                <w:b/>
                <w:sz w:val="22"/>
                <w:szCs w:val="22"/>
              </w:rPr>
              <w:t> </w:t>
            </w:r>
          </w:p>
        </w:tc>
      </w:tr>
    </w:tbl>
    <w:p w14:paraId="20CA377A" w14:textId="77777777" w:rsidR="00347496" w:rsidRPr="0030358C" w:rsidRDefault="00000000" w:rsidP="00347496">
      <w:pPr>
        <w:pStyle w:val="62"/>
        <w:rPr>
          <w:rFonts w:ascii="Arial" w:hAnsi="Arial" w:cs="Arial"/>
          <w:b/>
          <w:sz w:val="22"/>
          <w:szCs w:val="22"/>
        </w:rPr>
      </w:pPr>
      <w:r w:rsidRPr="0030358C">
        <w:rPr>
          <w:rFonts w:ascii="Arial" w:hAnsi="Arial" w:cs="Arial"/>
          <w:b/>
          <w:sz w:val="22"/>
          <w:szCs w:val="22"/>
        </w:rPr>
        <w:t> </w:t>
      </w:r>
    </w:p>
    <w:p w14:paraId="08BEF8E6"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Vysvětlivky a návod pro vyplnění údajů podle čísla řádku:</w:t>
      </w:r>
    </w:p>
    <w:p w14:paraId="215F3E2A" w14:textId="77777777" w:rsidR="00347496" w:rsidRPr="0030358C" w:rsidRDefault="00347496" w:rsidP="00347496">
      <w:pPr>
        <w:pStyle w:val="62"/>
        <w:ind w:left="0"/>
        <w:rPr>
          <w:rFonts w:ascii="Arial" w:hAnsi="Arial" w:cs="Arial"/>
          <w:b/>
          <w:sz w:val="22"/>
          <w:szCs w:val="22"/>
        </w:rPr>
      </w:pPr>
    </w:p>
    <w:p w14:paraId="5DE083FC"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1 Pořadové číslo stacionárního zdroje uvedeného v položce č. 1 bodu 1.2. a 1.3.</w:t>
      </w:r>
    </w:p>
    <w:p w14:paraId="09343344"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2 Uvede se označení místa kontinuálního měření emisí dle provozního řádu nebo povolení k provozu nebo technické dokumentace.</w:t>
      </w:r>
    </w:p>
    <w:p w14:paraId="329F6D94"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 xml:space="preserve">3 </w:t>
      </w:r>
      <w:r w:rsidR="00927F77" w:rsidRPr="0030358C">
        <w:rPr>
          <w:rFonts w:ascii="Arial" w:hAnsi="Arial" w:cs="Arial"/>
          <w:b/>
          <w:sz w:val="22"/>
          <w:szCs w:val="22"/>
        </w:rPr>
        <w:t>Nevyplňuje se</w:t>
      </w:r>
    </w:p>
    <w:p w14:paraId="293B913F"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lastRenderedPageBreak/>
        <w:t>4 Uvede se specifický emisní limit pro jednotlivé znečišťující látky (dle číselníku uveřejněného ve Věstníku MŽP) stanovený v povolení provozu, a pokud v povolení provozu specifický emisní limit stanoven není, emisní limit platný pro daný stacionární zdroj podle této vyhlášky.</w:t>
      </w:r>
    </w:p>
    <w:p w14:paraId="6D3FE67D"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5 Jednotka specifického emisního limitu (dle číselníku uveřejněného ve Věstníku MŽP).</w:t>
      </w:r>
    </w:p>
    <w:p w14:paraId="477A49FD"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6 Emisní koncentrace odpovídající horní hranici úrovně emisí spojené s nejlepšími dostupnými technikami (BAT) podle informací zveřejňovaných Evropskou komisí odpovídající příslušnému stacionárnímu zdroji. Vyplní se v údajích za r. 2016 a v dalším období v případě uplatnění § 15, odst. 5 a odst. 6, písm. b) zákona.</w:t>
      </w:r>
    </w:p>
    <w:p w14:paraId="39753D10"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7 Jednotka emisní koncentrace BAT (dle číselníku uveřejněného ve Věstníku MŽP).</w:t>
      </w:r>
    </w:p>
    <w:p w14:paraId="61B45398"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8 Hmotnostní koncentrace emisí jednotlivých znečišťujících látek přepočtená na podmínky stanovené pro emisní limit stacionárního zdroje v právním předpisu v mg/m</w:t>
      </w:r>
      <w:r w:rsidRPr="0030358C">
        <w:rPr>
          <w:rFonts w:ascii="Arial" w:hAnsi="Arial" w:cs="Arial"/>
          <w:b/>
          <w:sz w:val="22"/>
          <w:szCs w:val="22"/>
          <w:vertAlign w:val="superscript"/>
        </w:rPr>
        <w:t>3</w:t>
      </w:r>
      <w:r w:rsidRPr="0030358C">
        <w:rPr>
          <w:rFonts w:ascii="Arial" w:hAnsi="Arial" w:cs="Arial"/>
          <w:b/>
          <w:sz w:val="22"/>
          <w:szCs w:val="22"/>
        </w:rPr>
        <w:t xml:space="preserve">, případně v jiných jednotkách uvedených v řádku č. 9; v případě kontinuálního měření se uvede hodnota vypočtená jako aritmetický průměr všech platných denních hodnot za kalendářní rok. </w:t>
      </w:r>
    </w:p>
    <w:p w14:paraId="5DF7E4AE"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9 Jednotka hmotnostní koncentrace, ve které je stanoven emisní limit (dle číselníku uveřejněného ve Věstníku MŽP).</w:t>
      </w:r>
    </w:p>
    <w:p w14:paraId="0A0CC7B9"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10 Podíl hmotnosti emisí jednotlivých znečišťujících látek za hodinu.</w:t>
      </w:r>
    </w:p>
    <w:p w14:paraId="2756B5E3"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11 Podíl hmotnosti emisí znečišťujících látek a vztažné veličiny, která je stanovena pro emisní limit stacionárního zdroje v právním předpisu.</w:t>
      </w:r>
    </w:p>
    <w:p w14:paraId="448C895A" w14:textId="77777777" w:rsidR="00347496" w:rsidRPr="0030358C" w:rsidRDefault="00000000" w:rsidP="00347496">
      <w:pPr>
        <w:pStyle w:val="62"/>
        <w:ind w:left="0"/>
        <w:rPr>
          <w:rFonts w:ascii="Arial" w:hAnsi="Arial" w:cs="Arial"/>
          <w:b/>
          <w:sz w:val="22"/>
          <w:szCs w:val="22"/>
        </w:rPr>
      </w:pPr>
      <w:r w:rsidRPr="0030358C">
        <w:rPr>
          <w:rFonts w:ascii="Arial" w:hAnsi="Arial" w:cs="Arial"/>
          <w:b/>
          <w:sz w:val="22"/>
          <w:szCs w:val="22"/>
        </w:rPr>
        <w:t>12 Jednotka měrné výrobní emise (dle číselníku uveřejněného ve Věstníku MŽP).</w:t>
      </w:r>
    </w:p>
    <w:bookmarkEnd w:id="66"/>
    <w:p w14:paraId="5E7E0AE6" w14:textId="77777777" w:rsidR="00927F77" w:rsidRPr="0030358C" w:rsidRDefault="00927F77" w:rsidP="00347496">
      <w:pPr>
        <w:pStyle w:val="62"/>
        <w:ind w:left="0"/>
        <w:rPr>
          <w:rFonts w:ascii="Arial" w:hAnsi="Arial" w:cs="Arial"/>
          <w:b/>
          <w:sz w:val="22"/>
          <w:szCs w:val="22"/>
        </w:rPr>
      </w:pPr>
    </w:p>
    <w:p w14:paraId="24750527" w14:textId="77777777" w:rsidR="00927F77" w:rsidRPr="0030358C" w:rsidRDefault="00000000" w:rsidP="00927F77">
      <w:pPr>
        <w:widowControl w:val="0"/>
        <w:suppressAutoHyphens/>
        <w:autoSpaceDE w:val="0"/>
        <w:autoSpaceDN w:val="0"/>
        <w:adjustRightInd w:val="0"/>
        <w:jc w:val="both"/>
        <w:rPr>
          <w:rFonts w:ascii="Arial" w:hAnsi="Arial" w:cs="Arial"/>
          <w:bCs/>
          <w:i/>
          <w:sz w:val="22"/>
          <w:szCs w:val="22"/>
          <w:lang w:eastAsia="ar-SA"/>
        </w:rPr>
      </w:pPr>
      <w:r w:rsidRPr="0030358C">
        <w:rPr>
          <w:rFonts w:ascii="Arial" w:hAnsi="Arial" w:cs="Arial"/>
          <w:bCs/>
          <w:i/>
          <w:sz w:val="22"/>
          <w:szCs w:val="22"/>
          <w:lang w:eastAsia="ar-SA"/>
        </w:rPr>
        <w:t xml:space="preserve">Znění </w:t>
      </w:r>
      <w:r w:rsidR="0016206C" w:rsidRPr="0030358C">
        <w:rPr>
          <w:rFonts w:ascii="Arial" w:hAnsi="Arial" w:cs="Arial"/>
          <w:bCs/>
          <w:i/>
          <w:sz w:val="22"/>
          <w:szCs w:val="22"/>
          <w:lang w:eastAsia="ar-SA"/>
        </w:rPr>
        <w:t xml:space="preserve">přílohy č. 11 </w:t>
      </w:r>
      <w:r w:rsidRPr="0030358C">
        <w:rPr>
          <w:rFonts w:ascii="Arial" w:hAnsi="Arial" w:cs="Arial"/>
          <w:bCs/>
          <w:i/>
          <w:sz w:val="22"/>
          <w:szCs w:val="22"/>
          <w:lang w:eastAsia="ar-SA"/>
        </w:rPr>
        <w:t xml:space="preserve">účinné od 1. 1. </w:t>
      </w:r>
      <w:r w:rsidR="005074BE" w:rsidRPr="0030358C">
        <w:rPr>
          <w:rFonts w:ascii="Arial" w:hAnsi="Arial" w:cs="Arial"/>
          <w:bCs/>
          <w:i/>
          <w:sz w:val="22"/>
          <w:szCs w:val="22"/>
          <w:lang w:eastAsia="ar-SA"/>
        </w:rPr>
        <w:t>202</w:t>
      </w:r>
      <w:r w:rsidR="007A2E4F" w:rsidRPr="0030358C">
        <w:rPr>
          <w:rFonts w:ascii="Arial" w:hAnsi="Arial" w:cs="Arial"/>
          <w:bCs/>
          <w:i/>
          <w:sz w:val="22"/>
          <w:szCs w:val="22"/>
          <w:lang w:eastAsia="ar-SA"/>
        </w:rPr>
        <w:t>8</w:t>
      </w:r>
      <w:r w:rsidR="005074BE" w:rsidRPr="0030358C">
        <w:rPr>
          <w:rFonts w:ascii="Arial" w:hAnsi="Arial" w:cs="Arial"/>
          <w:bCs/>
          <w:i/>
          <w:sz w:val="22"/>
          <w:szCs w:val="22"/>
          <w:lang w:eastAsia="ar-SA"/>
        </w:rPr>
        <w:t>:</w:t>
      </w:r>
    </w:p>
    <w:p w14:paraId="38537CB7" w14:textId="77777777" w:rsidR="00927F77" w:rsidRPr="0030358C" w:rsidRDefault="00927F77" w:rsidP="00347496">
      <w:pPr>
        <w:pStyle w:val="62"/>
        <w:ind w:left="0"/>
        <w:rPr>
          <w:rFonts w:ascii="Arial" w:hAnsi="Arial" w:cs="Arial"/>
          <w:b/>
          <w:sz w:val="22"/>
          <w:szCs w:val="22"/>
        </w:rPr>
      </w:pPr>
    </w:p>
    <w:p w14:paraId="75E44042" w14:textId="77777777" w:rsidR="0066345F" w:rsidRPr="0030358C" w:rsidRDefault="00000000" w:rsidP="005074BE">
      <w:pPr>
        <w:pStyle w:val="42"/>
        <w:spacing w:before="120"/>
        <w:rPr>
          <w:rFonts w:ascii="Arial" w:hAnsi="Arial" w:cs="Arial"/>
          <w:b w:val="0"/>
          <w:bCs/>
          <w:sz w:val="22"/>
          <w:szCs w:val="22"/>
        </w:rPr>
      </w:pPr>
      <w:r w:rsidRPr="0030358C">
        <w:rPr>
          <w:rFonts w:ascii="Arial" w:hAnsi="Arial" w:cs="Arial"/>
          <w:b w:val="0"/>
          <w:bCs/>
          <w:sz w:val="22"/>
          <w:szCs w:val="22"/>
        </w:rPr>
        <w:t>Příloha č. 11    k vyhlášce č. 415/2012 Sb.</w:t>
      </w:r>
    </w:p>
    <w:p w14:paraId="508224A1" w14:textId="77777777" w:rsidR="0066345F" w:rsidRPr="0030358C" w:rsidRDefault="00000000" w:rsidP="0066345F">
      <w:pPr>
        <w:pStyle w:val="62"/>
        <w:jc w:val="center"/>
        <w:rPr>
          <w:rFonts w:ascii="Arial" w:hAnsi="Arial" w:cs="Arial"/>
          <w:b/>
          <w:sz w:val="22"/>
          <w:szCs w:val="22"/>
        </w:rPr>
      </w:pPr>
      <w:r w:rsidRPr="0030358C">
        <w:rPr>
          <w:rFonts w:ascii="Arial" w:hAnsi="Arial" w:cs="Arial"/>
          <w:b/>
          <w:sz w:val="22"/>
          <w:szCs w:val="22"/>
        </w:rPr>
        <w:t>Náležitosti souhrnné provozní evidence</w:t>
      </w:r>
    </w:p>
    <w:p w14:paraId="2BC409AF" w14:textId="77777777" w:rsidR="0066345F" w:rsidRPr="0030358C" w:rsidRDefault="00000000" w:rsidP="0066345F">
      <w:pPr>
        <w:pStyle w:val="62"/>
        <w:ind w:left="0"/>
        <w:rPr>
          <w:rFonts w:ascii="Arial" w:hAnsi="Arial" w:cs="Arial"/>
          <w:b/>
          <w:sz w:val="22"/>
          <w:szCs w:val="22"/>
        </w:rPr>
      </w:pPr>
      <w:r w:rsidRPr="0030358C">
        <w:rPr>
          <w:rFonts w:ascii="Arial" w:hAnsi="Arial" w:cs="Arial"/>
          <w:b/>
          <w:sz w:val="22"/>
          <w:szCs w:val="22"/>
        </w:rPr>
        <w:t>1. Obecné pokyny k vyplňování formulářů souhrnné provozní evidence:</w:t>
      </w:r>
    </w:p>
    <w:p w14:paraId="1AB44635"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a) Spalovací stacionární zdroje uvedené v příloze č. 2 k zákonu pod kódem 1.1. o celkovém jmenovitém tepelném příkonu do 5 MW včetně spalující kapalná nebo plynná paliva a spalovací stacionární zdroje uvedené v příloze č. 2 k zákonu pod kódem 1.1., 1.2. nebo 1.3., na něž se vztahuje ustanovení § 6 odst. 8 zákona, spalující kapalná nebo plynná paliva vykazují údaje uvedené v bodu 1.1. a v bodu 1.2. v položkách 18. a 20. způsobem určeným datovým standardem podle jiného právního předpisu</w:t>
      </w:r>
      <w:r w:rsidRPr="0030358C">
        <w:rPr>
          <w:rFonts w:ascii="Arial" w:hAnsi="Arial" w:cs="Arial"/>
          <w:bCs/>
          <w:sz w:val="22"/>
          <w:szCs w:val="22"/>
          <w:vertAlign w:val="superscript"/>
        </w:rPr>
        <w:t>4)</w:t>
      </w:r>
      <w:r w:rsidRPr="0030358C">
        <w:rPr>
          <w:rFonts w:ascii="Arial" w:hAnsi="Arial" w:cs="Arial"/>
          <w:bCs/>
          <w:sz w:val="22"/>
          <w:szCs w:val="22"/>
        </w:rPr>
        <w:t>. Ostatní údaje uvedené v bodech 1.2., 1.4. a 1.5. neohlašují.</w:t>
      </w:r>
    </w:p>
    <w:p w14:paraId="10F62B9C"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b) Stacionární zdroje uvedené v příloze č. 2 k zákonu pod kódem 10.2. vykazují údaje uvedené v bodu 1.1. a v bodu 1.3. v položce 13 způsobem určeným datovým standardem podle jiného právního předpisu</w:t>
      </w:r>
      <w:r w:rsidRPr="0030358C">
        <w:rPr>
          <w:rFonts w:ascii="Arial" w:hAnsi="Arial" w:cs="Arial"/>
          <w:bCs/>
          <w:sz w:val="22"/>
          <w:szCs w:val="22"/>
          <w:vertAlign w:val="superscript"/>
        </w:rPr>
        <w:t>4)</w:t>
      </w:r>
      <w:r w:rsidRPr="0030358C">
        <w:rPr>
          <w:rFonts w:ascii="Arial" w:hAnsi="Arial" w:cs="Arial"/>
          <w:bCs/>
          <w:sz w:val="22"/>
          <w:szCs w:val="22"/>
        </w:rPr>
        <w:t>. Ostatní údaje uvedené v bodech 1.3., 1.4. a 1.5. neohlašují.</w:t>
      </w:r>
    </w:p>
    <w:p w14:paraId="4EF3B6A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2. Obecné pokyny k identifikaci provozovny:</w:t>
      </w:r>
    </w:p>
    <w:p w14:paraId="76B3A465"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a) U stacionárních zdrojů</w:t>
      </w:r>
      <w:r w:rsidR="005525C5" w:rsidRPr="0030358C">
        <w:rPr>
          <w:rFonts w:ascii="Arial" w:hAnsi="Arial" w:cs="Arial"/>
          <w:bCs/>
          <w:sz w:val="22"/>
          <w:szCs w:val="22"/>
        </w:rPr>
        <w:t>, které mohou být provozovány na více místech, a které jsou</w:t>
      </w:r>
      <w:r w:rsidRPr="0030358C">
        <w:rPr>
          <w:rFonts w:ascii="Arial" w:hAnsi="Arial" w:cs="Arial"/>
          <w:bCs/>
          <w:sz w:val="22"/>
          <w:szCs w:val="22"/>
        </w:rPr>
        <w:t xml:space="preserve"> povolen</w:t>
      </w:r>
      <w:r w:rsidR="005525C5" w:rsidRPr="0030358C">
        <w:rPr>
          <w:rFonts w:ascii="Arial" w:hAnsi="Arial" w:cs="Arial"/>
          <w:bCs/>
          <w:sz w:val="22"/>
          <w:szCs w:val="22"/>
        </w:rPr>
        <w:t>y</w:t>
      </w:r>
      <w:r w:rsidRPr="0030358C">
        <w:rPr>
          <w:rFonts w:ascii="Arial" w:hAnsi="Arial" w:cs="Arial"/>
          <w:bCs/>
          <w:sz w:val="22"/>
          <w:szCs w:val="22"/>
        </w:rPr>
        <w:t xml:space="preserve"> k provozu </w:t>
      </w:r>
      <w:r w:rsidR="002632AF" w:rsidRPr="0030358C">
        <w:rPr>
          <w:rFonts w:ascii="Arial" w:hAnsi="Arial" w:cs="Arial"/>
          <w:bCs/>
          <w:sz w:val="22"/>
          <w:szCs w:val="22"/>
        </w:rPr>
        <w:t>pro celé</w:t>
      </w:r>
      <w:r w:rsidR="00B64C45" w:rsidRPr="0030358C">
        <w:rPr>
          <w:rFonts w:ascii="Arial" w:hAnsi="Arial" w:cs="Arial"/>
          <w:bCs/>
          <w:sz w:val="22"/>
          <w:szCs w:val="22"/>
        </w:rPr>
        <w:t xml:space="preserve"> </w:t>
      </w:r>
      <w:r w:rsidRPr="0030358C">
        <w:rPr>
          <w:rFonts w:ascii="Arial" w:hAnsi="Arial" w:cs="Arial"/>
          <w:bCs/>
          <w:sz w:val="22"/>
          <w:szCs w:val="22"/>
        </w:rPr>
        <w:t>území kraje</w:t>
      </w:r>
      <w:r w:rsidR="005525C5" w:rsidRPr="0030358C">
        <w:rPr>
          <w:rFonts w:ascii="Arial" w:hAnsi="Arial" w:cs="Arial"/>
          <w:bCs/>
          <w:sz w:val="22"/>
          <w:szCs w:val="22"/>
        </w:rPr>
        <w:t>,</w:t>
      </w:r>
      <w:r w:rsidRPr="0030358C">
        <w:rPr>
          <w:rFonts w:ascii="Arial" w:hAnsi="Arial" w:cs="Arial"/>
          <w:bCs/>
          <w:sz w:val="22"/>
          <w:szCs w:val="22"/>
        </w:rPr>
        <w:t xml:space="preserve"> se uvádí namísto adresy provozovny název krajského úřadu, který vydal povolení provozu zdroje.</w:t>
      </w:r>
    </w:p>
    <w:p w14:paraId="64B6B492"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xml:space="preserve">b) Označení v položce Provádění jednorázového měření se týká stacionárních zdrojů uvedených v bodu 1 písm. a), u kterých se provádí jednorázové měření emisí v intervalu podle § 3 odst. 3.  </w:t>
      </w:r>
    </w:p>
    <w:p w14:paraId="503A24DF" w14:textId="77777777" w:rsidR="0066345F" w:rsidRPr="0030358C" w:rsidRDefault="0066345F" w:rsidP="0066345F">
      <w:pPr>
        <w:pStyle w:val="62"/>
        <w:ind w:left="0"/>
        <w:rPr>
          <w:rFonts w:ascii="Arial" w:hAnsi="Arial" w:cs="Arial"/>
          <w:bCs/>
          <w:sz w:val="22"/>
          <w:szCs w:val="22"/>
        </w:rPr>
      </w:pPr>
    </w:p>
    <w:p w14:paraId="61A56510" w14:textId="77777777" w:rsidR="0066345F" w:rsidRPr="0030358C" w:rsidRDefault="0066345F" w:rsidP="0066345F">
      <w:pPr>
        <w:rPr>
          <w:rFonts w:ascii="Arial" w:hAnsi="Arial" w:cs="Arial"/>
          <w:bCs/>
          <w:sz w:val="22"/>
          <w:szCs w:val="22"/>
        </w:rPr>
      </w:pPr>
    </w:p>
    <w:p w14:paraId="2122FFCA" w14:textId="77777777" w:rsidR="0066345F" w:rsidRPr="0030358C" w:rsidRDefault="00000000" w:rsidP="0066345F">
      <w:pPr>
        <w:pStyle w:val="62"/>
        <w:ind w:left="0"/>
        <w:rPr>
          <w:rFonts w:ascii="Arial" w:hAnsi="Arial" w:cs="Arial"/>
          <w:b/>
          <w:sz w:val="22"/>
          <w:szCs w:val="22"/>
        </w:rPr>
      </w:pPr>
      <w:r w:rsidRPr="0030358C">
        <w:rPr>
          <w:rFonts w:ascii="Arial" w:hAnsi="Arial" w:cs="Arial"/>
          <w:b/>
          <w:sz w:val="22"/>
          <w:szCs w:val="22"/>
        </w:rPr>
        <w:t>1.1. Identifikace provozovatele, provozovny a stacionárních zdrojů</w:t>
      </w:r>
    </w:p>
    <w:p w14:paraId="56BBAE37" w14:textId="77777777" w:rsidR="0066345F" w:rsidRPr="0030358C" w:rsidRDefault="00000000" w:rsidP="0066345F">
      <w:pPr>
        <w:pStyle w:val="62"/>
        <w:rPr>
          <w:rFonts w:ascii="Arial" w:hAnsi="Arial" w:cs="Arial"/>
          <w:b/>
          <w:sz w:val="22"/>
          <w:szCs w:val="22"/>
        </w:rPr>
      </w:pPr>
      <w:r w:rsidRPr="0030358C">
        <w:rPr>
          <w:rFonts w:ascii="Arial" w:hAnsi="Arial" w:cs="Arial"/>
          <w:b/>
          <w:sz w:val="22"/>
          <w:szCs w:val="22"/>
        </w:rPr>
        <w:lastRenderedPageBreak/>
        <w:t> </w:t>
      </w:r>
    </w:p>
    <w:tbl>
      <w:tblPr>
        <w:tblW w:w="0" w:type="auto"/>
        <w:tblLook w:val="04A0" w:firstRow="1" w:lastRow="0" w:firstColumn="1" w:lastColumn="0" w:noHBand="0" w:noVBand="1"/>
      </w:tblPr>
      <w:tblGrid>
        <w:gridCol w:w="6160"/>
        <w:gridCol w:w="468"/>
      </w:tblGrid>
      <w:tr w:rsidR="00E40657" w14:paraId="07F7E8BA" w14:textId="77777777" w:rsidTr="00BB7040">
        <w:trPr>
          <w:trHeight w:val="61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91758E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 Údaje o provozovateli</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FBAAFD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D8886FB" w14:textId="77777777" w:rsidTr="00BB7040">
        <w:trPr>
          <w:trHeight w:val="450"/>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CA7EE7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Identifikační číslo (IČO)</w:t>
            </w:r>
            <w:r w:rsidRPr="0030358C">
              <w:rPr>
                <w:rFonts w:ascii="Arial" w:hAnsi="Arial" w:cs="Arial"/>
                <w:bCs/>
                <w:sz w:val="22"/>
                <w:szCs w:val="22"/>
                <w:vertAlign w:val="superscript"/>
              </w:rPr>
              <w:t>1</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173AB8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73C3FE2" w14:textId="77777777" w:rsidTr="00BB7040">
        <w:trPr>
          <w:trHeight w:val="720"/>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9AF075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Název provozovatele (obchodní firma nebo název nebo jméno a příjmení):</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AB9DC10"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3DC8E7F"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D6B947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Adresa sídla provozovatele:</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32CAC5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E3CA7FB"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F5398D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2. Údaje o provozovně</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51C6AD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5DAC435"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805203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Identifikační číslo provozovny (IČP)</w:t>
            </w:r>
            <w:r w:rsidRPr="0030358C">
              <w:rPr>
                <w:rFonts w:ascii="Arial" w:hAnsi="Arial" w:cs="Arial"/>
                <w:bCs/>
                <w:sz w:val="22"/>
                <w:szCs w:val="22"/>
                <w:vertAlign w:val="superscript"/>
              </w:rPr>
              <w:t>2</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7B214F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B9696CD"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4A610D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Identifikační číslo provozovny (IRZ)</w:t>
            </w:r>
            <w:r w:rsidRPr="0030358C">
              <w:rPr>
                <w:rFonts w:ascii="Arial" w:hAnsi="Arial" w:cs="Arial"/>
                <w:bCs/>
                <w:sz w:val="22"/>
                <w:szCs w:val="22"/>
                <w:vertAlign w:val="superscript"/>
              </w:rPr>
              <w:t>3</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1E14EB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35D8EEB"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B243720"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Identifikátor PID zařízení IPPC</w:t>
            </w:r>
            <w:r w:rsidRPr="0030358C">
              <w:rPr>
                <w:rFonts w:ascii="Arial" w:hAnsi="Arial" w:cs="Arial"/>
                <w:bCs/>
                <w:sz w:val="22"/>
                <w:szCs w:val="22"/>
                <w:vertAlign w:val="superscript"/>
              </w:rPr>
              <w:t>4</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7639BD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5A607F9"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740C017"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Územně technická jednotka (ÚTJ)</w:t>
            </w:r>
            <w:r w:rsidRPr="0030358C">
              <w:rPr>
                <w:rFonts w:ascii="Arial" w:hAnsi="Arial" w:cs="Arial"/>
                <w:bCs/>
                <w:sz w:val="22"/>
                <w:szCs w:val="22"/>
                <w:vertAlign w:val="superscript"/>
              </w:rPr>
              <w:t>5</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A15E95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0552F03"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D8CB2F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Název provozovny:</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9BADA4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255D28A"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EF94FA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Adresa zapsaná v registru územní identifikace</w:t>
            </w:r>
            <w:r w:rsidRPr="0030358C">
              <w:rPr>
                <w:rFonts w:ascii="Arial" w:hAnsi="Arial" w:cs="Arial"/>
                <w:bCs/>
                <w:sz w:val="22"/>
                <w:szCs w:val="22"/>
                <w:vertAlign w:val="superscript"/>
              </w:rPr>
              <w:t>6</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D723B3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30E25D8"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17AEF1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Parcela</w:t>
            </w:r>
            <w:r w:rsidRPr="0030358C">
              <w:rPr>
                <w:rFonts w:ascii="Arial" w:hAnsi="Arial" w:cs="Arial"/>
                <w:bCs/>
                <w:sz w:val="22"/>
                <w:szCs w:val="22"/>
                <w:vertAlign w:val="superscript"/>
              </w:rPr>
              <w:t>7</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4343CD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31E4DF21" w14:textId="77777777" w:rsidTr="00BB7040">
        <w:trPr>
          <w:trHeight w:val="283"/>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0CEBC5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Název kraje</w:t>
            </w:r>
            <w:r w:rsidRPr="0030358C">
              <w:rPr>
                <w:rFonts w:ascii="Arial" w:hAnsi="Arial" w:cs="Arial"/>
                <w:bCs/>
                <w:sz w:val="22"/>
                <w:szCs w:val="22"/>
                <w:vertAlign w:val="superscript"/>
              </w:rPr>
              <w:t>8</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61C2C8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7738345"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450D5B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Provádění jednorázového měření</w:t>
            </w:r>
            <w:r w:rsidRPr="0030358C">
              <w:rPr>
                <w:rFonts w:ascii="Arial" w:hAnsi="Arial" w:cs="Arial"/>
                <w:bCs/>
                <w:sz w:val="22"/>
                <w:szCs w:val="22"/>
                <w:vertAlign w:val="superscript"/>
              </w:rPr>
              <w:t>9</w:t>
            </w:r>
            <w:r w:rsidRPr="0030358C">
              <w:rPr>
                <w:rFonts w:ascii="Arial" w:hAnsi="Arial" w:cs="Arial"/>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C23E0C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10E72AAA"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57FB86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Souhrnná provozní evidence za rok:</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FD1DBB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8764D27"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F5C8929" w14:textId="77777777" w:rsidR="0066345F" w:rsidRPr="0030358C" w:rsidRDefault="00000000" w:rsidP="00BB7040">
            <w:pPr>
              <w:pStyle w:val="62"/>
              <w:ind w:left="0"/>
              <w:rPr>
                <w:rFonts w:ascii="Arial" w:hAnsi="Arial" w:cs="Arial"/>
                <w:bCs/>
                <w:sz w:val="22"/>
                <w:szCs w:val="22"/>
                <w:vertAlign w:val="superscript"/>
              </w:rPr>
            </w:pPr>
            <w:r w:rsidRPr="0030358C">
              <w:rPr>
                <w:rFonts w:ascii="Arial" w:hAnsi="Arial" w:cs="Arial"/>
                <w:bCs/>
                <w:sz w:val="22"/>
                <w:szCs w:val="22"/>
              </w:rPr>
              <w:t>3. Údaje o stacionárních zdrojích</w:t>
            </w:r>
            <w:r w:rsidRPr="0030358C">
              <w:rPr>
                <w:rFonts w:ascii="Arial" w:hAnsi="Arial" w:cs="Arial"/>
                <w:bCs/>
                <w:sz w:val="22"/>
                <w:szCs w:val="22"/>
                <w:vertAlign w:val="superscript"/>
              </w:rPr>
              <w:t>10</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C06B5B8" w14:textId="77777777" w:rsidR="0066345F" w:rsidRPr="0030358C" w:rsidRDefault="0066345F" w:rsidP="00BB7040">
            <w:pPr>
              <w:pStyle w:val="62"/>
              <w:ind w:left="0"/>
              <w:rPr>
                <w:rFonts w:ascii="Arial" w:hAnsi="Arial" w:cs="Arial"/>
                <w:bCs/>
                <w:sz w:val="22"/>
                <w:szCs w:val="22"/>
              </w:rPr>
            </w:pPr>
          </w:p>
        </w:tc>
      </w:tr>
      <w:tr w:rsidR="00E40657" w14:paraId="16E3D713"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D7AAE01" w14:textId="77777777" w:rsidR="0066345F" w:rsidRPr="0030358C" w:rsidRDefault="00000000" w:rsidP="00BB7040">
            <w:pPr>
              <w:pStyle w:val="62"/>
              <w:ind w:left="0"/>
              <w:rPr>
                <w:rFonts w:ascii="Arial" w:hAnsi="Arial" w:cs="Arial"/>
                <w:bCs/>
                <w:sz w:val="22"/>
                <w:szCs w:val="22"/>
                <w:vertAlign w:val="superscript"/>
              </w:rPr>
            </w:pPr>
            <w:r w:rsidRPr="0030358C">
              <w:rPr>
                <w:rFonts w:ascii="Arial" w:hAnsi="Arial" w:cs="Arial"/>
                <w:bCs/>
                <w:sz w:val="22"/>
                <w:szCs w:val="22"/>
              </w:rPr>
              <w:t xml:space="preserve">Pořadové číslo stacionárního zdroje </w:t>
            </w:r>
            <w:r w:rsidRPr="0030358C">
              <w:rPr>
                <w:rFonts w:ascii="Arial" w:hAnsi="Arial" w:cs="Arial"/>
                <w:bCs/>
                <w:sz w:val="22"/>
                <w:szCs w:val="22"/>
                <w:vertAlign w:val="superscript"/>
              </w:rPr>
              <w:t>11</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6723839" w14:textId="77777777" w:rsidR="0066345F" w:rsidRPr="0030358C" w:rsidRDefault="0066345F" w:rsidP="00BB7040">
            <w:pPr>
              <w:pStyle w:val="62"/>
              <w:rPr>
                <w:rFonts w:ascii="Arial" w:hAnsi="Arial" w:cs="Arial"/>
                <w:bCs/>
                <w:sz w:val="22"/>
                <w:szCs w:val="22"/>
              </w:rPr>
            </w:pPr>
          </w:p>
        </w:tc>
      </w:tr>
      <w:tr w:rsidR="00E40657" w14:paraId="291E9C02"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DBEAAD3" w14:textId="77777777" w:rsidR="0066345F" w:rsidRPr="0030358C" w:rsidRDefault="00000000" w:rsidP="00BB7040">
            <w:pPr>
              <w:pStyle w:val="62"/>
              <w:ind w:left="0"/>
              <w:rPr>
                <w:rFonts w:ascii="Arial" w:hAnsi="Arial" w:cs="Arial"/>
                <w:bCs/>
                <w:sz w:val="22"/>
                <w:szCs w:val="22"/>
                <w:vertAlign w:val="superscript"/>
              </w:rPr>
            </w:pPr>
            <w:r w:rsidRPr="0030358C">
              <w:rPr>
                <w:rFonts w:ascii="Arial" w:hAnsi="Arial" w:cs="Arial"/>
                <w:bCs/>
                <w:sz w:val="22"/>
                <w:szCs w:val="22"/>
              </w:rPr>
              <w:t>Zařazení stacionárního zdroje podle zákona</w:t>
            </w:r>
            <w:r w:rsidRPr="0030358C">
              <w:rPr>
                <w:rFonts w:ascii="Arial" w:hAnsi="Arial" w:cs="Arial"/>
                <w:bCs/>
                <w:sz w:val="22"/>
                <w:szCs w:val="22"/>
                <w:vertAlign w:val="superscript"/>
              </w:rPr>
              <w:t>12</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6AC3FF6" w14:textId="77777777" w:rsidR="0066345F" w:rsidRPr="0030358C" w:rsidRDefault="0066345F" w:rsidP="00BB7040">
            <w:pPr>
              <w:pStyle w:val="62"/>
              <w:rPr>
                <w:rFonts w:ascii="Arial" w:hAnsi="Arial" w:cs="Arial"/>
                <w:bCs/>
                <w:sz w:val="22"/>
                <w:szCs w:val="22"/>
              </w:rPr>
            </w:pPr>
          </w:p>
        </w:tc>
      </w:tr>
      <w:tr w:rsidR="00E40657" w14:paraId="71162B80"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653B1D3" w14:textId="77777777" w:rsidR="0066345F" w:rsidRPr="0030358C" w:rsidRDefault="00000000" w:rsidP="00BB7040">
            <w:pPr>
              <w:pStyle w:val="62"/>
              <w:ind w:left="0"/>
              <w:rPr>
                <w:rFonts w:ascii="Arial" w:hAnsi="Arial" w:cs="Arial"/>
                <w:bCs/>
                <w:sz w:val="22"/>
                <w:szCs w:val="22"/>
                <w:vertAlign w:val="superscript"/>
              </w:rPr>
            </w:pPr>
            <w:r w:rsidRPr="0030358C">
              <w:rPr>
                <w:rFonts w:ascii="Arial" w:hAnsi="Arial" w:cs="Arial"/>
                <w:bCs/>
                <w:sz w:val="22"/>
                <w:szCs w:val="22"/>
              </w:rPr>
              <w:t>Název stacionárního zdroje</w:t>
            </w:r>
            <w:r w:rsidRPr="0030358C">
              <w:rPr>
                <w:rFonts w:ascii="Arial" w:hAnsi="Arial" w:cs="Arial"/>
                <w:bCs/>
                <w:sz w:val="22"/>
                <w:szCs w:val="22"/>
                <w:vertAlign w:val="superscript"/>
              </w:rPr>
              <w:t>13</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3D9AEDD" w14:textId="77777777" w:rsidR="0066345F" w:rsidRPr="0030358C" w:rsidRDefault="0066345F" w:rsidP="00BB7040">
            <w:pPr>
              <w:pStyle w:val="62"/>
              <w:rPr>
                <w:rFonts w:ascii="Arial" w:hAnsi="Arial" w:cs="Arial"/>
                <w:bCs/>
                <w:sz w:val="22"/>
                <w:szCs w:val="22"/>
              </w:rPr>
            </w:pPr>
          </w:p>
        </w:tc>
      </w:tr>
      <w:tr w:rsidR="00E40657" w14:paraId="70990B12"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A8FB7D2" w14:textId="77777777" w:rsidR="0066345F" w:rsidRPr="0030358C" w:rsidRDefault="00000000" w:rsidP="00BB7040">
            <w:pPr>
              <w:pStyle w:val="62"/>
              <w:ind w:left="0"/>
              <w:rPr>
                <w:rFonts w:ascii="Arial" w:hAnsi="Arial" w:cs="Arial"/>
                <w:bCs/>
                <w:sz w:val="22"/>
                <w:szCs w:val="22"/>
                <w:vertAlign w:val="superscript"/>
              </w:rPr>
            </w:pPr>
            <w:r w:rsidRPr="0030358C">
              <w:rPr>
                <w:rFonts w:ascii="Arial" w:hAnsi="Arial" w:cs="Arial"/>
                <w:bCs/>
                <w:sz w:val="22"/>
                <w:szCs w:val="22"/>
              </w:rPr>
              <w:t>Způsob určení minimální vzdálenosti podle § 27d</w:t>
            </w:r>
            <w:r w:rsidRPr="0030358C">
              <w:rPr>
                <w:rFonts w:ascii="Arial" w:hAnsi="Arial" w:cs="Arial"/>
                <w:bCs/>
                <w:sz w:val="22"/>
                <w:szCs w:val="22"/>
                <w:vertAlign w:val="superscript"/>
              </w:rPr>
              <w:t>14</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68BE9E6" w14:textId="77777777" w:rsidR="0066345F" w:rsidRPr="0030358C" w:rsidRDefault="0066345F" w:rsidP="00BB7040">
            <w:pPr>
              <w:pStyle w:val="62"/>
              <w:rPr>
                <w:rFonts w:ascii="Arial" w:hAnsi="Arial" w:cs="Arial"/>
                <w:bCs/>
                <w:sz w:val="22"/>
                <w:szCs w:val="22"/>
              </w:rPr>
            </w:pPr>
          </w:p>
        </w:tc>
      </w:tr>
      <w:tr w:rsidR="00E40657" w14:paraId="5777B54C" w14:textId="77777777" w:rsidTr="00BB7040">
        <w:trPr>
          <w:trHeight w:val="375"/>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A4AAEBF" w14:textId="77777777" w:rsidR="0066345F" w:rsidRPr="0030358C" w:rsidRDefault="00000000" w:rsidP="00BB7040">
            <w:pPr>
              <w:pStyle w:val="62"/>
              <w:ind w:left="0"/>
              <w:rPr>
                <w:rFonts w:ascii="Arial" w:hAnsi="Arial" w:cs="Arial"/>
                <w:bCs/>
                <w:sz w:val="22"/>
                <w:szCs w:val="22"/>
                <w:vertAlign w:val="superscript"/>
              </w:rPr>
            </w:pPr>
            <w:r w:rsidRPr="0030358C">
              <w:rPr>
                <w:rFonts w:ascii="Arial" w:hAnsi="Arial" w:cs="Arial"/>
                <w:bCs/>
                <w:sz w:val="22"/>
                <w:szCs w:val="22"/>
              </w:rPr>
              <w:t>GPS souřadnice stacionárního zdroje</w:t>
            </w:r>
            <w:r w:rsidRPr="0030358C">
              <w:rPr>
                <w:rFonts w:ascii="Arial" w:hAnsi="Arial" w:cs="Arial"/>
                <w:bCs/>
                <w:sz w:val="22"/>
                <w:szCs w:val="22"/>
                <w:vertAlign w:val="superscript"/>
              </w:rPr>
              <w:t>15</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E1E9CF1" w14:textId="77777777" w:rsidR="0066345F" w:rsidRPr="0030358C" w:rsidRDefault="0066345F" w:rsidP="00BB7040">
            <w:pPr>
              <w:pStyle w:val="62"/>
              <w:ind w:left="0"/>
              <w:rPr>
                <w:rFonts w:ascii="Arial" w:hAnsi="Arial" w:cs="Arial"/>
                <w:bCs/>
                <w:sz w:val="22"/>
                <w:szCs w:val="22"/>
              </w:rPr>
            </w:pPr>
          </w:p>
        </w:tc>
      </w:tr>
    </w:tbl>
    <w:p w14:paraId="26730618" w14:textId="77777777" w:rsidR="0066345F" w:rsidRPr="0030358C" w:rsidRDefault="00000000" w:rsidP="0066345F">
      <w:pPr>
        <w:pStyle w:val="62"/>
        <w:rPr>
          <w:rFonts w:ascii="Arial" w:hAnsi="Arial" w:cs="Arial"/>
          <w:bCs/>
          <w:sz w:val="22"/>
          <w:szCs w:val="22"/>
        </w:rPr>
      </w:pPr>
      <w:r w:rsidRPr="0030358C">
        <w:rPr>
          <w:rFonts w:ascii="Arial" w:hAnsi="Arial" w:cs="Arial"/>
          <w:bCs/>
          <w:sz w:val="22"/>
          <w:szCs w:val="22"/>
        </w:rPr>
        <w:t> </w:t>
      </w:r>
    </w:p>
    <w:p w14:paraId="25BD8643"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Vysvětlivky k tabulce:</w:t>
      </w:r>
    </w:p>
    <w:p w14:paraId="72D46D03" w14:textId="77777777" w:rsidR="00CF4A0C" w:rsidRPr="0030358C" w:rsidRDefault="00000000" w:rsidP="00CF4A0C">
      <w:pPr>
        <w:pStyle w:val="62"/>
        <w:ind w:left="0"/>
        <w:rPr>
          <w:rFonts w:ascii="Arial" w:hAnsi="Arial" w:cs="Arial"/>
          <w:bCs/>
          <w:sz w:val="22"/>
          <w:szCs w:val="22"/>
        </w:rPr>
      </w:pPr>
      <w:r w:rsidRPr="0030358C">
        <w:rPr>
          <w:rFonts w:ascii="Arial" w:hAnsi="Arial" w:cs="Arial"/>
          <w:bCs/>
          <w:sz w:val="22"/>
          <w:szCs w:val="22"/>
        </w:rPr>
        <w:t>1) Identifikační číslo (IČO), bylo-li přiděleno. Fyzické osoby bez IČO vyplní ID přidělené v ISPOP.</w:t>
      </w:r>
    </w:p>
    <w:p w14:paraId="5A670087" w14:textId="77777777" w:rsidR="00CF4A0C" w:rsidRPr="0030358C" w:rsidRDefault="00000000" w:rsidP="0066345F">
      <w:pPr>
        <w:pStyle w:val="62"/>
        <w:ind w:left="0"/>
        <w:rPr>
          <w:rFonts w:ascii="Arial" w:hAnsi="Arial" w:cs="Arial"/>
          <w:bCs/>
          <w:sz w:val="22"/>
          <w:szCs w:val="22"/>
        </w:rPr>
      </w:pPr>
      <w:r w:rsidRPr="0030358C">
        <w:rPr>
          <w:rFonts w:ascii="Arial" w:hAnsi="Arial" w:cs="Arial"/>
          <w:bCs/>
          <w:sz w:val="22"/>
          <w:szCs w:val="22"/>
        </w:rPr>
        <w:t>2) Identifikační číslo provozovny (IČP) přidělené v ISPOP – označení provozovny, ve které je provozován jeden nebo více stacionárních zdrojů nebo jeden nebo více stacionárních zdrojů s povolením provozu na území kraje.</w:t>
      </w:r>
      <w:r w:rsidRPr="0030358C">
        <w:rPr>
          <w:rFonts w:ascii="Arial" w:hAnsi="Arial" w:cs="Arial"/>
          <w:bCs/>
          <w:sz w:val="22"/>
          <w:szCs w:val="22"/>
          <w:vertAlign w:val="superscript"/>
        </w:rPr>
        <w:t>3)</w:t>
      </w:r>
      <w:r w:rsidRPr="0030358C">
        <w:rPr>
          <w:rFonts w:ascii="Arial" w:hAnsi="Arial" w:cs="Arial"/>
          <w:bCs/>
          <w:sz w:val="22"/>
          <w:szCs w:val="22"/>
        </w:rPr>
        <w:t xml:space="preserve"> Identifikační číslo provozovny IRZ (integrovaný registr znečišťování životního prostředí), bylo-li přiděleno.</w:t>
      </w:r>
    </w:p>
    <w:p w14:paraId="3C8C1F5F"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3) Identifikační číslo provozovny IRZ (integrovaný registr znečišťování životního prostředí), bylo-li přiděleno.</w:t>
      </w:r>
    </w:p>
    <w:p w14:paraId="669C61AA"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lastRenderedPageBreak/>
        <w:t>4) Identifikátor PID zařízení IPPC (integrovaná prevence a omezování znečištění), byl-li přidělen.</w:t>
      </w:r>
    </w:p>
    <w:p w14:paraId="185BB504"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5) Územně technickou jednotkou se rozumí jednotka, která je vymezena jako katastrální území nebo jeho část. Názvy a kódy ÚTJ jsou součástí METIS, vedeného ČSÚ, který je garantem vedení číselníku územně technických jednotek. V případě zdroje uvedeného v bodě 2 písm. a)</w:t>
      </w:r>
      <w:r w:rsidR="00E8144A" w:rsidRPr="0030358C">
        <w:rPr>
          <w:rFonts w:ascii="Arial" w:hAnsi="Arial" w:cs="Arial"/>
          <w:bCs/>
          <w:sz w:val="22"/>
          <w:szCs w:val="22"/>
        </w:rPr>
        <w:t xml:space="preserve"> </w:t>
      </w:r>
      <w:r w:rsidRPr="0030358C">
        <w:rPr>
          <w:rFonts w:ascii="Arial" w:hAnsi="Arial" w:cs="Arial"/>
          <w:bCs/>
          <w:sz w:val="22"/>
          <w:szCs w:val="22"/>
        </w:rPr>
        <w:t>se tento údaj nevyplňuje.</w:t>
      </w:r>
    </w:p>
    <w:p w14:paraId="113C1068"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6) Adresa evidovaná v Registru územní identifikace, adres a nemovitostí podle vyhlášky 359/2011 Sb. o základním registru územní identifikace, adres a nemovitostí.</w:t>
      </w:r>
    </w:p>
    <w:p w14:paraId="484E10DD"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7) Parcela související s provozem zdroje/zdrojů v případě, že není k dispozici adresa evidovaná v Registru územní identifikace, adres a nemovitostí. Pokyny k výběru parcely určuje provozovatel ISPOP.</w:t>
      </w:r>
    </w:p>
    <w:p w14:paraId="75E9D921"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xml:space="preserve">8) V případě </w:t>
      </w:r>
      <w:r w:rsidR="004D23D9" w:rsidRPr="0030358C">
        <w:rPr>
          <w:rFonts w:ascii="Arial" w:hAnsi="Arial" w:cs="Arial"/>
          <w:bCs/>
          <w:sz w:val="22"/>
          <w:szCs w:val="22"/>
        </w:rPr>
        <w:t xml:space="preserve">zdrojů uvedených v bodě 2 písm. a), které mohou být provozovány na více místech, a které jsou povoleny k provozu pro celé území kraje, </w:t>
      </w:r>
      <w:r w:rsidRPr="0030358C">
        <w:rPr>
          <w:rFonts w:ascii="Arial" w:hAnsi="Arial" w:cs="Arial"/>
          <w:bCs/>
          <w:sz w:val="22"/>
          <w:szCs w:val="22"/>
        </w:rPr>
        <w:t>se uvede název krajského úřadu, který vydal povolení provozu zdroje.</w:t>
      </w:r>
    </w:p>
    <w:p w14:paraId="273BC7F1"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9) U provozovny, za kterou se provádí ohlašování podle bodu 1 písm. a), se uvede, zda bylo v období posledních 4 let provedeno jednorázové měření emisí v intervalu podle § 3 odst. 3.</w:t>
      </w:r>
    </w:p>
    <w:p w14:paraId="3B723341"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10) Vztahuje se na stacionární zdroje, pro které příloha č. 20 stanovuje minimální vzdálenosti.</w:t>
      </w:r>
    </w:p>
    <w:p w14:paraId="27252220"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11)  Pořadové číslo stacionárního zdroje v rámci provozovny.</w:t>
      </w:r>
    </w:p>
    <w:p w14:paraId="569AF379"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12) Zařazení stacionárního zdroje do kategorie podle přílohy č. 2a zákona (dle číselníku uveřejněného ve Věstníku MŽP).</w:t>
      </w:r>
    </w:p>
    <w:p w14:paraId="117B5E99" w14:textId="77777777" w:rsidR="000261E9" w:rsidRPr="0030358C" w:rsidRDefault="00000000" w:rsidP="0066345F">
      <w:pPr>
        <w:pStyle w:val="62"/>
        <w:ind w:left="0"/>
        <w:rPr>
          <w:rFonts w:ascii="Arial" w:hAnsi="Arial" w:cs="Arial"/>
          <w:bCs/>
          <w:sz w:val="22"/>
          <w:szCs w:val="22"/>
        </w:rPr>
      </w:pPr>
      <w:r w:rsidRPr="0030358C">
        <w:rPr>
          <w:rFonts w:ascii="Arial" w:hAnsi="Arial" w:cs="Arial"/>
          <w:bCs/>
          <w:sz w:val="22"/>
          <w:szCs w:val="22"/>
        </w:rPr>
        <w:t>13) Název jiného stacionárního zdroje dle provozního řádu a není-li tento vyžadován, dle povolení k provozu nebo technické dokumentace.</w:t>
      </w:r>
    </w:p>
    <w:p w14:paraId="44E8CDCD"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14) Způsob určení minimální vzdálenosti podle § 27d (dle číselníku uveřejněného ve Věstníku MŽP).</w:t>
      </w:r>
    </w:p>
    <w:p w14:paraId="322C107C"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15) GPS souřadnice geometrického středu stacionárního zdroje, ve formátu WGS 84 DD (World Geodetic System), běžně používaném GPS přístroji.</w:t>
      </w:r>
    </w:p>
    <w:p w14:paraId="5F8124CF" w14:textId="77777777" w:rsidR="0066345F" w:rsidRPr="0030358C" w:rsidRDefault="0066345F" w:rsidP="0066345F">
      <w:pPr>
        <w:rPr>
          <w:rFonts w:ascii="Arial" w:hAnsi="Arial" w:cs="Arial"/>
          <w:b/>
          <w:sz w:val="22"/>
          <w:szCs w:val="22"/>
        </w:rPr>
      </w:pPr>
    </w:p>
    <w:p w14:paraId="786E0924" w14:textId="77777777" w:rsidR="0066345F" w:rsidRPr="0030358C" w:rsidRDefault="00000000" w:rsidP="0066345F">
      <w:pPr>
        <w:rPr>
          <w:rFonts w:ascii="Arial" w:hAnsi="Arial" w:cs="Arial"/>
          <w:b/>
          <w:sz w:val="22"/>
          <w:szCs w:val="22"/>
        </w:rPr>
      </w:pPr>
      <w:r w:rsidRPr="0030358C">
        <w:rPr>
          <w:rFonts w:ascii="Arial" w:hAnsi="Arial" w:cs="Arial"/>
          <w:b/>
          <w:sz w:val="22"/>
          <w:szCs w:val="22"/>
        </w:rPr>
        <w:t>1.2. Souhrnná provozní evidence spalovacích stacionárních zdrojů a spaloven odpadů</w:t>
      </w:r>
    </w:p>
    <w:p w14:paraId="30619228" w14:textId="77777777" w:rsidR="0066345F" w:rsidRPr="0030358C" w:rsidRDefault="00000000" w:rsidP="0066345F">
      <w:pPr>
        <w:pStyle w:val="62"/>
        <w:rPr>
          <w:rFonts w:ascii="Arial" w:hAnsi="Arial" w:cs="Arial"/>
          <w:b/>
          <w:sz w:val="22"/>
          <w:szCs w:val="22"/>
        </w:rPr>
      </w:pPr>
      <w:r w:rsidRPr="0030358C">
        <w:rPr>
          <w:rFonts w:ascii="Arial" w:hAnsi="Arial" w:cs="Arial"/>
          <w:b/>
          <w:sz w:val="22"/>
          <w:szCs w:val="22"/>
        </w:rPr>
        <w:t> </w:t>
      </w:r>
    </w:p>
    <w:tbl>
      <w:tblPr>
        <w:tblW w:w="0" w:type="auto"/>
        <w:tblLook w:val="04A0" w:firstRow="1" w:lastRow="0" w:firstColumn="1" w:lastColumn="0" w:noHBand="0" w:noVBand="1"/>
      </w:tblPr>
      <w:tblGrid>
        <w:gridCol w:w="1668"/>
        <w:gridCol w:w="4670"/>
        <w:gridCol w:w="2453"/>
        <w:gridCol w:w="259"/>
      </w:tblGrid>
      <w:tr w:rsidR="00E40657" w14:paraId="4590B6DD"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A30C78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C64167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Pořadové číslo stacionárního zdroje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6BF579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4623DBA"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BC4292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F6BBA7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Zařazení stacionárního zdroje podle zákona</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2DC9C3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D677081"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7E6EE8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15A52D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Datum vydání povolení provozu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129D89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52A9490"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453AF3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975030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Datum uvedení do provozu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9030D8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FB8BCEC"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D922BB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BA39EF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Název stacionárního zdroje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F1625E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DEAA61C"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D3497C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5B08D3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Tepelná účinnost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126F0A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DF676DB"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DF3548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AFF203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Jmenovitý tepelný výkon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8833E3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942010C" w14:textId="77777777" w:rsidTr="00BB7040">
        <w:trPr>
          <w:trHeight w:val="55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33A963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9A169C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Instalovaný elektrický výkon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063370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0C5EEEE"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42F017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A58702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Jmenovitý tepelný příkon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DD4336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9E2844E"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46C16D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1B55C5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Celkový jmenovitý tepelný příkon [MW]</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5A584B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39E4EEB3"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1FA73E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03D87B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Projektovaná kapacita spalovny odpadu [t/rok]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38D2C2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088DFA2"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EA62AE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lastRenderedPageBreak/>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7C8027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Druh topeniště</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F14157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22D2298"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DF81C7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26A1B6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Provozní hodiny [h/rok]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BA98A5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3160599B"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894E5C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33FE4D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Celkové provozní hodiny [h/rok]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53B5CB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360CCC0"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85A5E9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DEB5AB7"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Využití kapacity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903D720"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12B495D"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39BD1B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BC85B60"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Teplo dodané k využití ze stacionárního zdroje [GJ/rok]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066572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E2A6E1B" w14:textId="77777777" w:rsidTr="00BB7040">
        <w:trPr>
          <w:trHeight w:val="720"/>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4AA63D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7C49D3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Podíl tepla dodaného ve formě páry nebo horké vody do soustavy zásobování tepelnou energií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CCF778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615C3BC"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CCEF4D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A93159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Druh paliva nebo odpadu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7B06B6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DBE6540"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C02D14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3242DD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Výhřevnost paliva [kJ/kg, kJ/m</w:t>
            </w:r>
            <w:r w:rsidR="007408A2" w:rsidRPr="0030358C">
              <w:rPr>
                <w:rFonts w:ascii="Arial" w:hAnsi="Arial" w:cs="Arial"/>
                <w:bCs/>
                <w:sz w:val="22"/>
                <w:szCs w:val="22"/>
                <w:vertAlign w:val="superscript"/>
              </w:rPr>
              <w:t>3</w:t>
            </w:r>
            <w:r w:rsidRPr="0030358C">
              <w:rPr>
                <w:rFonts w:ascii="Arial" w:hAnsi="Arial" w:cs="Arial"/>
                <w:bCs/>
                <w:sz w:val="22"/>
                <w:szCs w:val="22"/>
              </w:rPr>
              <w: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DFEA9A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5C192AE"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C3F17F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20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B878F7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Spotřeba paliva nebo odpadů [t/rok, tis. m</w:t>
            </w:r>
            <w:r w:rsidRPr="0030358C">
              <w:rPr>
                <w:rFonts w:ascii="Arial" w:hAnsi="Arial" w:cs="Arial"/>
                <w:bCs/>
                <w:sz w:val="22"/>
                <w:szCs w:val="22"/>
                <w:vertAlign w:val="superscript"/>
              </w:rPr>
              <w:t>3</w:t>
            </w:r>
            <w:r w:rsidRPr="0030358C">
              <w:rPr>
                <w:rFonts w:ascii="Arial" w:hAnsi="Arial" w:cs="Arial"/>
                <w:bCs/>
                <w:sz w:val="22"/>
                <w:szCs w:val="22"/>
              </w:rPr>
              <w:t>/rok]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A9874B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0846E2F" w14:textId="77777777" w:rsidTr="00BB7040">
        <w:trPr>
          <w:trHeight w:val="375"/>
        </w:trPr>
        <w:tc>
          <w:tcPr>
            <w:tcW w:w="25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E24D1A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21</w:t>
            </w:r>
          </w:p>
        </w:tc>
        <w:tc>
          <w:tcPr>
            <w:tcW w:w="6982"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58C1FE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Emise znečišťujících látek [t/rok]</w:t>
            </w:r>
          </w:p>
        </w:tc>
        <w:tc>
          <w:tcPr>
            <w:tcW w:w="408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BB1B7A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BDEE1A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bl>
    <w:p w14:paraId="3383CDBA" w14:textId="77777777" w:rsidR="0066345F" w:rsidRPr="0030358C" w:rsidRDefault="00000000" w:rsidP="0066345F">
      <w:pPr>
        <w:pStyle w:val="62"/>
        <w:rPr>
          <w:rFonts w:ascii="Arial" w:hAnsi="Arial" w:cs="Arial"/>
          <w:bCs/>
          <w:sz w:val="22"/>
          <w:szCs w:val="22"/>
        </w:rPr>
      </w:pPr>
      <w:r w:rsidRPr="0030358C">
        <w:rPr>
          <w:rFonts w:ascii="Arial" w:hAnsi="Arial" w:cs="Arial"/>
          <w:bCs/>
          <w:sz w:val="22"/>
          <w:szCs w:val="22"/>
        </w:rPr>
        <w:t> </w:t>
      </w:r>
    </w:p>
    <w:p w14:paraId="62782B70" w14:textId="77777777" w:rsidR="0066345F" w:rsidRPr="0030358C" w:rsidRDefault="00000000" w:rsidP="0066345F">
      <w:pPr>
        <w:rPr>
          <w:rFonts w:ascii="Arial" w:hAnsi="Arial" w:cs="Arial"/>
          <w:bCs/>
          <w:sz w:val="22"/>
          <w:szCs w:val="22"/>
        </w:rPr>
      </w:pPr>
      <w:r w:rsidRPr="0030358C">
        <w:rPr>
          <w:rFonts w:ascii="Arial" w:hAnsi="Arial" w:cs="Arial"/>
          <w:bCs/>
          <w:sz w:val="22"/>
          <w:szCs w:val="22"/>
        </w:rPr>
        <w:t>Vysvětlivky a návod pro vyplnění údajů podle čísla řádku:</w:t>
      </w:r>
    </w:p>
    <w:p w14:paraId="372763D8"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w:t>
      </w:r>
    </w:p>
    <w:p w14:paraId="7D2E2E7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V případě spalovacích stacionárních zdrojů označených stejným kódem podle přílohy č. 2 k zákonu o jmenovitém tepelném příkonu do 1 MW včetně, spalujících plynná paliva, se níže uvedené údaje vyplňují souhrnně.</w:t>
      </w:r>
    </w:p>
    <w:p w14:paraId="6FBA1CC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xml:space="preserve">1 Pořadové číslo stacionárního zdroje v rámci provozovny, </w:t>
      </w:r>
      <w:r w:rsidR="006441D4" w:rsidRPr="0030358C">
        <w:rPr>
          <w:rFonts w:ascii="Arial" w:hAnsi="Arial" w:cs="Arial"/>
          <w:bCs/>
          <w:sz w:val="22"/>
          <w:szCs w:val="22"/>
        </w:rPr>
        <w:t xml:space="preserve">evidované v </w:t>
      </w:r>
      <w:r w:rsidRPr="0030358C">
        <w:rPr>
          <w:rFonts w:ascii="Arial" w:hAnsi="Arial" w:cs="Arial"/>
          <w:bCs/>
          <w:sz w:val="22"/>
          <w:szCs w:val="22"/>
        </w:rPr>
        <w:t>ISPOP.</w:t>
      </w:r>
    </w:p>
    <w:p w14:paraId="51EF782E"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2 Zařazení stacionárního zdroje do kategorie podle přílohy č. 2 zákona (dle číselníku uveřejněného ve Věstníku MŽP).</w:t>
      </w:r>
    </w:p>
    <w:p w14:paraId="6AE24DD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3 Uvede se datum vydání povolení provozu nebo jiného obdobného povolení vydaného podle dřívějších právních předpisů pro daný stacionární zdroj.</w:t>
      </w:r>
    </w:p>
    <w:p w14:paraId="06D1BFE6"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4 Uvede se datum prvního uvedení spalovacího stacionárního zdroje o jmenovitém tepelném příkonu nižším než 50 MW do provozu. Pokud není skutečné datum uvedení do provozu známo a zdroj byl uveden do provozu před 20. 12. 2018, uvede se datum 1. 1. 1900.</w:t>
      </w:r>
    </w:p>
    <w:p w14:paraId="37BB9F6A"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5 Uvede se název stacionárního zdroje dle provozního řádu nebo povolení provozu nebo technické dokumentace. Jedná-li se o záložní zdroj energie nebo požární čerpadlo, uvede se tato skutečnost jako součást názvu stacionárního zdroje (např. M1 – záložní zdroj energie).</w:t>
      </w:r>
    </w:p>
    <w:p w14:paraId="33DF7C93"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6 Vyplní se tepelná účinnost stacionárního zdroje.</w:t>
      </w:r>
    </w:p>
    <w:p w14:paraId="1FBAEFC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7 Vyplní se jmenovitý tepelný výkon spalovacího stacionárního zdroje dle technické dokumentace spalovacího stacionárního zdroje.</w:t>
      </w:r>
    </w:p>
    <w:p w14:paraId="618DF0CC"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8 Vyplní se údaj o instalovaném elektrickém výkonu dle technické dokumentace stacionárního zdroje znečišťování. Nevyplňuje se u zdrojů, které nevyrábí elektrickou energii.</w:t>
      </w:r>
    </w:p>
    <w:p w14:paraId="1D5BA8D7"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9 Vyplní se jmenovitý tepelný příkon spalovacího stacionárního zdroje dle technické dokumentace spalovacího stacionárního zdroje.</w:t>
      </w:r>
    </w:p>
    <w:p w14:paraId="6068F4B4"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10 Vyplní se celkový jmenovitý tepelný příkon podle § 4b zákona.</w:t>
      </w:r>
      <w:r w:rsidR="00F31DC4" w:rsidRPr="0030358C">
        <w:rPr>
          <w:rFonts w:ascii="Arial" w:hAnsi="Arial" w:cs="Arial"/>
          <w:bCs/>
          <w:sz w:val="22"/>
          <w:szCs w:val="22"/>
        </w:rPr>
        <w:t xml:space="preserve"> </w:t>
      </w:r>
    </w:p>
    <w:p w14:paraId="35808ADD"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11 Vyplní se údaj o projektované kapacitě spalovny odpadů dle technické dokumentace.</w:t>
      </w:r>
    </w:p>
    <w:p w14:paraId="1F5C0239"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w:t>
      </w:r>
    </w:p>
    <w:p w14:paraId="27CE188E"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12 Vyplní se druh topeniště (např. roštové, fluidní, plynový hořák atd.) dle číselníku uveřejněného ve Věstníku Ministerstva životního prostředí.</w:t>
      </w:r>
    </w:p>
    <w:p w14:paraId="2890BCE1"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lastRenderedPageBreak/>
        <w:t>13 Počet provozních hodin, po které byl spalovací stacionární zdroj ve vykazovaném kalendářním roce v provozu.</w:t>
      </w:r>
    </w:p>
    <w:p w14:paraId="53AACD8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14 Celkový počet provozních hodin, po které byly spalovací stacionární zdroje, u nichž se jmenovité tepelné příkony podle § 4b zákona sčítají, ve vykazovaném roce provozovány. Je-li současně v provozu více spalovacích stacionárních zdrojů, u nichž se jmenovité tepelné příkony podle § 4b zákona sčítají, každá hodina jejich společného provozu se započítává pouze jednou. Tento údaj se vyplňuje pouze u spalovacích stacionárních zdrojů s celkovým jmenovitým tepelným příkonem 50 MW a vyšším a u záložních zdrojů energie.</w:t>
      </w:r>
    </w:p>
    <w:p w14:paraId="5A9C241D"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15 Počet provozních hodin stacionárního zdroje za rok po přepočtu na stupeň využití instalované kapacity.</w:t>
      </w:r>
    </w:p>
    <w:p w14:paraId="3322457A"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16 Celkové množství tepla dodaného k využití ze spalovacího stacionárního zdroje ve vykazovaném kalendářním roce.</w:t>
      </w:r>
    </w:p>
    <w:p w14:paraId="44D02419"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17 Celkové množství tepla dodaného do soustavy zásobování tepelnou energií podle energetického zákona</w:t>
      </w:r>
      <w:r w:rsidRPr="0030358C">
        <w:rPr>
          <w:rFonts w:ascii="Arial" w:hAnsi="Arial" w:cs="Arial"/>
          <w:bCs/>
          <w:sz w:val="22"/>
          <w:szCs w:val="22"/>
          <w:vertAlign w:val="superscript"/>
        </w:rPr>
        <w:t>9</w:t>
      </w:r>
      <w:r w:rsidRPr="0030358C">
        <w:rPr>
          <w:rFonts w:ascii="Arial" w:hAnsi="Arial" w:cs="Arial"/>
          <w:bCs/>
          <w:sz w:val="22"/>
          <w:szCs w:val="22"/>
        </w:rPr>
        <w:t xml:space="preserve"> ve formě páry, horké či teplé vody, vyjádřeno jako klouzavý průměr za období pěti let a jako procenta (%) z celkového množství vyrobeného užitného tepla dodaného k využití ze spalovacího stacionárního zdroje, vyjádřeno jako klouzavý průměr za období pěti let. Tento údaj se vyplňuje se pouze u spalovacích stacionárních zdrojů s celkovým jmenovitým tepelným příkonem 20 MW a vyšším a u zdrojů využívajících výjimku z plnění emisních limitů na základě stanoveného minimálního podílu dodaného tepla.</w:t>
      </w:r>
    </w:p>
    <w:p w14:paraId="0005B791"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18 Uvede se druh (druhy) spalovaného paliva (dle číselníku uveřejněného ve Věstníku MŽP), u spaloven odpadů nebo u spalovacích stacionárních zdrojů tepelně zpracovávajících odpad nebo palivo vyrobené z odpadu společně s palivem se uvede rovněž jako samostatná položka odpad nebo palivo vyrobené z odpadu (bez bližšího určení).</w:t>
      </w:r>
    </w:p>
    <w:p w14:paraId="765FD90A"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19 Uvede se hodnota roční průměrné výhřevnosti paliva podle údajů dodavatele paliva.</w:t>
      </w:r>
    </w:p>
    <w:p w14:paraId="56164AA5"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20 Uvede se celková spotřeba paliva využívaného spalovacím stacionárním zdrojem ve vykazovaném roce; v případě, že je tepelně zpracováván odpad nebo odpady nebo palivo vyrobené z odpadu, uvede se k údaji odpovídajícímu položce 18 celkové množství spálených odpadů nebo paliv vyrobených z odpadů.</w:t>
      </w:r>
    </w:p>
    <w:p w14:paraId="303A86DE"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21 Celkové množství emisí znečišťujících látek (dle číselníku uveřejněného ve Věstníku MŽP), vypuštěných do ovzduší ze stacionárního zdroje za vykazovaný kalendářní rok, pro které má provozovatel stacionárního zdroje podle § 6 odst. 1 zákona stanovenu povinnost zjišťovat úroveň znečišťování.</w:t>
      </w:r>
    </w:p>
    <w:p w14:paraId="5054ADD7" w14:textId="77777777" w:rsidR="0066345F" w:rsidRPr="0030358C" w:rsidRDefault="00000000" w:rsidP="00864C88">
      <w:pPr>
        <w:pStyle w:val="62"/>
        <w:rPr>
          <w:rFonts w:ascii="Arial" w:hAnsi="Arial" w:cs="Arial"/>
          <w:bCs/>
          <w:sz w:val="22"/>
          <w:szCs w:val="22"/>
        </w:rPr>
      </w:pPr>
      <w:r w:rsidRPr="0030358C">
        <w:rPr>
          <w:rFonts w:ascii="Arial" w:hAnsi="Arial" w:cs="Arial"/>
          <w:bCs/>
          <w:sz w:val="22"/>
          <w:szCs w:val="22"/>
        </w:rPr>
        <w:t> </w:t>
      </w:r>
      <w:r w:rsidRPr="0030358C">
        <w:rPr>
          <w:rFonts w:ascii="Arial" w:hAnsi="Arial" w:cs="Arial"/>
          <w:bCs/>
          <w:sz w:val="22"/>
          <w:szCs w:val="22"/>
        </w:rPr>
        <w:br w:type="page"/>
      </w:r>
    </w:p>
    <w:p w14:paraId="5B9DFDFA" w14:textId="77777777" w:rsidR="0066345F" w:rsidRPr="0030358C" w:rsidRDefault="00000000" w:rsidP="0016206C">
      <w:pPr>
        <w:pStyle w:val="62"/>
        <w:ind w:left="0"/>
        <w:rPr>
          <w:rFonts w:ascii="Arial" w:hAnsi="Arial" w:cs="Arial"/>
          <w:b/>
          <w:sz w:val="22"/>
          <w:szCs w:val="22"/>
        </w:rPr>
      </w:pPr>
      <w:r w:rsidRPr="0030358C">
        <w:rPr>
          <w:rFonts w:ascii="Arial" w:hAnsi="Arial" w:cs="Arial"/>
          <w:b/>
          <w:sz w:val="22"/>
          <w:szCs w:val="22"/>
        </w:rPr>
        <w:lastRenderedPageBreak/>
        <w:t>1.3. Souhrnná provozní evidence jiných stacionárních zdrojů</w:t>
      </w:r>
    </w:p>
    <w:p w14:paraId="572536BC" w14:textId="77777777" w:rsidR="0066345F" w:rsidRPr="0030358C" w:rsidRDefault="00000000" w:rsidP="0066345F">
      <w:pPr>
        <w:pStyle w:val="62"/>
        <w:rPr>
          <w:rFonts w:ascii="Arial" w:hAnsi="Arial" w:cs="Arial"/>
          <w:b/>
          <w:sz w:val="22"/>
          <w:szCs w:val="22"/>
        </w:rPr>
      </w:pPr>
      <w:r w:rsidRPr="0030358C">
        <w:rPr>
          <w:rFonts w:ascii="Arial" w:hAnsi="Arial" w:cs="Arial"/>
          <w:b/>
          <w:sz w:val="22"/>
          <w:szCs w:val="22"/>
        </w:rPr>
        <w:t> </w:t>
      </w:r>
    </w:p>
    <w:tbl>
      <w:tblPr>
        <w:tblW w:w="0" w:type="auto"/>
        <w:tblLook w:val="04A0" w:firstRow="1" w:lastRow="0" w:firstColumn="1" w:lastColumn="0" w:noHBand="0" w:noVBand="1"/>
      </w:tblPr>
      <w:tblGrid>
        <w:gridCol w:w="1380"/>
        <w:gridCol w:w="4590"/>
        <w:gridCol w:w="2806"/>
        <w:gridCol w:w="274"/>
      </w:tblGrid>
      <w:tr w:rsidR="00E40657" w14:paraId="1F0A9148"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9B1BF1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2FD75D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Pořadové číslo stacionárního zdroje</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09E2BF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1BA5D55"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374411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DF2B3B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Zařazení stacionárního zdroje podle zákona</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2E5B76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AA9DFBC"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59B8197"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9C72D2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Výjimka z minimálních vzdáleností</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91B62CB" w14:textId="77777777" w:rsidR="0066345F" w:rsidRPr="0030358C" w:rsidRDefault="0066345F" w:rsidP="00BB7040">
            <w:pPr>
              <w:pStyle w:val="62"/>
              <w:ind w:left="0"/>
              <w:rPr>
                <w:rFonts w:ascii="Arial" w:hAnsi="Arial" w:cs="Arial"/>
                <w:bCs/>
                <w:sz w:val="22"/>
                <w:szCs w:val="22"/>
              </w:rPr>
            </w:pPr>
          </w:p>
        </w:tc>
      </w:tr>
      <w:tr w:rsidR="00E40657" w14:paraId="68FAE0E5"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1F90EE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ABDAB6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Název stacionárního zdroje</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96669E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0B30D8E"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B92A0C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32E1E1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Provozní hodiny [h/rok]</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B44927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34D39608"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01C013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D68565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xml:space="preserve">Druh spalovaného paliva nebo odpadu nebo elektrická energie </w:t>
            </w:r>
          </w:p>
          <w:p w14:paraId="56C5A8B0"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7E55AA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133606B3"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42F70F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B0DBF8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Výhřevnost paliva [kJ/kg, kJ/m</w:t>
            </w:r>
            <w:r w:rsidR="00F47DF9" w:rsidRPr="0030358C">
              <w:rPr>
                <w:rFonts w:ascii="Arial" w:hAnsi="Arial" w:cs="Arial"/>
                <w:bCs/>
                <w:sz w:val="22"/>
                <w:szCs w:val="22"/>
                <w:vertAlign w:val="superscript"/>
              </w:rPr>
              <w:t>3</w:t>
            </w:r>
            <w:r w:rsidRPr="0030358C">
              <w:rPr>
                <w:rFonts w:ascii="Arial" w:hAnsi="Arial" w:cs="Arial"/>
                <w:bCs/>
                <w:sz w:val="22"/>
                <w:szCs w:val="22"/>
              </w:rPr>
              <w:t>]</w:t>
            </w:r>
          </w:p>
          <w:p w14:paraId="797A357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061639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0D0B866"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AABC40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A8B8FC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Spotřeba spáleného paliva a odpadů [t/rok, tis. m</w:t>
            </w:r>
            <w:r w:rsidRPr="0030358C">
              <w:rPr>
                <w:rFonts w:ascii="Arial" w:hAnsi="Arial" w:cs="Arial"/>
                <w:bCs/>
                <w:sz w:val="22"/>
                <w:szCs w:val="22"/>
                <w:vertAlign w:val="superscript"/>
              </w:rPr>
              <w:t>3</w:t>
            </w:r>
            <w:r w:rsidRPr="0030358C">
              <w:rPr>
                <w:rFonts w:ascii="Arial" w:hAnsi="Arial" w:cs="Arial"/>
                <w:bCs/>
                <w:sz w:val="22"/>
                <w:szCs w:val="22"/>
              </w:rPr>
              <w:t xml:space="preserve">/rok] nebo elektrické energie [kWh] </w:t>
            </w:r>
          </w:p>
          <w:p w14:paraId="6717228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D946417"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E6914D1"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23EE637"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9</w:t>
            </w:r>
          </w:p>
        </w:tc>
        <w:tc>
          <w:tcPr>
            <w:tcW w:w="4444"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212988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xml:space="preserve">Spotřeba VOC (t/rok] u stacionárních zdrojů spadajících do přílohy č. 5, části II </w:t>
            </w: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E7371D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dle § 21 písm. a)</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DE3921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1BBC52C"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05044D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10</w:t>
            </w:r>
          </w:p>
        </w:tc>
        <w:tc>
          <w:tcPr>
            <w:tcW w:w="0" w:type="auto"/>
            <w:vMerge/>
            <w:tcBorders>
              <w:top w:val="nil"/>
              <w:left w:val="single" w:sz="8" w:space="0" w:color="000000"/>
              <w:bottom w:val="single" w:sz="8" w:space="0" w:color="000000"/>
              <w:right w:val="single" w:sz="8" w:space="0" w:color="000000"/>
            </w:tcBorders>
          </w:tcPr>
          <w:p w14:paraId="526D6DFA" w14:textId="77777777" w:rsidR="0066345F" w:rsidRPr="0030358C" w:rsidRDefault="0066345F" w:rsidP="00BB7040">
            <w:pPr>
              <w:pStyle w:val="62"/>
              <w:rPr>
                <w:rFonts w:ascii="Arial" w:hAnsi="Arial" w:cs="Arial"/>
                <w:bCs/>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B20FE7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dle § 21 písm. b)</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BCFE61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2B54479"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B87EC4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11</w:t>
            </w:r>
          </w:p>
        </w:tc>
        <w:tc>
          <w:tcPr>
            <w:tcW w:w="0" w:type="auto"/>
            <w:vMerge/>
            <w:tcBorders>
              <w:top w:val="nil"/>
              <w:left w:val="single" w:sz="8" w:space="0" w:color="000000"/>
              <w:bottom w:val="single" w:sz="8" w:space="0" w:color="000000"/>
              <w:right w:val="single" w:sz="8" w:space="0" w:color="000000"/>
            </w:tcBorders>
          </w:tcPr>
          <w:p w14:paraId="487FF141" w14:textId="77777777" w:rsidR="0066345F" w:rsidRPr="0030358C" w:rsidRDefault="0066345F" w:rsidP="00BB7040">
            <w:pPr>
              <w:pStyle w:val="62"/>
              <w:rPr>
                <w:rFonts w:ascii="Arial" w:hAnsi="Arial" w:cs="Arial"/>
                <w:bCs/>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F57217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dle § 21 písm. c)</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CAB4CF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E87D057"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F10C99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211CA4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Druh výrobku</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F8A7A6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2B9EEAB0" w14:textId="77777777" w:rsidTr="00BB7040">
        <w:trPr>
          <w:trHeight w:val="375"/>
        </w:trPr>
        <w:tc>
          <w:tcPr>
            <w:tcW w:w="156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B504F2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2FA6CA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Množství výrobku</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C28284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E0DF8D7" w14:textId="77777777" w:rsidTr="00BB7040">
        <w:trPr>
          <w:trHeight w:val="45"/>
        </w:trPr>
        <w:tc>
          <w:tcPr>
            <w:tcW w:w="1569"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A9E3E2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14</w:t>
            </w:r>
          </w:p>
        </w:tc>
        <w:tc>
          <w:tcPr>
            <w:tcW w:w="4444"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3C40ED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Emise znečišťujících látek [t/rok]</w:t>
            </w: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379A39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C86E50D"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D3AFC35" w14:textId="77777777" w:rsidTr="00BB7040">
        <w:trPr>
          <w:trHeight w:val="45"/>
        </w:trPr>
        <w:tc>
          <w:tcPr>
            <w:tcW w:w="0" w:type="auto"/>
            <w:vMerge/>
            <w:tcBorders>
              <w:top w:val="nil"/>
              <w:left w:val="single" w:sz="8" w:space="0" w:color="000000"/>
              <w:bottom w:val="single" w:sz="8" w:space="0" w:color="000000"/>
              <w:right w:val="single" w:sz="8" w:space="0" w:color="000000"/>
            </w:tcBorders>
          </w:tcPr>
          <w:p w14:paraId="09103723" w14:textId="77777777" w:rsidR="0066345F" w:rsidRPr="0030358C" w:rsidRDefault="0066345F" w:rsidP="00BB7040">
            <w:pPr>
              <w:pStyle w:val="62"/>
              <w:rPr>
                <w:rFonts w:ascii="Arial" w:hAnsi="Arial" w:cs="Arial"/>
                <w:bCs/>
                <w:sz w:val="22"/>
                <w:szCs w:val="22"/>
              </w:rPr>
            </w:pPr>
          </w:p>
        </w:tc>
        <w:tc>
          <w:tcPr>
            <w:tcW w:w="0" w:type="auto"/>
            <w:vMerge/>
            <w:tcBorders>
              <w:top w:val="nil"/>
              <w:left w:val="single" w:sz="8" w:space="0" w:color="000000"/>
              <w:bottom w:val="single" w:sz="8" w:space="0" w:color="000000"/>
              <w:right w:val="single" w:sz="8" w:space="0" w:color="000000"/>
            </w:tcBorders>
          </w:tcPr>
          <w:p w14:paraId="4E1FE3D3" w14:textId="77777777" w:rsidR="0066345F" w:rsidRPr="0030358C" w:rsidRDefault="0066345F" w:rsidP="00BB7040">
            <w:pPr>
              <w:pStyle w:val="62"/>
              <w:rPr>
                <w:rFonts w:ascii="Arial" w:hAnsi="Arial" w:cs="Arial"/>
                <w:bCs/>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873F2A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330410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68B73BD" w14:textId="77777777" w:rsidTr="00BB7040">
        <w:trPr>
          <w:trHeight w:val="285"/>
        </w:trPr>
        <w:tc>
          <w:tcPr>
            <w:tcW w:w="0" w:type="auto"/>
            <w:vMerge/>
            <w:tcBorders>
              <w:top w:val="nil"/>
              <w:left w:val="single" w:sz="8" w:space="0" w:color="000000"/>
              <w:bottom w:val="single" w:sz="8" w:space="0" w:color="000000"/>
              <w:right w:val="single" w:sz="8" w:space="0" w:color="000000"/>
            </w:tcBorders>
          </w:tcPr>
          <w:p w14:paraId="5AEA8193" w14:textId="77777777" w:rsidR="0066345F" w:rsidRPr="0030358C" w:rsidRDefault="0066345F" w:rsidP="00BB7040">
            <w:pPr>
              <w:pStyle w:val="62"/>
              <w:rPr>
                <w:rFonts w:ascii="Arial" w:hAnsi="Arial" w:cs="Arial"/>
                <w:bCs/>
                <w:sz w:val="22"/>
                <w:szCs w:val="22"/>
              </w:rPr>
            </w:pPr>
          </w:p>
        </w:tc>
        <w:tc>
          <w:tcPr>
            <w:tcW w:w="0" w:type="auto"/>
            <w:vMerge/>
            <w:tcBorders>
              <w:top w:val="nil"/>
              <w:left w:val="single" w:sz="8" w:space="0" w:color="000000"/>
              <w:bottom w:val="single" w:sz="8" w:space="0" w:color="000000"/>
              <w:right w:val="single" w:sz="8" w:space="0" w:color="000000"/>
            </w:tcBorders>
          </w:tcPr>
          <w:p w14:paraId="7179DC36" w14:textId="77777777" w:rsidR="0066345F" w:rsidRPr="0030358C" w:rsidRDefault="0066345F" w:rsidP="00BB7040">
            <w:pPr>
              <w:pStyle w:val="62"/>
              <w:rPr>
                <w:rFonts w:ascii="Arial" w:hAnsi="Arial" w:cs="Arial"/>
                <w:bCs/>
                <w:sz w:val="22"/>
                <w:szCs w:val="22"/>
              </w:rPr>
            </w:pPr>
          </w:p>
        </w:tc>
        <w:tc>
          <w:tcPr>
            <w:tcW w:w="2753"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B01EE7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86"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42625F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bl>
    <w:p w14:paraId="2EE3C891" w14:textId="77777777" w:rsidR="0066345F" w:rsidRPr="0030358C" w:rsidRDefault="00000000" w:rsidP="0066345F">
      <w:pPr>
        <w:pStyle w:val="62"/>
        <w:rPr>
          <w:rFonts w:ascii="Arial" w:hAnsi="Arial" w:cs="Arial"/>
          <w:bCs/>
          <w:sz w:val="22"/>
          <w:szCs w:val="22"/>
        </w:rPr>
      </w:pPr>
      <w:r w:rsidRPr="0030358C">
        <w:rPr>
          <w:rFonts w:ascii="Arial" w:hAnsi="Arial" w:cs="Arial"/>
          <w:bCs/>
          <w:sz w:val="22"/>
          <w:szCs w:val="22"/>
        </w:rPr>
        <w:t> </w:t>
      </w:r>
    </w:p>
    <w:p w14:paraId="73923146" w14:textId="77777777" w:rsidR="0066345F" w:rsidRPr="0030358C" w:rsidRDefault="00000000" w:rsidP="0066345F">
      <w:pPr>
        <w:rPr>
          <w:rFonts w:ascii="Arial" w:hAnsi="Arial" w:cs="Arial"/>
          <w:bCs/>
          <w:sz w:val="22"/>
          <w:szCs w:val="22"/>
        </w:rPr>
      </w:pPr>
      <w:r w:rsidRPr="0030358C">
        <w:rPr>
          <w:rFonts w:ascii="Arial" w:hAnsi="Arial" w:cs="Arial"/>
          <w:bCs/>
          <w:sz w:val="22"/>
          <w:szCs w:val="22"/>
        </w:rPr>
        <w:t>Vysvětlivky a návod pro vyplnění údajů podle čísla řádku:</w:t>
      </w:r>
    </w:p>
    <w:p w14:paraId="4A793906"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xml:space="preserve">V případě jiného stacionárního zdroje, pro nějž je tato možnost uvedena v číselníku uveřejněném ve Věstníku MŽP, se níže uvedené údaje vyplňují souhrnně. U stacionárních zdrojů, na které se vztahují ustanovení § 27d, se souhrnně vyplňují pouze údaje pro stacionární zdroje, které nejsou umístěny ve stavbě. </w:t>
      </w:r>
    </w:p>
    <w:p w14:paraId="278D78E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w:t>
      </w:r>
    </w:p>
    <w:p w14:paraId="79648BC3"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xml:space="preserve">1 Pořadové číslo jiného stacionárního zdroje v rámci provozovny, </w:t>
      </w:r>
      <w:r w:rsidR="006441D4" w:rsidRPr="0030358C">
        <w:rPr>
          <w:rFonts w:ascii="Arial" w:hAnsi="Arial" w:cs="Arial"/>
          <w:bCs/>
          <w:sz w:val="22"/>
          <w:szCs w:val="22"/>
        </w:rPr>
        <w:t xml:space="preserve">evidované v </w:t>
      </w:r>
      <w:r w:rsidRPr="0030358C">
        <w:rPr>
          <w:rFonts w:ascii="Arial" w:hAnsi="Arial" w:cs="Arial"/>
          <w:bCs/>
          <w:sz w:val="22"/>
          <w:szCs w:val="22"/>
        </w:rPr>
        <w:t>ISPOP.</w:t>
      </w:r>
    </w:p>
    <w:p w14:paraId="2152A11E"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2 Zařazení stacionárního zdroje do kategorie podle přílohy č. 2 zákona (dle číselníku uveřejněného ve Věstníku MŽP) s uvedením doplňující informace, pokud by se jednalo o zdroj, u nějž byla ve vykazovaném kalendářním roce provozována činnost na několika místech.</w:t>
      </w:r>
    </w:p>
    <w:p w14:paraId="79FBB750"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3 Uvede se ANO nebo NE. Jedná se o výjimku podle § 12a odst. 1 písm. b) a c) a odst. 4 zákona.</w:t>
      </w:r>
    </w:p>
    <w:p w14:paraId="48B479D7"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lastRenderedPageBreak/>
        <w:t>4 Název jiného stacionárního zdroje (dle číselníku uveřejněného ve Věstníku MŽP). Název jiného stacionárního zdroje dle provozního řádu, a není-li tento vyžadován, dle povolení k provozu nebo technické dokumentace, se uvede v položce 4a.</w:t>
      </w:r>
    </w:p>
    <w:p w14:paraId="4EB2F7A9"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5 Počet provozních hodin, po které byl stacionární zdroj ve vykazovaném kalendářním roce v provozu.</w:t>
      </w:r>
    </w:p>
    <w:p w14:paraId="42D3DDF8"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xml:space="preserve">6 Uvede se druh (druhy) spalovaného paliva (dle číselníku uveřejněného ve Věstníku MŽP) nebo elektrická energie používaná pro otop pecí a tavicích agregátů; v případě, že je tepelně zpracováván odpad nebo odpady nebo palivo vyrobené z odpadu, uvede se jako samostatná položka odpad nebo palivo vyrobené z odpadu (bez bližšího určení). </w:t>
      </w:r>
    </w:p>
    <w:p w14:paraId="54F7492F"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7 Uvede se hodnota roční průměrné výhřevnosti paliva podle údajů dodavatele paliva; v případě použití elektrické energie se tento údaj nevyplňuje.</w:t>
      </w:r>
    </w:p>
    <w:p w14:paraId="2DBF84F7"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8 Uvede se celková spotřeba paliva nebo elektrické energie využívaných stacionárním zdrojem ve vykazovaném kalendářním roce; v případě, že je tepelně zpracováván odpad nebo odpady nebo palivo vyrobené z odpadu, uvede se k údaji odpovídajícímu položce 6 celkové množství spálených odpadů nebo paliv vyrobených z odpadů.</w:t>
      </w:r>
    </w:p>
    <w:p w14:paraId="275CB8FF"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9 - 11 U stacionárních zdrojů uvedených v příloze č. 5, části II se uvede spotřeba těkavých organických látek podle kategorií používaných těkavých organických látek podle § 21 písm. a), b) a c) této vyhlášky.</w:t>
      </w:r>
    </w:p>
    <w:p w14:paraId="2B31CA22"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12 Druh výrobku u vybraných technologií (dle číselníku uveřejněného ve Věstníku MŽP).</w:t>
      </w:r>
    </w:p>
    <w:p w14:paraId="3024365F"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13 Množství výrobku v jednotkách uveřejněných ve Věstníku MŽP.</w:t>
      </w:r>
    </w:p>
    <w:p w14:paraId="7846A0F1"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14 Celkové množství emisí znečišťujících látek (dle číselníku uveřejněného ve Věstníku MŽP), vypuštěných do ovzduší za stacionární zdroj a vykazovaný kalendářní rok, pro které má provozovatel stacionárního zdroje podle § 6 odst. 1 zákona stanovenu povinnost zjišťovat úroveň znečišťování.</w:t>
      </w:r>
    </w:p>
    <w:p w14:paraId="489933DD" w14:textId="77777777" w:rsidR="0066345F" w:rsidRPr="0030358C" w:rsidRDefault="00000000" w:rsidP="0066345F">
      <w:pPr>
        <w:pStyle w:val="62"/>
        <w:rPr>
          <w:rFonts w:ascii="Arial" w:hAnsi="Arial" w:cs="Arial"/>
          <w:b/>
          <w:sz w:val="22"/>
          <w:szCs w:val="22"/>
        </w:rPr>
      </w:pPr>
      <w:r w:rsidRPr="0030358C">
        <w:rPr>
          <w:rFonts w:ascii="Arial" w:hAnsi="Arial" w:cs="Arial"/>
          <w:b/>
          <w:sz w:val="22"/>
          <w:szCs w:val="22"/>
        </w:rPr>
        <w:t> </w:t>
      </w:r>
    </w:p>
    <w:p w14:paraId="386777EF" w14:textId="77777777" w:rsidR="0066345F" w:rsidRPr="0030358C" w:rsidRDefault="00000000" w:rsidP="0066345F">
      <w:pPr>
        <w:rPr>
          <w:rFonts w:ascii="Arial" w:hAnsi="Arial" w:cs="Arial"/>
          <w:b/>
          <w:sz w:val="22"/>
          <w:szCs w:val="22"/>
        </w:rPr>
      </w:pPr>
      <w:r w:rsidRPr="0030358C">
        <w:rPr>
          <w:rFonts w:ascii="Arial" w:hAnsi="Arial" w:cs="Arial"/>
          <w:b/>
          <w:sz w:val="22"/>
          <w:szCs w:val="22"/>
        </w:rPr>
        <w:t>1.4. Údaje o komínech a výduších</w:t>
      </w:r>
    </w:p>
    <w:tbl>
      <w:tblPr>
        <w:tblW w:w="0" w:type="auto"/>
        <w:tblLook w:val="04A0" w:firstRow="1" w:lastRow="0" w:firstColumn="1" w:lastColumn="0" w:noHBand="0" w:noVBand="1"/>
      </w:tblPr>
      <w:tblGrid>
        <w:gridCol w:w="1562"/>
        <w:gridCol w:w="4324"/>
        <w:gridCol w:w="2906"/>
        <w:gridCol w:w="258"/>
      </w:tblGrid>
      <w:tr w:rsidR="00E40657" w14:paraId="48AB1445"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470CCB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66A477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Pořadové číslo výduchu/komínu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645A3D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214CDDD"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6357880"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C5CB3B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Pořadové číslo každého jednotlivého stacionárního zdroje zaústěného do komína/výduchu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B6879C7"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89D32A3"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32A79D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F901B5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Výška komínu/výduchu [m]</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676DA30"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383706B" w14:textId="77777777" w:rsidTr="00BB7040">
        <w:trPr>
          <w:trHeight w:val="450"/>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1AC70D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F71582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Průřez v koruně komínu, průřez výduchu [m</w:t>
            </w:r>
            <w:r w:rsidRPr="0030358C">
              <w:rPr>
                <w:rFonts w:ascii="Arial" w:hAnsi="Arial" w:cs="Arial"/>
                <w:bCs/>
                <w:sz w:val="22"/>
                <w:szCs w:val="22"/>
                <w:vertAlign w:val="superscript"/>
              </w:rPr>
              <w:t>2</w:t>
            </w:r>
            <w:r w:rsidRPr="0030358C">
              <w:rPr>
                <w:rFonts w:ascii="Arial" w:hAnsi="Arial" w:cs="Arial"/>
                <w:bCs/>
                <w:sz w:val="22"/>
                <w:szCs w:val="22"/>
              </w:rPr>
              <w: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A4F693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627582A6"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47C76C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5</w:t>
            </w:r>
          </w:p>
        </w:tc>
        <w:tc>
          <w:tcPr>
            <w:tcW w:w="6301"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5E4F20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Zeměpisné souřadnice paty komínu/výduchu</w:t>
            </w: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B25D28F"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N</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50B6D86"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31F1A37"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121F36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6</w:t>
            </w:r>
          </w:p>
        </w:tc>
        <w:tc>
          <w:tcPr>
            <w:tcW w:w="0" w:type="auto"/>
            <w:vMerge/>
            <w:tcBorders>
              <w:top w:val="nil"/>
              <w:left w:val="single" w:sz="8" w:space="0" w:color="000000"/>
              <w:bottom w:val="single" w:sz="8" w:space="0" w:color="000000"/>
              <w:right w:val="single" w:sz="8" w:space="0" w:color="000000"/>
            </w:tcBorders>
          </w:tcPr>
          <w:p w14:paraId="1E834269" w14:textId="77777777" w:rsidR="0066345F" w:rsidRPr="0030358C" w:rsidRDefault="0066345F" w:rsidP="00BB7040">
            <w:pPr>
              <w:pStyle w:val="62"/>
              <w:rPr>
                <w:rFonts w:ascii="Arial" w:hAnsi="Arial" w:cs="Arial"/>
                <w:bCs/>
                <w:sz w:val="22"/>
                <w:szCs w:val="22"/>
              </w:rPr>
            </w:pP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C976C0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817C64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02A36D97"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B3D8A3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2EB6E5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Průměrná rychlost plynů v [m/s]</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CF3DE4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1AB6573"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2AFEFE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292632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Průměrná teplota plynů [°C]</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4F2CCE7"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7ED3140A"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75FDB12"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36429C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Časový režim vypouštění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04A3111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3BCDB961"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2B4B36E"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95436B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Provozní hodiny komína/výduchu [h/rok]</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EC4B7D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48ACA015"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E4D84E5"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EF02A0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Druh technologie ke snižování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E89D49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368EE6BC" w14:textId="77777777" w:rsidTr="00BB7040">
        <w:trPr>
          <w:trHeight w:val="375"/>
        </w:trPr>
        <w:tc>
          <w:tcPr>
            <w:tcW w:w="245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1862491"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2358779"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Účinnost technologie ke snižování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A9AFAA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1F59B905" w14:textId="77777777" w:rsidTr="00BB7040">
        <w:trPr>
          <w:trHeight w:val="45"/>
        </w:trPr>
        <w:tc>
          <w:tcPr>
            <w:tcW w:w="2458"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3367CC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13</w:t>
            </w:r>
          </w:p>
        </w:tc>
        <w:tc>
          <w:tcPr>
            <w:tcW w:w="6301" w:type="dxa"/>
            <w:vMerge w:val="restart"/>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C5CFCBC"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Emise znečišťujících látek [t/rok]</w:t>
            </w: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658A57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1D0B918"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51ADFD97" w14:textId="77777777" w:rsidTr="00BB7040">
        <w:trPr>
          <w:trHeight w:val="45"/>
        </w:trPr>
        <w:tc>
          <w:tcPr>
            <w:tcW w:w="0" w:type="auto"/>
            <w:vMerge/>
            <w:tcBorders>
              <w:top w:val="nil"/>
              <w:left w:val="single" w:sz="8" w:space="0" w:color="000000"/>
              <w:bottom w:val="single" w:sz="8" w:space="0" w:color="000000"/>
              <w:right w:val="single" w:sz="8" w:space="0" w:color="000000"/>
            </w:tcBorders>
          </w:tcPr>
          <w:p w14:paraId="501BAC7D" w14:textId="77777777" w:rsidR="0066345F" w:rsidRPr="0030358C" w:rsidRDefault="0066345F" w:rsidP="00BB7040">
            <w:pPr>
              <w:pStyle w:val="62"/>
              <w:rPr>
                <w:rFonts w:ascii="Arial" w:hAnsi="Arial" w:cs="Arial"/>
                <w:bCs/>
                <w:sz w:val="22"/>
                <w:szCs w:val="22"/>
              </w:rPr>
            </w:pPr>
          </w:p>
        </w:tc>
        <w:tc>
          <w:tcPr>
            <w:tcW w:w="0" w:type="auto"/>
            <w:vMerge/>
            <w:tcBorders>
              <w:top w:val="nil"/>
              <w:left w:val="single" w:sz="8" w:space="0" w:color="000000"/>
              <w:bottom w:val="single" w:sz="8" w:space="0" w:color="000000"/>
              <w:right w:val="single" w:sz="8" w:space="0" w:color="000000"/>
            </w:tcBorders>
          </w:tcPr>
          <w:p w14:paraId="50B50FAD" w14:textId="77777777" w:rsidR="0066345F" w:rsidRPr="0030358C" w:rsidRDefault="0066345F" w:rsidP="00BB7040">
            <w:pPr>
              <w:pStyle w:val="62"/>
              <w:rPr>
                <w:rFonts w:ascii="Arial" w:hAnsi="Arial" w:cs="Arial"/>
                <w:bCs/>
                <w:sz w:val="22"/>
                <w:szCs w:val="22"/>
              </w:rPr>
            </w:pP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D2738A3"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4B4A86B"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r w:rsidR="00E40657" w14:paraId="3CBA9B4A" w14:textId="77777777" w:rsidTr="00BB7040">
        <w:trPr>
          <w:trHeight w:val="285"/>
        </w:trPr>
        <w:tc>
          <w:tcPr>
            <w:tcW w:w="0" w:type="auto"/>
            <w:vMerge/>
            <w:tcBorders>
              <w:top w:val="nil"/>
              <w:left w:val="single" w:sz="8" w:space="0" w:color="000000"/>
              <w:bottom w:val="single" w:sz="8" w:space="0" w:color="000000"/>
              <w:right w:val="single" w:sz="8" w:space="0" w:color="000000"/>
            </w:tcBorders>
          </w:tcPr>
          <w:p w14:paraId="1AE67947" w14:textId="77777777" w:rsidR="0066345F" w:rsidRPr="0030358C" w:rsidRDefault="0066345F" w:rsidP="00BB7040">
            <w:pPr>
              <w:pStyle w:val="62"/>
              <w:rPr>
                <w:rFonts w:ascii="Arial" w:hAnsi="Arial" w:cs="Arial"/>
                <w:bCs/>
                <w:sz w:val="22"/>
                <w:szCs w:val="22"/>
              </w:rPr>
            </w:pPr>
          </w:p>
        </w:tc>
        <w:tc>
          <w:tcPr>
            <w:tcW w:w="0" w:type="auto"/>
            <w:vMerge/>
            <w:tcBorders>
              <w:top w:val="nil"/>
              <w:left w:val="single" w:sz="8" w:space="0" w:color="000000"/>
              <w:bottom w:val="single" w:sz="8" w:space="0" w:color="000000"/>
              <w:right w:val="single" w:sz="8" w:space="0" w:color="000000"/>
            </w:tcBorders>
          </w:tcPr>
          <w:p w14:paraId="16C75018" w14:textId="77777777" w:rsidR="0066345F" w:rsidRPr="0030358C" w:rsidRDefault="0066345F" w:rsidP="00BB7040">
            <w:pPr>
              <w:pStyle w:val="62"/>
              <w:rPr>
                <w:rFonts w:ascii="Arial" w:hAnsi="Arial" w:cs="Arial"/>
                <w:bCs/>
                <w:sz w:val="22"/>
                <w:szCs w:val="22"/>
              </w:rPr>
            </w:pPr>
          </w:p>
        </w:tc>
        <w:tc>
          <w:tcPr>
            <w:tcW w:w="490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7585E24"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420787A" w14:textId="77777777" w:rsidR="0066345F" w:rsidRPr="0030358C" w:rsidRDefault="00000000" w:rsidP="00BB7040">
            <w:pPr>
              <w:pStyle w:val="62"/>
              <w:ind w:left="0"/>
              <w:rPr>
                <w:rFonts w:ascii="Arial" w:hAnsi="Arial" w:cs="Arial"/>
                <w:bCs/>
                <w:sz w:val="22"/>
                <w:szCs w:val="22"/>
              </w:rPr>
            </w:pPr>
            <w:r w:rsidRPr="0030358C">
              <w:rPr>
                <w:rFonts w:ascii="Arial" w:hAnsi="Arial" w:cs="Arial"/>
                <w:bCs/>
                <w:sz w:val="22"/>
                <w:szCs w:val="22"/>
              </w:rPr>
              <w:t> </w:t>
            </w:r>
          </w:p>
        </w:tc>
      </w:tr>
    </w:tbl>
    <w:p w14:paraId="5DE43DD9" w14:textId="77777777" w:rsidR="0066345F" w:rsidRPr="0030358C" w:rsidRDefault="00000000" w:rsidP="0066345F">
      <w:pPr>
        <w:pStyle w:val="62"/>
        <w:rPr>
          <w:rFonts w:ascii="Arial" w:hAnsi="Arial" w:cs="Arial"/>
          <w:bCs/>
          <w:sz w:val="22"/>
          <w:szCs w:val="22"/>
        </w:rPr>
      </w:pPr>
      <w:r w:rsidRPr="0030358C">
        <w:rPr>
          <w:rFonts w:ascii="Arial" w:hAnsi="Arial" w:cs="Arial"/>
          <w:bCs/>
          <w:sz w:val="22"/>
          <w:szCs w:val="22"/>
        </w:rPr>
        <w:t> </w:t>
      </w:r>
    </w:p>
    <w:p w14:paraId="1825911D"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Vysvětlivky a návod pro vyplnění údajů podle čísla řádku:</w:t>
      </w:r>
    </w:p>
    <w:p w14:paraId="743CD2DC"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 xml:space="preserve">1 Pořadové číslo komínu/výduchu v rámci provozovny, </w:t>
      </w:r>
      <w:r w:rsidR="006441D4" w:rsidRPr="0030358C">
        <w:rPr>
          <w:rFonts w:ascii="Arial" w:hAnsi="Arial" w:cs="Arial"/>
          <w:bCs/>
          <w:sz w:val="22"/>
          <w:szCs w:val="22"/>
        </w:rPr>
        <w:t xml:space="preserve">evidované v </w:t>
      </w:r>
      <w:r w:rsidRPr="0030358C">
        <w:rPr>
          <w:rFonts w:ascii="Arial" w:hAnsi="Arial" w:cs="Arial"/>
          <w:bCs/>
          <w:sz w:val="22"/>
          <w:szCs w:val="22"/>
        </w:rPr>
        <w:t>ISPOP.</w:t>
      </w:r>
    </w:p>
    <w:p w14:paraId="5C722D25"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2 Pořadové číslo stacionárního zdroje uvedeného v položce č. 1 bodu 1.2. a 1.3, u kterého jsou vypouštěny znečišťující látky, pro které má provozovatel stacionárního zdroje stanovenu povinnost zjišťovat úroveň znečišťování.</w:t>
      </w:r>
    </w:p>
    <w:p w14:paraId="233ABB96"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3 Stavební výška komínu nebo převýšení výduchu/komínu nad okolním terénem.</w:t>
      </w:r>
    </w:p>
    <w:p w14:paraId="1F3B267C"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4 Plocha průřezu ústí komínu (vnitřní plocha v koruně komínu), plocha průřezu výduchu.</w:t>
      </w:r>
    </w:p>
    <w:p w14:paraId="3B403758"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5,6 Zeměpisná šířka a délka umístění komínu/výduchu, uvedená v souřadnicovém systému WGS 84 (World Geodetic System) používaná běžně přístroji GPS.</w:t>
      </w:r>
    </w:p>
    <w:p w14:paraId="2997EBB5"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7 Zjištěná nebo odborně odhadnutá průměrná rychlost vzdušiny v ústí komínu/výduchu.</w:t>
      </w:r>
    </w:p>
    <w:p w14:paraId="443A5632"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8 Zjištěná nebo odborně odhadnutá průměrná teplota vzdušiny v ústí komínu/výduchu.</w:t>
      </w:r>
    </w:p>
    <w:p w14:paraId="0D099508"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9 Časový režim charakterizující denní, týdenní a roční období, v němž dochází k vypouštění podstatného množství škodlivin z komínu/výduchu dle schématu uveřejněného ve Věstníku MŽP (1 = znečišťující látky jsou v daném časovém úseku vypouštěny; 0 = je vypouštěno malé množství znečišťujících látek nebo nejsou v daném časovém úseku vůbec vypouštěny).</w:t>
      </w:r>
    </w:p>
    <w:p w14:paraId="43A717B7"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10 Provozní doba komínu/výduchu (doba, po kterou docházelo k vypouštění škodlivin z některého ze zaústěných stacionárních zdrojů do komínu/výduchu).</w:t>
      </w:r>
    </w:p>
    <w:p w14:paraId="7C45B014"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11 Uvede se druh každé technologie ke snižování emisí každé znečišťující látky (dle číselníku uveřejněného ve věstníku MŽP); v případě tuhých znečišťujících látek se uvede druh posledního stupně odlučovacího zařízení, v němž dochází ke snižování množství tuhých znečišťujících látek.</w:t>
      </w:r>
    </w:p>
    <w:p w14:paraId="1880DEFD"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12 Průměrná roční provozní účinnost každé technologie ke snižování emisí vyjádřená v % snížení koncentrace znečišťující látky vstupující do technologie ke snižování emisí. Není-li provozní účinnost sledována, uvede se garantovaná účinnost případně účinnost odpovídající garantované výstupní koncentraci.</w:t>
      </w:r>
    </w:p>
    <w:p w14:paraId="22F73CCB" w14:textId="77777777" w:rsidR="0066345F" w:rsidRPr="0030358C" w:rsidRDefault="00000000" w:rsidP="0066345F">
      <w:pPr>
        <w:pStyle w:val="62"/>
        <w:ind w:left="0"/>
        <w:rPr>
          <w:rFonts w:ascii="Arial" w:hAnsi="Arial" w:cs="Arial"/>
          <w:bCs/>
          <w:sz w:val="22"/>
          <w:szCs w:val="22"/>
        </w:rPr>
      </w:pPr>
      <w:r w:rsidRPr="0030358C">
        <w:rPr>
          <w:rFonts w:ascii="Arial" w:hAnsi="Arial" w:cs="Arial"/>
          <w:bCs/>
          <w:sz w:val="22"/>
          <w:szCs w:val="22"/>
        </w:rPr>
        <w:t>13 Celkové množství emisí znečišťujících látek (dle číselníku uveřejněného ve Věstníku MŽP) vypuštěných do ovzduší za vykazovaný kalendářní rok daným komínem/výduchem, pro které má provozovatel stacionárního zdroje stanovenu povinnost zjišťovat úroveň znečišťování podle § 6 odst. 1 zákona. V případě, že dochází k vypouštění/úniku veškerých emisí ze stacionárních zdrojů pouze jedním komínem/výduchem, tento údaj se nevyplňuje.</w:t>
      </w:r>
    </w:p>
    <w:p w14:paraId="01E40A05" w14:textId="77777777" w:rsidR="0088102E" w:rsidRPr="0030358C" w:rsidRDefault="0088102E" w:rsidP="0066345F">
      <w:pPr>
        <w:pStyle w:val="62"/>
        <w:ind w:left="0"/>
        <w:rPr>
          <w:rFonts w:ascii="Arial" w:hAnsi="Arial" w:cs="Arial"/>
          <w:b/>
          <w:sz w:val="22"/>
          <w:szCs w:val="22"/>
        </w:rPr>
      </w:pPr>
    </w:p>
    <w:p w14:paraId="2461263A"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1.5. Údaje o měření emisí</w:t>
      </w:r>
    </w:p>
    <w:p w14:paraId="3E0452B1" w14:textId="77777777" w:rsidR="0088102E" w:rsidRPr="0030358C" w:rsidRDefault="0088102E" w:rsidP="0088102E">
      <w:pPr>
        <w:pStyle w:val="62"/>
        <w:ind w:left="0"/>
        <w:rPr>
          <w:rFonts w:ascii="Arial" w:hAnsi="Arial" w:cs="Arial"/>
          <w:bCs/>
          <w:strike/>
          <w:sz w:val="22"/>
          <w:szCs w:val="22"/>
        </w:rPr>
      </w:pPr>
    </w:p>
    <w:p w14:paraId="46E5360E"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V případě jednorázových měření emisí se část 1.5. nevyplňuje</w:t>
      </w:r>
    </w:p>
    <w:tbl>
      <w:tblPr>
        <w:tblW w:w="0" w:type="auto"/>
        <w:tblLook w:val="04A0" w:firstRow="1" w:lastRow="0" w:firstColumn="1" w:lastColumn="0" w:noHBand="0" w:noVBand="1"/>
      </w:tblPr>
      <w:tblGrid>
        <w:gridCol w:w="1491"/>
        <w:gridCol w:w="2893"/>
        <w:gridCol w:w="4410"/>
        <w:gridCol w:w="256"/>
      </w:tblGrid>
      <w:tr w:rsidR="00E40657" w14:paraId="09C5F5C3"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257842F"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276FBC1"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Pořadové číslo stacionárního zdroje/zdrojů</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9A4FE8B"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03EF5EEC"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A71F676"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5108BE52"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Označení místa měření emisí</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77A2522"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447D0CAB"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11947D9"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1E60795" w14:textId="77777777" w:rsidR="0088102E" w:rsidRPr="0030358C" w:rsidRDefault="0088102E" w:rsidP="00BB7040">
            <w:pPr>
              <w:pStyle w:val="62"/>
              <w:ind w:left="0"/>
              <w:rPr>
                <w:rFonts w:ascii="Arial" w:hAnsi="Arial" w:cs="Arial"/>
                <w:bCs/>
                <w:strike/>
                <w:sz w:val="22"/>
                <w:szCs w:val="22"/>
              </w:rPr>
            </w:pP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0BD9800"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51D15481"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C5BDFB4"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4</w:t>
            </w:r>
          </w:p>
        </w:tc>
        <w:tc>
          <w:tcPr>
            <w:tcW w:w="4120" w:type="dxa"/>
            <w:tcBorders>
              <w:top w:val="single" w:sz="8" w:space="0" w:color="000000"/>
              <w:left w:val="single" w:sz="8" w:space="0" w:color="000000"/>
              <w:right w:val="single" w:sz="8" w:space="0" w:color="000000"/>
            </w:tcBorders>
            <w:tcMar>
              <w:top w:w="15" w:type="dxa"/>
              <w:left w:w="75" w:type="dxa"/>
              <w:bottom w:w="15" w:type="dxa"/>
              <w:right w:w="75" w:type="dxa"/>
            </w:tcMar>
            <w:vAlign w:val="center"/>
          </w:tcPr>
          <w:p w14:paraId="3BA1BF3A"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731EECF"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specifický emisní limit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61A353C3"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63AFB398"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6A3AB95"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lastRenderedPageBreak/>
              <w:t>5</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2FFA615A"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3757497"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jednotka emisního limitu</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C0695DB"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78529566"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689C188"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6</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4DD26D26"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1CB2367B"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emisní koncentrace BAT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7BE0C0D5"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3FDC0536"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33A6B29"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7</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432DB62C"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BB28B41"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jednotka emisní koncentrace BAT</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1B950B37"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78821EDC"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6C0C659"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8</w:t>
            </w:r>
          </w:p>
        </w:tc>
        <w:tc>
          <w:tcPr>
            <w:tcW w:w="4120" w:type="dxa"/>
            <w:vMerge w:val="restart"/>
            <w:tcBorders>
              <w:left w:val="single" w:sz="8" w:space="0" w:color="000000"/>
              <w:right w:val="single" w:sz="8" w:space="0" w:color="000000"/>
            </w:tcBorders>
            <w:tcMar>
              <w:top w:w="15" w:type="dxa"/>
              <w:left w:w="75" w:type="dxa"/>
              <w:bottom w:w="15" w:type="dxa"/>
              <w:right w:w="75" w:type="dxa"/>
            </w:tcMar>
          </w:tcPr>
          <w:p w14:paraId="5C864D73"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Emise</w:t>
            </w:r>
          </w:p>
          <w:p w14:paraId="27561E34"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znečišťujících látek</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DD17A2C"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hmotnostní koncentrace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848B62F"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4D344C04" w14:textId="77777777" w:rsidTr="00BB7040">
        <w:trPr>
          <w:trHeight w:val="4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32E6CC71"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9</w:t>
            </w:r>
          </w:p>
        </w:tc>
        <w:tc>
          <w:tcPr>
            <w:tcW w:w="0" w:type="auto"/>
            <w:vMerge/>
            <w:tcBorders>
              <w:top w:val="nil"/>
              <w:left w:val="single" w:sz="8" w:space="0" w:color="000000"/>
              <w:right w:val="single" w:sz="8" w:space="0" w:color="000000"/>
            </w:tcBorders>
          </w:tcPr>
          <w:p w14:paraId="5B3DE1E4" w14:textId="77777777" w:rsidR="0088102E" w:rsidRPr="0030358C" w:rsidRDefault="0088102E" w:rsidP="00BB7040">
            <w:pPr>
              <w:pStyle w:val="62"/>
              <w:rPr>
                <w:rFonts w:ascii="Arial" w:hAnsi="Arial" w:cs="Arial"/>
                <w:bCs/>
                <w:strike/>
                <w:sz w:val="22"/>
                <w:szCs w:val="22"/>
              </w:rPr>
            </w:pP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00FD5AC"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jednotka hmotnostní koncentrace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A850C44"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323E72CF"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A5521F2"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10</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5F0441B7"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4159EC89"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hmotnostní tok [kg/h]</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31D4228E"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4EFE36AC"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20C74525"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11</w:t>
            </w:r>
          </w:p>
        </w:tc>
        <w:tc>
          <w:tcPr>
            <w:tcW w:w="4120" w:type="dxa"/>
            <w:tcBorders>
              <w:left w:val="single" w:sz="8" w:space="0" w:color="000000"/>
              <w:right w:val="single" w:sz="8" w:space="0" w:color="000000"/>
            </w:tcBorders>
            <w:tcMar>
              <w:top w:w="15" w:type="dxa"/>
              <w:left w:w="75" w:type="dxa"/>
              <w:bottom w:w="15" w:type="dxa"/>
              <w:right w:w="75" w:type="dxa"/>
            </w:tcMar>
            <w:vAlign w:val="center"/>
          </w:tcPr>
          <w:p w14:paraId="17B45D08"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7D61C568"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měrná výrobní emise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2ADF2E41"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r w:rsidR="00E40657" w14:paraId="5F1365D6" w14:textId="77777777" w:rsidTr="00BB7040">
        <w:trPr>
          <w:trHeight w:val="375"/>
        </w:trPr>
        <w:tc>
          <w:tcPr>
            <w:tcW w:w="2451"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09845422"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12</w:t>
            </w:r>
          </w:p>
        </w:tc>
        <w:tc>
          <w:tcPr>
            <w:tcW w:w="4120" w:type="dxa"/>
            <w:tcBorders>
              <w:left w:val="single" w:sz="8" w:space="0" w:color="000000"/>
              <w:bottom w:val="single" w:sz="8" w:space="0" w:color="000000"/>
              <w:right w:val="single" w:sz="8" w:space="0" w:color="000000"/>
            </w:tcBorders>
            <w:tcMar>
              <w:top w:w="15" w:type="dxa"/>
              <w:left w:w="75" w:type="dxa"/>
              <w:bottom w:w="15" w:type="dxa"/>
              <w:right w:w="75" w:type="dxa"/>
            </w:tcMar>
            <w:vAlign w:val="center"/>
          </w:tcPr>
          <w:p w14:paraId="349C4231"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c>
          <w:tcPr>
            <w:tcW w:w="7089"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tcPr>
          <w:p w14:paraId="69A42139"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jednotka měrné výrobní emise</w:t>
            </w:r>
          </w:p>
        </w:tc>
        <w:tc>
          <w:tcPr>
            <w:tcW w:w="294"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89B763A" w14:textId="77777777" w:rsidR="0088102E" w:rsidRPr="0030358C" w:rsidRDefault="00000000" w:rsidP="00BB7040">
            <w:pPr>
              <w:pStyle w:val="62"/>
              <w:ind w:left="0"/>
              <w:rPr>
                <w:rFonts w:ascii="Arial" w:hAnsi="Arial" w:cs="Arial"/>
                <w:bCs/>
                <w:strike/>
                <w:sz w:val="22"/>
                <w:szCs w:val="22"/>
              </w:rPr>
            </w:pPr>
            <w:r w:rsidRPr="0030358C">
              <w:rPr>
                <w:rFonts w:ascii="Arial" w:hAnsi="Arial" w:cs="Arial"/>
                <w:bCs/>
                <w:strike/>
                <w:sz w:val="22"/>
                <w:szCs w:val="22"/>
              </w:rPr>
              <w:t> </w:t>
            </w:r>
          </w:p>
        </w:tc>
      </w:tr>
    </w:tbl>
    <w:p w14:paraId="0636A99F" w14:textId="77777777" w:rsidR="0088102E" w:rsidRPr="0030358C" w:rsidRDefault="00000000" w:rsidP="0088102E">
      <w:pPr>
        <w:pStyle w:val="62"/>
        <w:rPr>
          <w:rFonts w:ascii="Arial" w:hAnsi="Arial" w:cs="Arial"/>
          <w:bCs/>
          <w:sz w:val="22"/>
          <w:szCs w:val="22"/>
        </w:rPr>
      </w:pPr>
      <w:r w:rsidRPr="0030358C">
        <w:rPr>
          <w:rFonts w:ascii="Arial" w:hAnsi="Arial" w:cs="Arial"/>
          <w:bCs/>
          <w:sz w:val="22"/>
          <w:szCs w:val="22"/>
        </w:rPr>
        <w:t> </w:t>
      </w:r>
    </w:p>
    <w:p w14:paraId="7A15FB4B"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Vysvětlivky a návod pro vyplnění údajů podle čísla řádku:</w:t>
      </w:r>
    </w:p>
    <w:p w14:paraId="385677D7" w14:textId="77777777" w:rsidR="0088102E" w:rsidRPr="0030358C" w:rsidRDefault="0088102E" w:rsidP="0088102E">
      <w:pPr>
        <w:pStyle w:val="62"/>
        <w:ind w:left="0"/>
        <w:rPr>
          <w:rFonts w:ascii="Arial" w:hAnsi="Arial" w:cs="Arial"/>
          <w:bCs/>
          <w:strike/>
          <w:sz w:val="22"/>
          <w:szCs w:val="22"/>
        </w:rPr>
      </w:pPr>
    </w:p>
    <w:p w14:paraId="684035DD"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1 Pořadové číslo stacionárního zdroje uvedeného v položce č. 1 bodu 1.2. a 1.3.</w:t>
      </w:r>
    </w:p>
    <w:p w14:paraId="025F596C"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2 Uvede se označení místa kontinuálního měření emisí dle provozního řádu nebo povolení k provozu nebo technické dokumentace.</w:t>
      </w:r>
    </w:p>
    <w:p w14:paraId="1EF63A8F"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3 Nevyplňuje se</w:t>
      </w:r>
    </w:p>
    <w:p w14:paraId="67314DE0"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4 Uvede se specifický emisní limit pro jednotlivé znečišťující látky (dle číselníku uveřejněného ve Věstníku MŽP) stanovený v povolení provozu, a pokud v povolení provozu specifický emisní limit stanoven není, emisní limit platný pro daný stacionární zdroj podle této vyhlášky.</w:t>
      </w:r>
    </w:p>
    <w:p w14:paraId="6985779E"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5 Jednotka specifického emisního limitu (dle číselníku uveřejněného ve Věstníku MŽP).</w:t>
      </w:r>
    </w:p>
    <w:p w14:paraId="404AE228"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6 Emisní koncentrace odpovídající horní hranici úrovně emisí spojené s nejlepšími dostupnými technikami (BAT) podle informací zveřejňovaných Evropskou komisí odpovídající příslušnému stacionárnímu zdroji. Vyplní se v údajích za r. 2016 a v dalším období v případě uplatnění § 15, odst. 5 a odst. 6, písm. b) zákona.</w:t>
      </w:r>
    </w:p>
    <w:p w14:paraId="13D2F8BE"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7 Jednotka emisní koncentrace BAT (dle číselníku uveřejněného ve Věstníku MŽP).</w:t>
      </w:r>
    </w:p>
    <w:p w14:paraId="1F9D4D31"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8 Hmotnostní koncentrace emisí jednotlivých znečišťujících látek přepočtená na podmínky stanovené pro emisní limit stacionárního zdroje v právním předpisu v mg/m</w:t>
      </w:r>
      <w:r w:rsidRPr="0030358C">
        <w:rPr>
          <w:rFonts w:ascii="Arial" w:hAnsi="Arial" w:cs="Arial"/>
          <w:bCs/>
          <w:strike/>
          <w:sz w:val="22"/>
          <w:szCs w:val="22"/>
          <w:vertAlign w:val="superscript"/>
        </w:rPr>
        <w:t>3</w:t>
      </w:r>
      <w:r w:rsidRPr="0030358C">
        <w:rPr>
          <w:rFonts w:ascii="Arial" w:hAnsi="Arial" w:cs="Arial"/>
          <w:bCs/>
          <w:strike/>
          <w:sz w:val="22"/>
          <w:szCs w:val="22"/>
        </w:rPr>
        <w:t xml:space="preserve">, případně v jiných jednotkách uvedených v řádku č. 9; v případě kontinuálního měření se uvede hodnota vypočtená jako aritmetický průměr všech platných denních hodnot za kalendářní rok. </w:t>
      </w:r>
    </w:p>
    <w:p w14:paraId="70A7252B"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9 Jednotka hmotnostní koncentrace, ve které je stanoven emisní limit (dle číselníku uveřejněného ve Věstníku MŽP).</w:t>
      </w:r>
    </w:p>
    <w:p w14:paraId="5749D0B1"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10 Podíl hmotnosti emisí jednotlivých znečišťujících látek za hodinu.</w:t>
      </w:r>
    </w:p>
    <w:p w14:paraId="45D7E9B2" w14:textId="77777777" w:rsidR="0088102E"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11 Podíl hmotnosti emisí znečišťujících látek a vztažné veličiny, která je stanovena pro emisní limit stacionárního zdroje v právním předpisu.</w:t>
      </w:r>
    </w:p>
    <w:p w14:paraId="072D31E0" w14:textId="77777777" w:rsidR="00864C88" w:rsidRPr="0030358C" w:rsidRDefault="00000000" w:rsidP="0088102E">
      <w:pPr>
        <w:pStyle w:val="62"/>
        <w:ind w:left="0"/>
        <w:rPr>
          <w:rFonts w:ascii="Arial" w:hAnsi="Arial" w:cs="Arial"/>
          <w:bCs/>
          <w:strike/>
          <w:sz w:val="22"/>
          <w:szCs w:val="22"/>
        </w:rPr>
      </w:pPr>
      <w:r w:rsidRPr="0030358C">
        <w:rPr>
          <w:rFonts w:ascii="Arial" w:hAnsi="Arial" w:cs="Arial"/>
          <w:bCs/>
          <w:strike/>
          <w:sz w:val="22"/>
          <w:szCs w:val="22"/>
        </w:rPr>
        <w:t>12 Jednotka měrné výrobní emise (dle číselníku uveřejněného ve Věstníku MŽP).</w:t>
      </w:r>
      <w:bookmarkEnd w:id="65"/>
    </w:p>
    <w:p w14:paraId="6BDF1A8A"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t>Příloha č. 12    k vyhlášce č. 415/2012 Sb.</w:t>
      </w:r>
    </w:p>
    <w:p w14:paraId="690A1ADD"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NÁLEŽITOSTI PROVOZNÍHO ŘÁDU</w:t>
      </w:r>
    </w:p>
    <w:p w14:paraId="43B57E81" w14:textId="77777777" w:rsidR="00A77B3E" w:rsidRPr="0030358C" w:rsidRDefault="00000000">
      <w:pPr>
        <w:pStyle w:val="66"/>
        <w:rPr>
          <w:rFonts w:ascii="Arial" w:hAnsi="Arial" w:cs="Arial"/>
          <w:strike/>
          <w:szCs w:val="22"/>
        </w:rPr>
      </w:pPr>
      <w:r w:rsidRPr="0030358C">
        <w:rPr>
          <w:rFonts w:ascii="Arial" w:hAnsi="Arial" w:cs="Arial"/>
          <w:strike/>
          <w:szCs w:val="22"/>
        </w:rPr>
        <w:t>1.    Identifikace stacionárního zdroje (stacionárních zdrojů) a provozovny, ve které je stacionární zdroj umístěn, provozovatele, případně majitele stacionárního zdroje.</w:t>
      </w:r>
    </w:p>
    <w:p w14:paraId="24C2FC1F" w14:textId="77777777" w:rsidR="00A77B3E" w:rsidRPr="0030358C" w:rsidRDefault="00000000">
      <w:pPr>
        <w:pStyle w:val="117"/>
        <w:rPr>
          <w:rFonts w:ascii="Arial" w:hAnsi="Arial" w:cs="Arial"/>
          <w:strike/>
          <w:szCs w:val="22"/>
        </w:rPr>
      </w:pPr>
      <w:r w:rsidRPr="0030358C">
        <w:rPr>
          <w:rFonts w:ascii="Arial" w:hAnsi="Arial" w:cs="Arial"/>
          <w:strike/>
          <w:szCs w:val="22"/>
        </w:rPr>
        <w:lastRenderedPageBreak/>
        <w:t>2.    Podrobný popis stacionárního zdroje a dále popis technologií ke snižování emisí a jejich funkce. Číslování stacionárního zdroje je shodné s provozní evidencí stacionárního zdroje a v jednoznačné návaznosti na platné provozní a technologické předpisy provozovatele.</w:t>
      </w:r>
    </w:p>
    <w:p w14:paraId="674F0242" w14:textId="77777777" w:rsidR="00A77B3E" w:rsidRPr="0030358C" w:rsidRDefault="00000000">
      <w:pPr>
        <w:pStyle w:val="117"/>
        <w:rPr>
          <w:rFonts w:ascii="Arial" w:hAnsi="Arial" w:cs="Arial"/>
          <w:strike/>
          <w:szCs w:val="22"/>
        </w:rPr>
      </w:pPr>
      <w:r w:rsidRPr="0030358C">
        <w:rPr>
          <w:rFonts w:ascii="Arial" w:hAnsi="Arial" w:cs="Arial"/>
          <w:strike/>
          <w:szCs w:val="22"/>
        </w:rPr>
        <w:t>3.    Údaj o funkci spalovacího stacionárního zdroje v přenosové soustavě nebo v soustavě zásobování tepelnou energií a údaj o tom, zda se jedná o záložní zdroj energie.</w:t>
      </w:r>
    </w:p>
    <w:p w14:paraId="5D168560" w14:textId="77777777" w:rsidR="00A77B3E" w:rsidRPr="0030358C" w:rsidRDefault="00000000">
      <w:pPr>
        <w:pStyle w:val="117"/>
        <w:rPr>
          <w:rFonts w:ascii="Arial" w:hAnsi="Arial" w:cs="Arial"/>
          <w:strike/>
          <w:szCs w:val="22"/>
        </w:rPr>
      </w:pPr>
      <w:r w:rsidRPr="0030358C">
        <w:rPr>
          <w:rFonts w:ascii="Arial" w:hAnsi="Arial" w:cs="Arial"/>
          <w:strike/>
          <w:szCs w:val="22"/>
        </w:rPr>
        <w:t>4.    Vstupy do technologie - zpracovávané suroviny, paliva a odpady tepelně zpracovávané ve stacionárním zdroji. V případě tepelného zpracování odpadu členění odpadu podle katalogu odpadů, uvedení minimálních a maximálních hmotnostních toků nebezpečných odpadů, jejich minimální a maximální výhřevnost a maximální obsahy PCB, pentachlorfenolu, chloru, fluoru, síry a těžkých kovů, případně jiných látek.</w:t>
      </w:r>
    </w:p>
    <w:p w14:paraId="4407A731" w14:textId="77777777" w:rsidR="00A77B3E" w:rsidRPr="0030358C" w:rsidRDefault="00000000">
      <w:pPr>
        <w:pStyle w:val="117"/>
        <w:rPr>
          <w:rFonts w:ascii="Arial" w:hAnsi="Arial" w:cs="Arial"/>
          <w:strike/>
          <w:szCs w:val="22"/>
        </w:rPr>
      </w:pPr>
      <w:r w:rsidRPr="0030358C">
        <w:rPr>
          <w:rFonts w:ascii="Arial" w:hAnsi="Arial" w:cs="Arial"/>
          <w:strike/>
          <w:szCs w:val="22"/>
        </w:rPr>
        <w:t>5.    Popis technologických operací prováděných ve stacionárních zdrojích se vstupními surovinami a s palivy, mechanismus reakcí včetně známých vedlejších reakcí, způsoby řízení a kontroly prováděných operací (detailní podmínky zpracování surovin a podmínky spalování paliv, podmínky provozu technologií ke snižování emisí nebo dalších operací sloužících ke snižování emisí).</w:t>
      </w:r>
      <w:hyperlink w:history="1">
        <w:r w:rsidR="00A77B3E" w:rsidRPr="0030358C">
          <w:rPr>
            <w:rFonts w:ascii="Arial" w:hAnsi="Arial" w:cs="Arial"/>
            <w:strike/>
            <w:szCs w:val="22"/>
          </w:rPr>
          <w:t>*)</w:t>
        </w:r>
      </w:hyperlink>
    </w:p>
    <w:p w14:paraId="74A5CB2E" w14:textId="77777777" w:rsidR="00A77B3E" w:rsidRPr="0030358C" w:rsidRDefault="00000000">
      <w:pPr>
        <w:pStyle w:val="117"/>
        <w:rPr>
          <w:rFonts w:ascii="Arial" w:hAnsi="Arial" w:cs="Arial"/>
          <w:strike/>
          <w:szCs w:val="22"/>
        </w:rPr>
      </w:pPr>
      <w:r w:rsidRPr="0030358C">
        <w:rPr>
          <w:rFonts w:ascii="Arial" w:hAnsi="Arial" w:cs="Arial"/>
          <w:strike/>
          <w:szCs w:val="22"/>
        </w:rPr>
        <w:t>6.    Výstupy z technologie - znečišťující látky a jejich vlastnosti, množství a způsob zacházení s nimi, místa výstupu znečišťujících látek ze stacionárního zdroje do vnějšího ovzduší.</w:t>
      </w:r>
    </w:p>
    <w:p w14:paraId="17708F63" w14:textId="77777777" w:rsidR="00A77B3E" w:rsidRPr="0030358C" w:rsidRDefault="00000000">
      <w:pPr>
        <w:pStyle w:val="117"/>
        <w:rPr>
          <w:rFonts w:ascii="Arial" w:hAnsi="Arial" w:cs="Arial"/>
          <w:strike/>
          <w:szCs w:val="22"/>
        </w:rPr>
      </w:pPr>
      <w:r w:rsidRPr="0030358C">
        <w:rPr>
          <w:rFonts w:ascii="Arial" w:hAnsi="Arial" w:cs="Arial"/>
          <w:strike/>
          <w:szCs w:val="22"/>
        </w:rPr>
        <w:t>7.    Popis zařízení pro kontinuální měření emisí (pokud je instalováno) a popis měřícího místa, včetně postupu sledování provozu stacionárního zdroje a stanovení emisí pro případ výpadku kontinuálního měření emisí (např. sledováním teploty, tlaku, obsahu kyslíku, viskozity, pH). V případě stacionárního zdroje, u nějž je emisní limit dosahován úpravou technologického řízení výrobního procesu nebo použitím technologie ke snižování emisí, popis provozního parametru a jeho číselné vyjádření, dokladující plnění emisního limitu, způsob jeho měření včetně způsobu a frekvence kalibrace měřidla (v souladu s příslušnými technickými normami, jsou-li k dispozici) a popis způsobu nepřetržitého zaznamenávání naměřených hodnot.</w:t>
      </w:r>
    </w:p>
    <w:p w14:paraId="54397D30" w14:textId="77777777" w:rsidR="00A77B3E" w:rsidRPr="0030358C" w:rsidRDefault="00000000">
      <w:pPr>
        <w:pStyle w:val="117"/>
        <w:rPr>
          <w:rFonts w:ascii="Arial" w:hAnsi="Arial" w:cs="Arial"/>
          <w:strike/>
          <w:szCs w:val="22"/>
        </w:rPr>
      </w:pPr>
      <w:r w:rsidRPr="0030358C">
        <w:rPr>
          <w:rFonts w:ascii="Arial" w:hAnsi="Arial" w:cs="Arial"/>
          <w:strike/>
          <w:szCs w:val="22"/>
        </w:rPr>
        <w:t>8.    Popis měřicího místa pro jednorázové měření emisí.</w:t>
      </w:r>
    </w:p>
    <w:p w14:paraId="3C848B6E" w14:textId="77777777" w:rsidR="00A77B3E" w:rsidRPr="0030358C" w:rsidRDefault="00000000">
      <w:pPr>
        <w:pStyle w:val="117"/>
        <w:rPr>
          <w:rFonts w:ascii="Arial" w:hAnsi="Arial" w:cs="Arial"/>
          <w:strike/>
          <w:szCs w:val="22"/>
        </w:rPr>
      </w:pPr>
      <w:r w:rsidRPr="0030358C">
        <w:rPr>
          <w:rFonts w:ascii="Arial" w:hAnsi="Arial" w:cs="Arial"/>
          <w:strike/>
          <w:szCs w:val="22"/>
        </w:rPr>
        <w:t>9.    Druh, odhadované množství a vlastnosti znečišťujících látek, u kterých může dojít, v případě poruchy nebo havárie stacionárního zdroje nebo jeho části, k vyšším emisím než při obvyklém provozu.</w:t>
      </w:r>
    </w:p>
    <w:p w14:paraId="43E5D181" w14:textId="77777777" w:rsidR="00A77B3E" w:rsidRPr="0030358C" w:rsidRDefault="00000000">
      <w:pPr>
        <w:pStyle w:val="117"/>
        <w:rPr>
          <w:rFonts w:ascii="Arial" w:hAnsi="Arial" w:cs="Arial"/>
          <w:strike/>
          <w:szCs w:val="22"/>
        </w:rPr>
      </w:pPr>
      <w:r w:rsidRPr="0030358C">
        <w:rPr>
          <w:rFonts w:ascii="Arial" w:hAnsi="Arial" w:cs="Arial"/>
          <w:strike/>
          <w:szCs w:val="22"/>
        </w:rPr>
        <w:t>10.    Vymezení stavů uvádění stacionárního zdroje do provozu a jeho odstavování.</w:t>
      </w:r>
    </w:p>
    <w:p w14:paraId="62A313D5" w14:textId="77777777" w:rsidR="00A77B3E" w:rsidRPr="0030358C" w:rsidRDefault="00000000">
      <w:pPr>
        <w:pStyle w:val="117"/>
        <w:rPr>
          <w:rFonts w:ascii="Arial" w:hAnsi="Arial" w:cs="Arial"/>
          <w:strike/>
          <w:szCs w:val="22"/>
        </w:rPr>
      </w:pPr>
      <w:r w:rsidRPr="0030358C">
        <w:rPr>
          <w:rFonts w:ascii="Arial" w:hAnsi="Arial" w:cs="Arial"/>
          <w:strike/>
          <w:szCs w:val="22"/>
        </w:rPr>
        <w:t>11.    Aktuální spojení</w:t>
      </w:r>
      <w:hyperlink w:history="1">
        <w:r w:rsidR="00A77B3E" w:rsidRPr="0030358C">
          <w:rPr>
            <w:rFonts w:ascii="Arial" w:hAnsi="Arial" w:cs="Arial"/>
            <w:strike/>
            <w:szCs w:val="22"/>
          </w:rPr>
          <w:t>**)</w:t>
        </w:r>
      </w:hyperlink>
      <w:r w:rsidRPr="0030358C">
        <w:rPr>
          <w:rFonts w:ascii="Arial" w:hAnsi="Arial" w:cs="Arial"/>
          <w:strike/>
          <w:szCs w:val="22"/>
        </w:rPr>
        <w:t xml:space="preserve"> na příslušný orgán ochrany ovzduší, způsob podávání hlášení o havárii nebo poruše orgánům ochrany ovzduší a veřejnosti, odpovědné osoby a způsob interního předávání informací o poruchách a haváriích.</w:t>
      </w:r>
    </w:p>
    <w:p w14:paraId="253CC7A5" w14:textId="77777777" w:rsidR="00A77B3E" w:rsidRPr="0030358C" w:rsidRDefault="00000000">
      <w:pPr>
        <w:pStyle w:val="117"/>
        <w:rPr>
          <w:rFonts w:ascii="Arial" w:hAnsi="Arial" w:cs="Arial"/>
          <w:strike/>
          <w:szCs w:val="22"/>
        </w:rPr>
      </w:pPr>
      <w:r w:rsidRPr="0030358C">
        <w:rPr>
          <w:rFonts w:ascii="Arial" w:hAnsi="Arial" w:cs="Arial"/>
          <w:strike/>
          <w:szCs w:val="22"/>
        </w:rPr>
        <w:t>12.    Způsob předcházení haváriím a poruchám; opatření, která jsou nebo budou provozovatelem přijata ke zmírnění důsledků havárií a poruch a uvedení postupů provozovatele při zmáhání havárií a odstraňování poruch včetně režimů omezování nebo zastavování provozu stacionárního zdroje.</w:t>
      </w:r>
      <w:hyperlink w:history="1">
        <w:r w:rsidR="00A77B3E" w:rsidRPr="0030358C">
          <w:rPr>
            <w:rFonts w:ascii="Arial" w:hAnsi="Arial" w:cs="Arial"/>
            <w:strike/>
            <w:szCs w:val="22"/>
          </w:rPr>
          <w:t>**)</w:t>
        </w:r>
      </w:hyperlink>
      <w:r w:rsidRPr="0030358C">
        <w:rPr>
          <w:rFonts w:ascii="Arial" w:hAnsi="Arial" w:cs="Arial"/>
          <w:strike/>
          <w:szCs w:val="22"/>
        </w:rPr>
        <w:t xml:space="preserve"> U stacionárních zdrojů tepelně zpracovávajících odpad nejvýše přípustné doby pro jakékoli technicky nezamezitelné odstávky, poruchy nebo závady technologického zařízení sloužícího ke snižování emisí nebo měřicích přístrojů, během kterých může koncentrace znečišťujících látek překročit stanovené hodnoty emisních limitů.</w:t>
      </w:r>
    </w:p>
    <w:p w14:paraId="27C3C2AF" w14:textId="77777777" w:rsidR="00A77B3E" w:rsidRPr="0030358C" w:rsidRDefault="00000000">
      <w:pPr>
        <w:pStyle w:val="117"/>
        <w:rPr>
          <w:rFonts w:ascii="Arial" w:hAnsi="Arial" w:cs="Arial"/>
          <w:strike/>
          <w:szCs w:val="22"/>
        </w:rPr>
      </w:pPr>
      <w:r w:rsidRPr="0030358C">
        <w:rPr>
          <w:rFonts w:ascii="Arial" w:hAnsi="Arial" w:cs="Arial"/>
          <w:strike/>
          <w:szCs w:val="22"/>
        </w:rPr>
        <w:t>13.    Způsob zajištění spolehlivosti a řádné funkce kontinuálního měřícího systému při výpadku kontinuálního měření emisí, z důvodů poruchy nebo údržby systému, překračujícím 10 dní v kalendářním roce. Neplatným dnem z hlediska kontinuálního měření emisí se rozumí den, ve kterém jsou více než 3 průměrné hodinové hodnoty z důvodu poruchy nebo údržby kontinuálního měření neplatné. V případě vyhodnocování půlhodinových intervalů tvoří neplatnou hodinovou hodnotu dvě neplatné půlhodinové průměrné hodnoty v rámci jedné hodiny.</w:t>
      </w:r>
    </w:p>
    <w:p w14:paraId="1C1080D4" w14:textId="77777777" w:rsidR="00A77B3E" w:rsidRPr="0030358C" w:rsidRDefault="00000000">
      <w:pPr>
        <w:pStyle w:val="117"/>
        <w:rPr>
          <w:rFonts w:ascii="Arial" w:hAnsi="Arial" w:cs="Arial"/>
          <w:strike/>
          <w:szCs w:val="22"/>
        </w:rPr>
      </w:pPr>
      <w:r w:rsidRPr="0030358C">
        <w:rPr>
          <w:rFonts w:ascii="Arial" w:hAnsi="Arial" w:cs="Arial"/>
          <w:strike/>
          <w:szCs w:val="22"/>
        </w:rPr>
        <w:t>14.    Vymezení doby uvádění spalovacích stacionárních zdrojů do provozu a jejich odstavování z provozu.</w:t>
      </w:r>
    </w:p>
    <w:p w14:paraId="402B02E8" w14:textId="77777777" w:rsidR="00A77B3E" w:rsidRPr="0030358C" w:rsidRDefault="00000000">
      <w:pPr>
        <w:pStyle w:val="117"/>
        <w:rPr>
          <w:rFonts w:ascii="Arial" w:hAnsi="Arial" w:cs="Arial"/>
          <w:strike/>
          <w:szCs w:val="22"/>
        </w:rPr>
      </w:pPr>
      <w:r w:rsidRPr="0030358C">
        <w:rPr>
          <w:rFonts w:ascii="Arial" w:hAnsi="Arial" w:cs="Arial"/>
          <w:strike/>
          <w:szCs w:val="22"/>
        </w:rPr>
        <w:t>15.    Termíny kontrol, revizí a údržby technologických zařízení sloužících ke snižování emisí. Uvedení způsobu proškolení obsluh a odpovědných osob.</w:t>
      </w:r>
      <w:hyperlink w:history="1">
        <w:r w:rsidR="00A77B3E" w:rsidRPr="0030358C">
          <w:rPr>
            <w:rFonts w:ascii="Arial" w:hAnsi="Arial" w:cs="Arial"/>
            <w:strike/>
            <w:szCs w:val="22"/>
          </w:rPr>
          <w:t>*)</w:t>
        </w:r>
      </w:hyperlink>
    </w:p>
    <w:p w14:paraId="4D1B5978" w14:textId="77777777" w:rsidR="00A77B3E" w:rsidRPr="0030358C" w:rsidRDefault="00000000">
      <w:pPr>
        <w:pStyle w:val="117"/>
        <w:rPr>
          <w:rFonts w:ascii="Arial" w:hAnsi="Arial" w:cs="Arial"/>
          <w:strike/>
          <w:szCs w:val="22"/>
        </w:rPr>
      </w:pPr>
      <w:r w:rsidRPr="0030358C">
        <w:rPr>
          <w:rFonts w:ascii="Arial" w:hAnsi="Arial" w:cs="Arial"/>
          <w:strike/>
          <w:szCs w:val="22"/>
        </w:rPr>
        <w:lastRenderedPageBreak/>
        <w:t>16.    Definice poruch a havárií s dopadem na vnější ovzduší a jejich odstraňování, termíny odstraňování poruch pro konkrétní technologii stacionární zdroje a podmínky odstavení stacionárního zdroje z provozu.</w:t>
      </w:r>
      <w:hyperlink w:history="1">
        <w:r w:rsidR="00A77B3E" w:rsidRPr="0030358C">
          <w:rPr>
            <w:rFonts w:ascii="Arial" w:hAnsi="Arial" w:cs="Arial"/>
            <w:strike/>
            <w:szCs w:val="22"/>
          </w:rPr>
          <w:t>*)</w:t>
        </w:r>
      </w:hyperlink>
    </w:p>
    <w:p w14:paraId="2D442C9B" w14:textId="77777777" w:rsidR="00A77B3E" w:rsidRPr="0030358C" w:rsidRDefault="00000000">
      <w:pPr>
        <w:pStyle w:val="117"/>
        <w:rPr>
          <w:rFonts w:ascii="Arial" w:hAnsi="Arial" w:cs="Arial"/>
          <w:strike/>
          <w:szCs w:val="22"/>
        </w:rPr>
      </w:pPr>
      <w:r w:rsidRPr="0030358C">
        <w:rPr>
          <w:rFonts w:ascii="Arial" w:hAnsi="Arial" w:cs="Arial"/>
          <w:strike/>
          <w:szCs w:val="22"/>
        </w:rPr>
        <w:t>17.    Způsob a četnost seřizování spalovacích stacionárních zdrojů.</w:t>
      </w:r>
    </w:p>
    <w:p w14:paraId="2B70123F" w14:textId="77777777" w:rsidR="00A77B3E" w:rsidRPr="0030358C" w:rsidRDefault="00000000">
      <w:pPr>
        <w:pStyle w:val="117"/>
        <w:rPr>
          <w:rFonts w:ascii="Arial" w:hAnsi="Arial" w:cs="Arial"/>
          <w:strike/>
          <w:szCs w:val="22"/>
        </w:rPr>
      </w:pPr>
      <w:r w:rsidRPr="0030358C">
        <w:rPr>
          <w:rFonts w:ascii="Arial" w:hAnsi="Arial" w:cs="Arial"/>
          <w:strike/>
          <w:szCs w:val="22"/>
        </w:rPr>
        <w:t>18.    Výjimečné situace - odůvodnění neplnění stanovených emisních limitů v případech definovaných poruch, definovaných havárií, při najíždění technologií do provozu nebo při odstavování technologií z provozu po stanovenou dobu, při seřizování technologií. Uvedou se pracovní a kontrolní postupy pro zamezení úniků znečišťujících látek při opravách, najíždění nebo odstavování stacionárního zdroje.</w:t>
      </w:r>
      <w:hyperlink w:history="1">
        <w:r w:rsidR="00A77B3E" w:rsidRPr="0030358C">
          <w:rPr>
            <w:rFonts w:ascii="Arial" w:hAnsi="Arial" w:cs="Arial"/>
            <w:strike/>
            <w:szCs w:val="22"/>
          </w:rPr>
          <w:t>*)</w:t>
        </w:r>
      </w:hyperlink>
    </w:p>
    <w:p w14:paraId="0578CFDC" w14:textId="77777777" w:rsidR="00A77B3E" w:rsidRPr="0030358C" w:rsidRDefault="00000000">
      <w:pPr>
        <w:pStyle w:val="119"/>
        <w:rPr>
          <w:rFonts w:ascii="Arial" w:hAnsi="Arial" w:cs="Arial"/>
          <w:strike/>
          <w:szCs w:val="22"/>
        </w:rPr>
      </w:pPr>
      <w:r w:rsidRPr="0030358C">
        <w:rPr>
          <w:rFonts w:ascii="Arial" w:hAnsi="Arial" w:cs="Arial"/>
          <w:strike/>
          <w:szCs w:val="22"/>
        </w:rPr>
        <w:t>19.    Provozovatel chovu hospodářských zvířat dále uvede</w:t>
      </w:r>
    </w:p>
    <w:p w14:paraId="06CADDA7" w14:textId="77777777" w:rsidR="00A77B3E" w:rsidRPr="0030358C" w:rsidRDefault="00000000">
      <w:pPr>
        <w:pStyle w:val="63"/>
        <w:rPr>
          <w:rFonts w:ascii="Arial" w:hAnsi="Arial" w:cs="Arial"/>
          <w:strike/>
          <w:sz w:val="22"/>
          <w:szCs w:val="22"/>
        </w:rPr>
      </w:pPr>
      <w:r w:rsidRPr="0030358C">
        <w:rPr>
          <w:rFonts w:ascii="Arial" w:hAnsi="Arial" w:cs="Arial"/>
          <w:strike/>
          <w:sz w:val="22"/>
          <w:szCs w:val="22"/>
        </w:rPr>
        <w:t>a)    způsob ustájení a projektovanou kapacitu ustájení hospodářských zvířat,</w:t>
      </w:r>
    </w:p>
    <w:p w14:paraId="2FA60205" w14:textId="77777777" w:rsidR="00A77B3E" w:rsidRPr="0030358C" w:rsidRDefault="00000000">
      <w:pPr>
        <w:pStyle w:val="64"/>
        <w:rPr>
          <w:rFonts w:ascii="Arial" w:hAnsi="Arial" w:cs="Arial"/>
          <w:strike/>
          <w:sz w:val="22"/>
          <w:szCs w:val="22"/>
        </w:rPr>
      </w:pPr>
      <w:r w:rsidRPr="0030358C">
        <w:rPr>
          <w:rFonts w:ascii="Arial" w:hAnsi="Arial" w:cs="Arial"/>
          <w:strike/>
          <w:sz w:val="22"/>
          <w:szCs w:val="22"/>
        </w:rPr>
        <w:t>b)    způsob odvádění amoniaku do ovzduší,</w:t>
      </w:r>
    </w:p>
    <w:p w14:paraId="0EA8560E" w14:textId="77777777" w:rsidR="00A77B3E" w:rsidRPr="0030358C" w:rsidRDefault="00000000">
      <w:pPr>
        <w:pStyle w:val="64"/>
        <w:rPr>
          <w:rFonts w:ascii="Arial" w:hAnsi="Arial" w:cs="Arial"/>
          <w:strike/>
          <w:sz w:val="22"/>
          <w:szCs w:val="22"/>
        </w:rPr>
      </w:pPr>
      <w:r w:rsidRPr="0030358C">
        <w:rPr>
          <w:rFonts w:ascii="Arial" w:hAnsi="Arial" w:cs="Arial"/>
          <w:strike/>
          <w:sz w:val="22"/>
          <w:szCs w:val="22"/>
        </w:rPr>
        <w:t>c)    referenční nebo snižující technologie podle Metodického pokynu Ministerstva životního prostředí „Stanovení kategorie a uplatnění snižujících technologií u zemědělských zdrojů“ pro chovy hospodářských zvířat, skládky chlévského hnoje a kejdy a způsoby zapravení na pozemek, u kterých je deklarován emisní hmotnostní tok amoniaku do ovzduší, a které budou v rámci plánu u stacionárního zdroje instalovány, nebo jiné technologie snižující emise amoniaku,</w:t>
      </w:r>
    </w:p>
    <w:p w14:paraId="6AFA2190" w14:textId="77777777" w:rsidR="00A77B3E" w:rsidRPr="0030358C" w:rsidRDefault="00000000">
      <w:pPr>
        <w:pStyle w:val="65"/>
        <w:rPr>
          <w:rFonts w:ascii="Arial" w:hAnsi="Arial" w:cs="Arial"/>
          <w:strike/>
          <w:sz w:val="22"/>
          <w:szCs w:val="22"/>
        </w:rPr>
      </w:pPr>
      <w:r w:rsidRPr="0030358C">
        <w:rPr>
          <w:rFonts w:ascii="Arial" w:hAnsi="Arial" w:cs="Arial"/>
          <w:strike/>
          <w:sz w:val="22"/>
          <w:szCs w:val="22"/>
        </w:rPr>
        <w:t>d)    další související technickoorganizační opatření.</w:t>
      </w:r>
    </w:p>
    <w:p w14:paraId="18E68049" w14:textId="77777777" w:rsidR="00A77B3E" w:rsidRPr="0030358C" w:rsidRDefault="00000000">
      <w:pPr>
        <w:pStyle w:val="66"/>
        <w:rPr>
          <w:rFonts w:ascii="Arial" w:hAnsi="Arial" w:cs="Arial"/>
          <w:strike/>
          <w:szCs w:val="22"/>
        </w:rPr>
      </w:pPr>
      <w:r w:rsidRPr="0030358C">
        <w:rPr>
          <w:rFonts w:ascii="Arial" w:hAnsi="Arial" w:cs="Arial"/>
          <w:strike/>
          <w:szCs w:val="22"/>
        </w:rPr>
        <w:t>20.    Provozovatel stacionárního zdroje vypouštějící fugitivní emise tuhých znečišťujících látek, nebo provozovatel stacionárního zdroje, jehož součástí je výroba, zpracování, úprava, doprava, nakládka, vykládka a skladování prašných materiálů uvede v provozním řádu technická a provozní opatření k omezení tuhých znečišťujících látek a resuspenze prachu.</w:t>
      </w:r>
    </w:p>
    <w:p w14:paraId="5DD42471" w14:textId="77777777" w:rsidR="00A77B3E" w:rsidRPr="0030358C" w:rsidRDefault="00000000">
      <w:pPr>
        <w:pStyle w:val="117"/>
        <w:rPr>
          <w:rFonts w:ascii="Arial" w:hAnsi="Arial" w:cs="Arial"/>
          <w:strike/>
          <w:szCs w:val="22"/>
        </w:rPr>
      </w:pPr>
      <w:r w:rsidRPr="0030358C">
        <w:rPr>
          <w:rFonts w:ascii="Arial" w:hAnsi="Arial" w:cs="Arial"/>
          <w:strike/>
          <w:szCs w:val="22"/>
        </w:rPr>
        <w:t xml:space="preserve">21.    Provozovatel stacionárního zdroje emitujícího znečišťující látky obtěžující zápachem, zejména kategorie 2.3, 2.4, 2.6, 7.8, 7.9, 7.10, 7.11, 7.12, 7.16 a 8 </w:t>
      </w:r>
      <w:hyperlink w:history="1">
        <w:r w:rsidR="00A77B3E" w:rsidRPr="0030358C">
          <w:rPr>
            <w:rFonts w:ascii="Arial" w:hAnsi="Arial" w:cs="Arial"/>
            <w:strike/>
            <w:szCs w:val="22"/>
          </w:rPr>
          <w:t>přílohy č. 2</w:t>
        </w:r>
      </w:hyperlink>
      <w:r w:rsidRPr="0030358C">
        <w:rPr>
          <w:rFonts w:ascii="Arial" w:hAnsi="Arial" w:cs="Arial"/>
          <w:strike/>
          <w:szCs w:val="22"/>
        </w:rPr>
        <w:t xml:space="preserve"> k </w:t>
      </w:r>
      <w:hyperlink w:history="1">
        <w:r w:rsidR="00A77B3E" w:rsidRPr="0030358C">
          <w:rPr>
            <w:rFonts w:ascii="Arial" w:hAnsi="Arial" w:cs="Arial"/>
            <w:strike/>
            <w:szCs w:val="22"/>
          </w:rPr>
          <w:t>zákonu</w:t>
        </w:r>
      </w:hyperlink>
      <w:r w:rsidRPr="0030358C">
        <w:rPr>
          <w:rFonts w:ascii="Arial" w:hAnsi="Arial" w:cs="Arial"/>
          <w:strike/>
          <w:szCs w:val="22"/>
        </w:rPr>
        <w:t>, uvede v provozním řádu technická a provozní opatření k omezení emisí těchto látek</w:t>
      </w:r>
    </w:p>
    <w:p w14:paraId="2E86FE89" w14:textId="77777777" w:rsidR="00A77B3E" w:rsidRPr="0030358C" w:rsidRDefault="00000000">
      <w:pPr>
        <w:pStyle w:val="119"/>
        <w:rPr>
          <w:rFonts w:ascii="Arial" w:hAnsi="Arial" w:cs="Arial"/>
          <w:strike/>
          <w:szCs w:val="22"/>
        </w:rPr>
      </w:pPr>
      <w:r w:rsidRPr="0030358C">
        <w:rPr>
          <w:rFonts w:ascii="Arial" w:hAnsi="Arial" w:cs="Arial"/>
          <w:strike/>
          <w:szCs w:val="22"/>
        </w:rPr>
        <w:t>22.    Podpis provozovatele nebo v případě právnické osoby jejího statutárního zástupce nebo jím pověřené osoby.</w:t>
      </w:r>
    </w:p>
    <w:p w14:paraId="0BDF8E70" w14:textId="77777777" w:rsidR="00A77B3E" w:rsidRPr="0030358C" w:rsidRDefault="00000000">
      <w:pPr>
        <w:pStyle w:val="48"/>
        <w:rPr>
          <w:rFonts w:ascii="Arial" w:hAnsi="Arial" w:cs="Arial"/>
          <w:strike/>
          <w:sz w:val="22"/>
          <w:szCs w:val="22"/>
        </w:rPr>
      </w:pPr>
      <w:r w:rsidRPr="0030358C">
        <w:rPr>
          <w:rFonts w:ascii="Arial" w:hAnsi="Arial" w:cs="Arial"/>
          <w:strike/>
          <w:sz w:val="22"/>
          <w:szCs w:val="22"/>
        </w:rPr>
        <w:t>Vysvětlivky:</w:t>
      </w:r>
    </w:p>
    <w:p w14:paraId="1A6808CD" w14:textId="77777777" w:rsidR="00A77B3E" w:rsidRPr="0030358C" w:rsidRDefault="00000000">
      <w:pPr>
        <w:pStyle w:val="52"/>
        <w:rPr>
          <w:rFonts w:ascii="Arial" w:hAnsi="Arial" w:cs="Arial"/>
          <w:strike/>
          <w:sz w:val="22"/>
          <w:szCs w:val="22"/>
        </w:rPr>
      </w:pPr>
      <w:r w:rsidRPr="0030358C">
        <w:rPr>
          <w:rFonts w:ascii="Arial" w:hAnsi="Arial" w:cs="Arial"/>
          <w:strike/>
          <w:sz w:val="22"/>
          <w:szCs w:val="22"/>
          <w:vertAlign w:val="superscript"/>
        </w:rPr>
        <w:t>*</w:t>
      </w:r>
      <w:r w:rsidRPr="0030358C">
        <w:rPr>
          <w:rFonts w:ascii="Arial" w:hAnsi="Arial" w:cs="Arial"/>
          <w:strike/>
          <w:sz w:val="22"/>
          <w:szCs w:val="22"/>
        </w:rPr>
        <w:t>)    Přípustný je odkaz na jinou dokumentaci provozovatele, která bude požadované údaje obsahovat.</w:t>
      </w:r>
    </w:p>
    <w:p w14:paraId="24265719" w14:textId="77777777" w:rsidR="00A77B3E" w:rsidRPr="0030358C" w:rsidRDefault="00000000">
      <w:pPr>
        <w:pStyle w:val="53"/>
        <w:rPr>
          <w:rFonts w:ascii="Arial" w:hAnsi="Arial" w:cs="Arial"/>
          <w:strike/>
          <w:sz w:val="22"/>
          <w:szCs w:val="22"/>
        </w:rPr>
      </w:pPr>
      <w:r w:rsidRPr="0030358C">
        <w:rPr>
          <w:rFonts w:ascii="Arial" w:hAnsi="Arial" w:cs="Arial"/>
          <w:strike/>
          <w:sz w:val="22"/>
          <w:szCs w:val="22"/>
          <w:vertAlign w:val="superscript"/>
        </w:rPr>
        <w:t>**</w:t>
      </w:r>
      <w:r w:rsidRPr="0030358C">
        <w:rPr>
          <w:rFonts w:ascii="Arial" w:hAnsi="Arial" w:cs="Arial"/>
          <w:strike/>
          <w:sz w:val="22"/>
          <w:szCs w:val="22"/>
        </w:rPr>
        <w:t>)    Takto označené údaje mohou být zpracovány společné pro všechny stacionární zdroje jediné provozovny.</w:t>
      </w:r>
    </w:p>
    <w:p w14:paraId="6DE81D84" w14:textId="77777777" w:rsidR="00FF1341" w:rsidRPr="0030358C" w:rsidRDefault="00FF1341">
      <w:pPr>
        <w:pStyle w:val="53"/>
        <w:rPr>
          <w:rFonts w:ascii="Arial" w:hAnsi="Arial" w:cs="Arial"/>
          <w:sz w:val="22"/>
          <w:szCs w:val="22"/>
        </w:rPr>
      </w:pPr>
    </w:p>
    <w:p w14:paraId="7CC13D12" w14:textId="77777777" w:rsidR="00FF1341" w:rsidRPr="0030358C" w:rsidRDefault="00000000">
      <w:pPr>
        <w:rPr>
          <w:rFonts w:ascii="Arial" w:hAnsi="Arial" w:cs="Arial"/>
          <w:b/>
          <w:sz w:val="22"/>
          <w:szCs w:val="22"/>
        </w:rPr>
      </w:pPr>
      <w:r w:rsidRPr="0030358C">
        <w:rPr>
          <w:rFonts w:ascii="Arial" w:hAnsi="Arial" w:cs="Arial"/>
          <w:sz w:val="22"/>
          <w:szCs w:val="22"/>
        </w:rPr>
        <w:br w:type="page"/>
      </w:r>
    </w:p>
    <w:p w14:paraId="1C50DFF1" w14:textId="77777777" w:rsidR="0016206C" w:rsidRPr="0030358C" w:rsidRDefault="00000000" w:rsidP="0016206C">
      <w:pPr>
        <w:pStyle w:val="42"/>
        <w:rPr>
          <w:rFonts w:ascii="Arial" w:hAnsi="Arial" w:cs="Arial"/>
          <w:sz w:val="22"/>
          <w:szCs w:val="22"/>
        </w:rPr>
      </w:pPr>
      <w:bookmarkStart w:id="67" w:name="_Hlk181606616"/>
      <w:r w:rsidRPr="0030358C">
        <w:rPr>
          <w:rFonts w:ascii="Arial" w:hAnsi="Arial" w:cs="Arial"/>
          <w:sz w:val="22"/>
          <w:szCs w:val="22"/>
        </w:rPr>
        <w:lastRenderedPageBreak/>
        <w:t>Příloha č. 12</w:t>
      </w:r>
      <w:r w:rsidR="007F35D1" w:rsidRPr="0030358C">
        <w:rPr>
          <w:rFonts w:ascii="Arial" w:hAnsi="Arial" w:cs="Arial"/>
          <w:sz w:val="22"/>
          <w:szCs w:val="22"/>
        </w:rPr>
        <w:t xml:space="preserve"> </w:t>
      </w:r>
      <w:r w:rsidRPr="0030358C">
        <w:rPr>
          <w:rFonts w:ascii="Arial" w:hAnsi="Arial" w:cs="Arial"/>
          <w:sz w:val="22"/>
          <w:szCs w:val="22"/>
        </w:rPr>
        <w:t>k vyhlášce č. 415/2012 Sb.</w:t>
      </w:r>
    </w:p>
    <w:p w14:paraId="65ABD287" w14:textId="77777777" w:rsidR="00FF1341" w:rsidRPr="0030358C" w:rsidRDefault="00000000" w:rsidP="00FF1341">
      <w:pPr>
        <w:pStyle w:val="53"/>
        <w:jc w:val="center"/>
        <w:rPr>
          <w:rFonts w:ascii="Arial" w:hAnsi="Arial" w:cs="Arial"/>
          <w:b/>
          <w:bCs/>
          <w:sz w:val="22"/>
          <w:szCs w:val="22"/>
        </w:rPr>
      </w:pPr>
      <w:r w:rsidRPr="0030358C">
        <w:rPr>
          <w:rFonts w:ascii="Arial" w:hAnsi="Arial" w:cs="Arial"/>
          <w:b/>
          <w:bCs/>
          <w:sz w:val="22"/>
          <w:szCs w:val="22"/>
        </w:rPr>
        <w:t>Náležitosti provozního řádu</w:t>
      </w:r>
    </w:p>
    <w:p w14:paraId="0BB864CE" w14:textId="77777777" w:rsidR="00FF1341" w:rsidRPr="0030358C" w:rsidRDefault="00000000" w:rsidP="00FF1341">
      <w:pPr>
        <w:pStyle w:val="53"/>
        <w:rPr>
          <w:rFonts w:ascii="Arial" w:hAnsi="Arial" w:cs="Arial"/>
          <w:b/>
          <w:bCs/>
          <w:sz w:val="22"/>
          <w:szCs w:val="22"/>
        </w:rPr>
      </w:pPr>
      <w:bookmarkStart w:id="68" w:name="_Hlk184975377"/>
      <w:r w:rsidRPr="0030358C">
        <w:rPr>
          <w:rFonts w:ascii="Arial" w:hAnsi="Arial" w:cs="Arial"/>
          <w:b/>
          <w:bCs/>
          <w:sz w:val="22"/>
          <w:szCs w:val="22"/>
        </w:rPr>
        <w:t xml:space="preserve">1. Identifikace stacionárních zdrojů a provozovny, ve které jsou stacionární zdroje provozovány, včetně kódů (dle přílohy č. 2) těchto stacionárních zdrojů. Identifikace provozovatele, případně majitele stacionárního zdroje, pokud provozovatel není znám (podle § 2 písm. h) zákona). U kódů, pro které příloha </w:t>
      </w:r>
      <w:r w:rsidR="00910923" w:rsidRPr="0030358C">
        <w:rPr>
          <w:rFonts w:ascii="Arial" w:hAnsi="Arial" w:cs="Arial"/>
          <w:b/>
          <w:bCs/>
          <w:sz w:val="22"/>
          <w:szCs w:val="22"/>
        </w:rPr>
        <w:t xml:space="preserve">č. 20 </w:t>
      </w:r>
      <w:r w:rsidRPr="0030358C">
        <w:rPr>
          <w:rFonts w:ascii="Arial" w:hAnsi="Arial" w:cs="Arial"/>
          <w:b/>
          <w:bCs/>
          <w:sz w:val="22"/>
          <w:szCs w:val="22"/>
        </w:rPr>
        <w:t>stanovuje minimální vzdálenosti také GPS souřadnice stacionárního zdroje (geometrický střed).</w:t>
      </w:r>
    </w:p>
    <w:p w14:paraId="3BFFEB8F" w14:textId="77777777" w:rsidR="00E8144A" w:rsidRPr="0030358C" w:rsidRDefault="00000000" w:rsidP="00FF1341">
      <w:pPr>
        <w:pStyle w:val="53"/>
        <w:rPr>
          <w:rFonts w:ascii="Arial" w:hAnsi="Arial" w:cs="Arial"/>
          <w:b/>
          <w:bCs/>
          <w:sz w:val="22"/>
          <w:szCs w:val="22"/>
        </w:rPr>
      </w:pPr>
      <w:r w:rsidRPr="0030358C">
        <w:rPr>
          <w:rFonts w:ascii="Arial" w:hAnsi="Arial" w:cs="Arial"/>
          <w:b/>
          <w:bCs/>
          <w:sz w:val="22"/>
          <w:szCs w:val="22"/>
        </w:rPr>
        <w:t>2. Podrobný popis stacionárního zdroje a souvisejících činností, dále popis technologií a opatření ke snižování emisí, jejich funkce a účinností. Údaje o projektované kapacitě. Číslování stacionárního zdroje (případně číslo CRŽP/ISPOP, jeli evidováno) v jednoznačné návaznosti na platné vnitřní provozní a technologické předpisy provozovatele a blokové schéma s uvedením jednotlivých stacionárních zdrojů v provozovně a příslušných zařízení ke snižování emisí a komínů a výduchů, pokud jsou instalovány.</w:t>
      </w:r>
    </w:p>
    <w:p w14:paraId="63FC93AE"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3. Údaj o funkci spalovacího stacionárního zdroje v přenosové soustavě nebo v soustavě zásobování tepelnou energií a údaj o tom, zda se jedná o záložní zdroj energie nebo požární čerpadlo.</w:t>
      </w:r>
    </w:p>
    <w:p w14:paraId="6BBA6608"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 xml:space="preserve">4. Identifikace materiálových vstupů do </w:t>
      </w:r>
      <w:r w:rsidR="006441D4" w:rsidRPr="0030358C">
        <w:rPr>
          <w:rFonts w:ascii="Arial" w:hAnsi="Arial" w:cs="Arial"/>
          <w:b/>
          <w:bCs/>
          <w:sz w:val="22"/>
          <w:szCs w:val="22"/>
        </w:rPr>
        <w:t>technologie – zpracovávané</w:t>
      </w:r>
      <w:r w:rsidRPr="0030358C">
        <w:rPr>
          <w:rFonts w:ascii="Arial" w:hAnsi="Arial" w:cs="Arial"/>
          <w:b/>
          <w:bCs/>
          <w:sz w:val="22"/>
          <w:szCs w:val="22"/>
        </w:rPr>
        <w:t xml:space="preserve"> suroviny a paliva (příp. odpady nebo paliva vyrobená z odpadu) zpracovávané ve stacionárním zdroji). Podrobnosti provádění primárních opatření ke snížení emisí, které spočívají v úpravě, kontrole, dodržení fyzikálních, nebo chemicko-fyzikálních parametrů a chemického složení a správném dávkování materiálového vstupu. V případě zpracování odpadu také identifikace odpadu podle katalogových čísel katalogu odpadů. V případě tepelného zpracování odpadu dále uvedení minimálních a maximálních hmotnostních toků nebezpečných odpadů, jejich minimální a maximální výhřevnost a maximální obsahy PCB, pentachlorfenolu, chloru, fluoru, síry a těžkých kovů, případně jiných látek. </w:t>
      </w:r>
    </w:p>
    <w:p w14:paraId="68E9295B" w14:textId="77777777" w:rsidR="005E2B56" w:rsidRPr="0030358C" w:rsidRDefault="00000000" w:rsidP="005E2B56">
      <w:pPr>
        <w:pStyle w:val="53"/>
        <w:rPr>
          <w:rFonts w:ascii="Arial" w:hAnsi="Arial" w:cs="Arial"/>
          <w:b/>
          <w:bCs/>
          <w:sz w:val="22"/>
          <w:szCs w:val="22"/>
        </w:rPr>
      </w:pPr>
      <w:r w:rsidRPr="0030358C">
        <w:rPr>
          <w:rFonts w:ascii="Arial" w:hAnsi="Arial" w:cs="Arial"/>
          <w:b/>
          <w:bCs/>
          <w:sz w:val="22"/>
          <w:szCs w:val="22"/>
        </w:rPr>
        <w:t>5. Popis technologických operací prováděných ve stacionárních zdrojích a u souvisejících činností, mechanismus chemických reakcí (včetně známých vedlejších reakcí), způsoby řízení a kontroly prováděných operací.</w:t>
      </w:r>
    </w:p>
    <w:p w14:paraId="53E469FD" w14:textId="77777777" w:rsidR="005E2B56" w:rsidRPr="0030358C" w:rsidRDefault="00000000" w:rsidP="005E2B56">
      <w:pPr>
        <w:pStyle w:val="53"/>
        <w:rPr>
          <w:rFonts w:ascii="Arial" w:hAnsi="Arial" w:cs="Arial"/>
          <w:b/>
          <w:bCs/>
          <w:sz w:val="22"/>
          <w:szCs w:val="22"/>
        </w:rPr>
      </w:pPr>
      <w:r w:rsidRPr="0030358C">
        <w:rPr>
          <w:rFonts w:ascii="Arial" w:hAnsi="Arial" w:cs="Arial"/>
          <w:b/>
          <w:bCs/>
          <w:sz w:val="22"/>
          <w:szCs w:val="22"/>
        </w:rPr>
        <w:t>Primární opatření ve výrobní nebo zpracovatelské části technologie, zejména podmínky zpracování surovin a podmínky spalování paliv, podmínky provozu technologií ke snižování emisí. *)</w:t>
      </w:r>
    </w:p>
    <w:p w14:paraId="7CC2F842" w14:textId="77777777" w:rsidR="005E2B56" w:rsidRPr="0030358C" w:rsidRDefault="00000000" w:rsidP="005E2B56">
      <w:pPr>
        <w:pStyle w:val="53"/>
        <w:rPr>
          <w:rFonts w:ascii="Arial" w:hAnsi="Arial" w:cs="Arial"/>
          <w:b/>
          <w:bCs/>
          <w:sz w:val="22"/>
          <w:szCs w:val="22"/>
        </w:rPr>
      </w:pPr>
      <w:r w:rsidRPr="0030358C">
        <w:rPr>
          <w:rFonts w:ascii="Arial" w:hAnsi="Arial" w:cs="Arial"/>
          <w:b/>
          <w:bCs/>
          <w:sz w:val="22"/>
          <w:szCs w:val="22"/>
        </w:rPr>
        <w:t>6. Emisní výstupy z technologie a souvisejících činností – znečišťující látky, způsob jejich odsávání, opatření ke zvýšení účinnosti tohoto odsávání (je-li využíváno), včetně souvisejících technickoorganizačních opatření (kontrola uzavírání vrat apod.) a specifikace a lokalizace místa výstupu znečišťujících látek ze stacionárního zdroje do vnějšího ovzduší. V případě řízení vypuštění odpadního plynu výkonem ventilátoru nebo obdobného zařízení se uvedou limitní hodnoty průtoku odpadního plynu v definovaném měřicím profilu</w:t>
      </w:r>
      <w:r w:rsidR="00757248" w:rsidRPr="0030358C">
        <w:rPr>
          <w:rFonts w:ascii="Arial" w:hAnsi="Arial" w:cs="Arial"/>
          <w:b/>
          <w:bCs/>
          <w:sz w:val="22"/>
          <w:szCs w:val="22"/>
        </w:rPr>
        <w:t xml:space="preserve"> za provozních podmínek</w:t>
      </w:r>
      <w:r w:rsidRPr="0030358C">
        <w:rPr>
          <w:rFonts w:ascii="Arial" w:hAnsi="Arial" w:cs="Arial"/>
          <w:b/>
          <w:bCs/>
          <w:sz w:val="22"/>
          <w:szCs w:val="22"/>
        </w:rPr>
        <w:t xml:space="preserve">.  </w:t>
      </w:r>
    </w:p>
    <w:p w14:paraId="5EBAE4A6" w14:textId="77777777" w:rsidR="00FF1341" w:rsidRPr="0030358C" w:rsidRDefault="00000000" w:rsidP="005E2B56">
      <w:pPr>
        <w:pStyle w:val="53"/>
        <w:rPr>
          <w:rFonts w:ascii="Arial" w:hAnsi="Arial" w:cs="Arial"/>
          <w:b/>
          <w:bCs/>
          <w:sz w:val="22"/>
          <w:szCs w:val="22"/>
        </w:rPr>
      </w:pPr>
      <w:r w:rsidRPr="0030358C">
        <w:rPr>
          <w:rFonts w:ascii="Arial" w:hAnsi="Arial" w:cs="Arial"/>
          <w:b/>
          <w:bCs/>
          <w:sz w:val="22"/>
          <w:szCs w:val="22"/>
        </w:rPr>
        <w:t>7. Popis zařízení pro kontinuální měření emisí (pokud je instalováno) a popis, umístění a přesná specifikace (zejména tvar a rozměry, soulad s normou) měřícího místa, včetně postupu sledování provozu stacionárního zdroje a stanovení emisí pro případ výpadku kontinuálního měření emisí (např. sledováním teploty, tlaku, obsahu kyslíku, viskozity, pH). V případě stacionárního zdroje, u nějž je emisní limit dosahován úpravou technologického řízení výrobního procesu nebo použitím technologie ke snižování emisí, popis provozního parametru a jeho číselné vyjádření, dokladující plnění emisního limitu, způsob jeho měření včetně způsobu a frekvence kalibrace měřidla (v souladu s příslušnými technickými normami, jsou-li k dispozici) a popis způsobu nepřetržitého zaznamenávání naměřených hodnot. Podrobnosti sledování a nepřetržitého záznamu provozního parametru podle § 6 odst</w:t>
      </w:r>
      <w:r w:rsidR="00233CF7" w:rsidRPr="0030358C">
        <w:rPr>
          <w:rFonts w:ascii="Arial" w:hAnsi="Arial" w:cs="Arial"/>
          <w:b/>
          <w:bCs/>
          <w:sz w:val="22"/>
          <w:szCs w:val="22"/>
        </w:rPr>
        <w:t>.</w:t>
      </w:r>
      <w:r w:rsidRPr="0030358C">
        <w:rPr>
          <w:rFonts w:ascii="Arial" w:hAnsi="Arial" w:cs="Arial"/>
          <w:b/>
          <w:bCs/>
          <w:sz w:val="22"/>
          <w:szCs w:val="22"/>
        </w:rPr>
        <w:t xml:space="preserve"> 4 zákona (je-li uloženo), případně podrobnosti realizace technické podmínky provozu, která toto sledování nahrazuje</w:t>
      </w:r>
      <w:r w:rsidR="007660C1" w:rsidRPr="0030358C">
        <w:rPr>
          <w:rFonts w:ascii="Arial" w:hAnsi="Arial" w:cs="Arial"/>
          <w:b/>
          <w:bCs/>
          <w:sz w:val="22"/>
          <w:szCs w:val="22"/>
        </w:rPr>
        <w:t xml:space="preserve">, včetně </w:t>
      </w:r>
      <w:r w:rsidR="007660C1" w:rsidRPr="0030358C">
        <w:rPr>
          <w:rFonts w:ascii="Arial" w:hAnsi="Arial" w:cs="Arial"/>
          <w:b/>
          <w:bCs/>
          <w:sz w:val="22"/>
          <w:szCs w:val="22"/>
        </w:rPr>
        <w:lastRenderedPageBreak/>
        <w:t>okrajových hodnot signalizujících nutnost údržby nebo závady a poruchy podle bodu č. 11</w:t>
      </w:r>
      <w:r w:rsidRPr="0030358C">
        <w:rPr>
          <w:rFonts w:ascii="Arial" w:hAnsi="Arial" w:cs="Arial"/>
          <w:b/>
          <w:bCs/>
          <w:sz w:val="22"/>
          <w:szCs w:val="22"/>
        </w:rPr>
        <w:t xml:space="preserve">. </w:t>
      </w:r>
    </w:p>
    <w:p w14:paraId="42E2AB11"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8. Popis, umístění a přesná specifikace (zejména tvar a rozměry, soulad s normou) měřicího místa pro jednorázové měření emisí.</w:t>
      </w:r>
    </w:p>
    <w:p w14:paraId="0CC98132"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9. Vymezení stavů uvádění stacionárního zdroje do provozu a jeho odstavování. Vymezení doby uvádění spalovacích stacionárních zdrojů do provozu a jejich odstavování z provozu.</w:t>
      </w:r>
    </w:p>
    <w:p w14:paraId="296E22B9" w14:textId="77777777" w:rsidR="005E2B56" w:rsidRPr="0030358C" w:rsidRDefault="00000000" w:rsidP="00FF1341">
      <w:pPr>
        <w:pStyle w:val="53"/>
        <w:rPr>
          <w:rFonts w:ascii="Arial" w:hAnsi="Arial" w:cs="Arial"/>
          <w:b/>
          <w:bCs/>
          <w:sz w:val="22"/>
          <w:szCs w:val="22"/>
        </w:rPr>
      </w:pPr>
      <w:r w:rsidRPr="0030358C">
        <w:rPr>
          <w:rFonts w:ascii="Arial" w:hAnsi="Arial" w:cs="Arial"/>
          <w:b/>
          <w:bCs/>
          <w:sz w:val="22"/>
          <w:szCs w:val="22"/>
        </w:rPr>
        <w:t>10. Způsob podávání hlášení o havárii nebo poruše orgánům ochrany ovzduší a veřejnosti, odpovědné osoby a způsob interního předávání informací o poruchách a haváriích. V případě řízení vypuštění spalin nebo odpadní vzdušiny výkonem ventilátoru nebo obdobného zařízení uvést maximální a minimální průtok spalin nebo odpadní vzdušiny v definovaném měřicím profilu.</w:t>
      </w:r>
    </w:p>
    <w:p w14:paraId="0136D898"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 xml:space="preserve">11. Definice technických závad, poruch a havárií, které mají za následek vyšší úroveň znečišťování, způsob předcházení těmto závadám, poruchám a haváriím, způsob jejich odstraňování, termíny odstraňování poruch pro konkrétní technologii stacionárního </w:t>
      </w:r>
      <w:r w:rsidR="005E2B56" w:rsidRPr="0030358C">
        <w:rPr>
          <w:rFonts w:ascii="Arial" w:hAnsi="Arial" w:cs="Arial"/>
          <w:b/>
          <w:bCs/>
          <w:sz w:val="22"/>
          <w:szCs w:val="22"/>
        </w:rPr>
        <w:t>zdroje. *</w:t>
      </w:r>
      <w:r w:rsidRPr="0030358C">
        <w:rPr>
          <w:rFonts w:ascii="Arial" w:hAnsi="Arial" w:cs="Arial"/>
          <w:b/>
          <w:bCs/>
          <w:sz w:val="22"/>
          <w:szCs w:val="22"/>
        </w:rPr>
        <w:t>) Určení rizikových částí technologie. Hodnoty nepřetržitě sledovaného a zaznamenávaného provozního parametru, které indikují závadu, případně obdobné hodnoty a podmínky spojené s výjimkou podle § 6 odst</w:t>
      </w:r>
      <w:r w:rsidR="008A1A8A" w:rsidRPr="0030358C">
        <w:rPr>
          <w:rFonts w:ascii="Arial" w:hAnsi="Arial" w:cs="Arial"/>
          <w:b/>
          <w:bCs/>
          <w:sz w:val="22"/>
          <w:szCs w:val="22"/>
        </w:rPr>
        <w:t>.</w:t>
      </w:r>
      <w:r w:rsidRPr="0030358C">
        <w:rPr>
          <w:rFonts w:ascii="Arial" w:hAnsi="Arial" w:cs="Arial"/>
          <w:b/>
          <w:bCs/>
          <w:sz w:val="22"/>
          <w:szCs w:val="22"/>
        </w:rPr>
        <w:t xml:space="preserve"> 4 zákona. Postupy pro případy poruch nebo nedodržení primárních opatření na materiálovém vstupu, na technologii a postupy pro poruchy u sekundárních opatření, především odlučovací soustavy, odsávání technologie apod., včetně určení případných záložních systémů a pravidel pro jejich spuštění. Opatření, která jsou nebo budou provozovatelem přijata ke zmírnění důsledků technických závad, poruch a havárií včetně režimů omezování nebo zastavování provozu stacionárního zdroje podle § 17 odst. 3 písm. f) zákona. U stacionárních zdrojů tepelně zpracovávajících odpad nejvýše přípustné doby pro jakékoli technicky nezamezitelné odstávky, poruchy nebo závady technologického zařízení sloužícího ke snižování emisí nebo měřicích přístrojů, během kterých může koncentrace znečišťujících látek překročit stanovené hodnoty emisních limitů.</w:t>
      </w:r>
    </w:p>
    <w:p w14:paraId="301FFA57"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 xml:space="preserve">12. Způsob zajištění spolehlivosti a řádné funkce kontinuálního měřícího systému při výpadku kontinuálního měření emisí, z důvodů poruchy nebo údržby systému, překračujícím 10 dní v kalendářním roce. </w:t>
      </w:r>
    </w:p>
    <w:p w14:paraId="55D39B25" w14:textId="77777777" w:rsidR="005E2B56" w:rsidRPr="0030358C" w:rsidRDefault="00000000" w:rsidP="00FF1341">
      <w:pPr>
        <w:pStyle w:val="53"/>
        <w:rPr>
          <w:rFonts w:ascii="Arial" w:hAnsi="Arial" w:cs="Arial"/>
          <w:b/>
          <w:bCs/>
          <w:sz w:val="22"/>
          <w:szCs w:val="22"/>
        </w:rPr>
      </w:pPr>
      <w:r w:rsidRPr="0030358C">
        <w:rPr>
          <w:rFonts w:ascii="Arial" w:hAnsi="Arial" w:cs="Arial"/>
          <w:b/>
          <w:bCs/>
          <w:sz w:val="22"/>
          <w:szCs w:val="22"/>
        </w:rPr>
        <w:t>13. Druh, odhadované množství znečišťujících látek, u kterých může dojít, v případě technické závady, poruchy nebo havárie stacionárního zdroje nebo jeho části, k vyšším emisím než při obvyklém provozu.</w:t>
      </w:r>
    </w:p>
    <w:p w14:paraId="31F3C0FB"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14. Termíny kontrol, revizí a údržby a další požadavky na provoz technologických zařízení sloužících ke snižování emisí (dodržování fyzikálních parametrů, optimalizace poměrů činidel apod.). Uvedení způsobu proškolení obsluh a odpovědných osob.*)</w:t>
      </w:r>
    </w:p>
    <w:p w14:paraId="6F3F39F1"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 xml:space="preserve">15. Způsob a četnost seřizování spalovacích stacionárních zdrojů. </w:t>
      </w:r>
    </w:p>
    <w:p w14:paraId="679ECDCE"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 xml:space="preserve">16. Výjimečné </w:t>
      </w:r>
      <w:r w:rsidR="005E2B56" w:rsidRPr="0030358C">
        <w:rPr>
          <w:rFonts w:ascii="Arial" w:hAnsi="Arial" w:cs="Arial"/>
          <w:b/>
          <w:bCs/>
          <w:sz w:val="22"/>
          <w:szCs w:val="22"/>
        </w:rPr>
        <w:t>situace – odůvodnění</w:t>
      </w:r>
      <w:r w:rsidRPr="0030358C">
        <w:rPr>
          <w:rFonts w:ascii="Arial" w:hAnsi="Arial" w:cs="Arial"/>
          <w:b/>
          <w:bCs/>
          <w:sz w:val="22"/>
          <w:szCs w:val="22"/>
        </w:rPr>
        <w:t xml:space="preserve"> neplnění stanovených emisních limitů v případech definovaných poruch, definovaných havárií, při najíždění technologií do provozu nebo při odstavování technologií z provozu po stanovenou dobu, při seřizování technologií. Uvedou se pracovní a kontrolní postupy pro zamezení úniků znečišťujících látek při opravách, najíždění nebo odstavování stacionárního </w:t>
      </w:r>
      <w:r w:rsidR="005E2B56" w:rsidRPr="0030358C">
        <w:rPr>
          <w:rFonts w:ascii="Arial" w:hAnsi="Arial" w:cs="Arial"/>
          <w:b/>
          <w:bCs/>
          <w:sz w:val="22"/>
          <w:szCs w:val="22"/>
        </w:rPr>
        <w:t>zdroje. *</w:t>
      </w:r>
      <w:r w:rsidRPr="0030358C">
        <w:rPr>
          <w:rFonts w:ascii="Arial" w:hAnsi="Arial" w:cs="Arial"/>
          <w:b/>
          <w:bCs/>
          <w:sz w:val="22"/>
          <w:szCs w:val="22"/>
        </w:rPr>
        <w:t>)</w:t>
      </w:r>
    </w:p>
    <w:p w14:paraId="524A5065"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17. U chovu hospodářských zvířat se dále uvede</w:t>
      </w:r>
    </w:p>
    <w:p w14:paraId="07FB1680"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a) způsob ustájení hospodářských zvířat,</w:t>
      </w:r>
    </w:p>
    <w:p w14:paraId="469ADDE1"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b) způsob odvádění emisí amoniaku do ovzduší,</w:t>
      </w:r>
    </w:p>
    <w:p w14:paraId="3E3ECF1D"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 xml:space="preserve">c) referenční nebo snižující technologie podle Metodického pokynu Ministerstva životního prostředí  odboru ochrany ovzduší „k zařazování chovů hospodářských zvířat podle zákona č. 201/2012 Sb., o ochraně ovzduší, k výpočtu emisí znečišťujících látek z těchto stacionárních zdrojů a k seznamu technologií snižujících emise z těchto </w:t>
      </w:r>
      <w:r w:rsidRPr="0030358C">
        <w:rPr>
          <w:rFonts w:ascii="Arial" w:hAnsi="Arial" w:cs="Arial"/>
          <w:b/>
          <w:bCs/>
          <w:sz w:val="22"/>
          <w:szCs w:val="22"/>
        </w:rPr>
        <w:lastRenderedPageBreak/>
        <w:t>stacionárních zdrojů“ pro chovy hospodářských zvířat, skládky chlévského hnoje a kejdy a způsoby zapravení na pozemek, u kterých je deklarován emisní hmotnostní tok emisí amoniaku do ovzduší, a které budou v rámci plánu u stacionárního zdroje instalovány, nebo jiné technologie snižující emise amoniaku,</w:t>
      </w:r>
    </w:p>
    <w:p w14:paraId="0A9C653A"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d) další technickoorganizační opatření, které mohou ovlivnit emise do ovzduší.</w:t>
      </w:r>
    </w:p>
    <w:p w14:paraId="2CE425CF" w14:textId="77777777" w:rsidR="005E2B56" w:rsidRPr="0030358C" w:rsidRDefault="00000000" w:rsidP="005E2B56">
      <w:pPr>
        <w:pStyle w:val="53"/>
        <w:rPr>
          <w:rFonts w:ascii="Arial" w:hAnsi="Arial" w:cs="Arial"/>
          <w:b/>
          <w:bCs/>
          <w:sz w:val="22"/>
          <w:szCs w:val="22"/>
        </w:rPr>
      </w:pPr>
      <w:r w:rsidRPr="0030358C">
        <w:rPr>
          <w:rFonts w:ascii="Arial" w:hAnsi="Arial" w:cs="Arial"/>
          <w:b/>
          <w:bCs/>
          <w:sz w:val="22"/>
          <w:szCs w:val="22"/>
        </w:rPr>
        <w:t xml:space="preserve">18. U stacionárního zdroje vypouštějícího fugitivní emise tuhých znečišťujících látek, nebo u stacionárního zdroje, jehož součástí je výroba, zpracování, úprava, doprava, nakládka, vykládka a skladování prašných materiálů se uvedou rizikové technologické uzly z hlediska prašnosti a technická a provozní opatření k omezování tuhých znečišťujících látek a resuspenze prachu. Tato opatření musí být specifikována u všech stacionárních zdrojů kódů 2.2., 2.9., 3.3., 3.5.2., 3.5.5., 4.1.1., 4.1.2., 4.1.3., 4.1.4., 4.2.1., 4.3.1., 4.6.1., 4.6.5., 4.7., 5.1.1., 5.2., 5.10., 5.11., 5.14., 7.2., 7.8., 11.1. a 12.1. podle přílohy č. 2 k zákonu. </w:t>
      </w:r>
    </w:p>
    <w:p w14:paraId="478B3178" w14:textId="77777777" w:rsidR="005E2B56" w:rsidRPr="0030358C" w:rsidRDefault="00000000" w:rsidP="005E2B56">
      <w:pPr>
        <w:pStyle w:val="53"/>
        <w:rPr>
          <w:rFonts w:ascii="Arial" w:hAnsi="Arial" w:cs="Arial"/>
          <w:b/>
          <w:bCs/>
          <w:sz w:val="22"/>
          <w:szCs w:val="22"/>
        </w:rPr>
      </w:pPr>
      <w:r w:rsidRPr="0030358C">
        <w:rPr>
          <w:rFonts w:ascii="Arial" w:hAnsi="Arial" w:cs="Arial"/>
          <w:b/>
          <w:bCs/>
          <w:sz w:val="22"/>
          <w:szCs w:val="22"/>
        </w:rPr>
        <w:t>19. U stacionárního zdroje vypouštějícího znečišťující látky obtěžující zápachem, zejména kódy 2.2., 2.3., 2.4., 2.6., 2.8., 3.6., 3.7., 4.6.1. (formovny a jádrovny), 5.14., 6.5., 6.24., 6.8.,  7.2., 7.3., 7.6., 7.8., 7.9., 7.10., 7.11., 7.12., 7.16., 7.18., 8., 9.8. (kataforéza), 9.19., 9.20., 9.23. a 9.24. podle přílohy č. 2 k zákonu, uvede v provozním řádu rizikové technologické uzly z hlediska emisí znečišťujících látek, které mohou obtěžovat zápachem a technická a provozní opatření k omezování emisí těchto látek.</w:t>
      </w:r>
    </w:p>
    <w:p w14:paraId="41F59612"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20. Termíny pravidelných vnitřních kontrol realizace provozního řádu a opatření ke snížení emisí, způsob pravidelného zajištění odborné způsobilosti a povědomí zaměstnanců ohledně technicko-organizačních opatření prováděných za účelem snížení emisí a způsob vedení záznamů o těchto opatřeních.</w:t>
      </w:r>
    </w:p>
    <w:p w14:paraId="058B0357" w14:textId="77777777" w:rsidR="00666B40" w:rsidRPr="0030358C" w:rsidRDefault="00000000" w:rsidP="00FF1341">
      <w:pPr>
        <w:pStyle w:val="53"/>
        <w:rPr>
          <w:rFonts w:ascii="Arial" w:hAnsi="Arial" w:cs="Arial"/>
          <w:b/>
          <w:bCs/>
          <w:sz w:val="22"/>
          <w:szCs w:val="22"/>
        </w:rPr>
      </w:pPr>
      <w:r w:rsidRPr="0030358C">
        <w:rPr>
          <w:rFonts w:ascii="Arial" w:hAnsi="Arial" w:cs="Arial"/>
          <w:b/>
          <w:bCs/>
          <w:sz w:val="22"/>
          <w:szCs w:val="22"/>
        </w:rPr>
        <w:t>21. S výjimkou přemístitelných stacionárních zdrojů podle přílohy č. 2 zákona č. 201/2012 Sb. půdorysné schéma provozovny se střelkou označující sever, které obsahuje umístění jednotlivých stacionárních zdrojů; a dále trasy vedení odpadních spalin nebo vzdušin, umístění jednotlivých zařízení ke snižování emisí, umístění kontinuálního měření emisí, umístění měřicích míst pro jednorázové měření emisí, komínových průduchů a výduchů, pokud jsou instalovány.</w:t>
      </w:r>
    </w:p>
    <w:p w14:paraId="410BC911" w14:textId="77777777" w:rsidR="00FF1341" w:rsidRPr="0030358C" w:rsidRDefault="00FF1341" w:rsidP="00FF1341">
      <w:pPr>
        <w:pStyle w:val="53"/>
        <w:rPr>
          <w:rFonts w:ascii="Arial" w:hAnsi="Arial" w:cs="Arial"/>
          <w:b/>
          <w:bCs/>
          <w:sz w:val="22"/>
          <w:szCs w:val="22"/>
        </w:rPr>
      </w:pPr>
    </w:p>
    <w:p w14:paraId="7C2D6E4F" w14:textId="77777777" w:rsidR="00FF1341" w:rsidRPr="0030358C" w:rsidRDefault="00000000" w:rsidP="00FF1341">
      <w:pPr>
        <w:pStyle w:val="53"/>
        <w:rPr>
          <w:rFonts w:ascii="Arial" w:hAnsi="Arial" w:cs="Arial"/>
          <w:b/>
          <w:bCs/>
          <w:sz w:val="22"/>
          <w:szCs w:val="22"/>
        </w:rPr>
      </w:pPr>
      <w:r w:rsidRPr="0030358C">
        <w:rPr>
          <w:rFonts w:ascii="Arial" w:hAnsi="Arial" w:cs="Arial"/>
          <w:b/>
          <w:bCs/>
          <w:sz w:val="22"/>
          <w:szCs w:val="22"/>
        </w:rPr>
        <w:t>Vysvětlivky:</w:t>
      </w:r>
    </w:p>
    <w:p w14:paraId="75EDC46F" w14:textId="77777777" w:rsidR="00A77B3E" w:rsidRPr="0030358C" w:rsidRDefault="00000000" w:rsidP="00FF1341">
      <w:pPr>
        <w:pStyle w:val="53"/>
        <w:rPr>
          <w:rFonts w:ascii="Arial" w:hAnsi="Arial" w:cs="Arial"/>
          <w:b/>
          <w:bCs/>
          <w:sz w:val="22"/>
          <w:szCs w:val="22"/>
        </w:rPr>
      </w:pPr>
      <w:r w:rsidRPr="0030358C">
        <w:rPr>
          <w:rFonts w:ascii="Arial" w:hAnsi="Arial" w:cs="Arial"/>
          <w:b/>
          <w:bCs/>
          <w:sz w:val="22"/>
          <w:szCs w:val="22"/>
        </w:rPr>
        <w:t xml:space="preserve">*) </w:t>
      </w:r>
      <w:r w:rsidR="005E2B56" w:rsidRPr="0030358C">
        <w:rPr>
          <w:rFonts w:ascii="Arial" w:hAnsi="Arial" w:cs="Arial"/>
          <w:b/>
          <w:bCs/>
          <w:sz w:val="22"/>
          <w:szCs w:val="22"/>
        </w:rPr>
        <w:t>Přípustný je odkaz na jinou dokumentaci provozovatele, která bude požadované údaje obsahovat, v tom případě je taková dokumentace považována za nedílnou součást provozního řádu.</w:t>
      </w:r>
    </w:p>
    <w:bookmarkEnd w:id="67"/>
    <w:bookmarkEnd w:id="68"/>
    <w:p w14:paraId="3D95BA5B"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t>Příloha č. 13    k vyhlášce č. 415/2012 Sb.</w:t>
      </w:r>
    </w:p>
    <w:p w14:paraId="341AFB6B"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OBSAHOVÉ NÁLEŽITOSTI ODBORNÉHO POSUDKU</w:t>
      </w:r>
    </w:p>
    <w:p w14:paraId="0A2C00DB" w14:textId="77777777" w:rsidR="00A77B3E" w:rsidRPr="0030358C" w:rsidRDefault="00000000">
      <w:pPr>
        <w:pStyle w:val="66"/>
        <w:rPr>
          <w:rFonts w:ascii="Arial" w:hAnsi="Arial" w:cs="Arial"/>
          <w:strike/>
          <w:szCs w:val="22"/>
        </w:rPr>
      </w:pPr>
      <w:r w:rsidRPr="0030358C">
        <w:rPr>
          <w:rFonts w:ascii="Arial" w:hAnsi="Arial" w:cs="Arial"/>
          <w:strike/>
          <w:szCs w:val="22"/>
        </w:rPr>
        <w:t>1.    Určení posudku, základní identifikační údaje: Identifikační údaje zadavatele odborného posudku. Identifikační údaje zpracovatele odborného posudku, datum zpracování odborného posudku. Účel zpracování odborného posudku. Odborný posudek může být podepsán také platným elektronickým podpisem.</w:t>
      </w:r>
    </w:p>
    <w:p w14:paraId="552981E3" w14:textId="77777777" w:rsidR="00A77B3E" w:rsidRPr="0030358C" w:rsidRDefault="00000000">
      <w:pPr>
        <w:pStyle w:val="117"/>
        <w:rPr>
          <w:rFonts w:ascii="Arial" w:hAnsi="Arial" w:cs="Arial"/>
          <w:strike/>
          <w:szCs w:val="22"/>
        </w:rPr>
      </w:pPr>
      <w:r w:rsidRPr="0030358C">
        <w:rPr>
          <w:rFonts w:ascii="Arial" w:hAnsi="Arial" w:cs="Arial"/>
          <w:strike/>
          <w:szCs w:val="22"/>
        </w:rPr>
        <w:t>2.    Obecné údaje: Podklady (popis šetření na místě, popis projektové dokumentace, metodické pokyny MŽP, protokoly autorizovaného měření, atd.). Identifikační údaje záměru (název stacionárního zdroje, adresa, provozovatel, IČ provozovatele). Popis umístění stacionárního zdroje (vzdálenost od nejbližší obytné zástavby, mapa oblasti s vyznačeným záměrem, měřítkem a legendou).</w:t>
      </w:r>
    </w:p>
    <w:p w14:paraId="3468C160" w14:textId="77777777" w:rsidR="00A77B3E" w:rsidRPr="0030358C" w:rsidRDefault="00000000">
      <w:pPr>
        <w:pStyle w:val="119"/>
        <w:rPr>
          <w:rFonts w:ascii="Arial" w:hAnsi="Arial" w:cs="Arial"/>
          <w:strike/>
          <w:szCs w:val="22"/>
        </w:rPr>
      </w:pPr>
      <w:r w:rsidRPr="0030358C">
        <w:rPr>
          <w:rFonts w:ascii="Arial" w:hAnsi="Arial" w:cs="Arial"/>
          <w:strike/>
          <w:szCs w:val="22"/>
        </w:rPr>
        <w:t xml:space="preserve">3.    Popis stacionárního zdroje a jeho provozu: Podrobný popis stacionárních zdrojů, pro které je posudek zpracován, resp. zdrojů, které jsou nově pořizovány a zdrojů, kterých se týkají jakékoliv změny; pro přehlednost výčet a stručný popis dotčených stávajících stacionárních zdrojů, 1) které stacionární zdroje (související s posuzovanými </w:t>
      </w:r>
      <w:r w:rsidRPr="0030358C">
        <w:rPr>
          <w:rFonts w:ascii="Arial" w:hAnsi="Arial" w:cs="Arial"/>
          <w:strike/>
          <w:szCs w:val="22"/>
        </w:rPr>
        <w:lastRenderedPageBreak/>
        <w:t>stacionárními zdroji) jsou již provozovány, 2) u kterých zdrojů dochází ke změnám, v čem změny spočívají, 3) které zdroje vznikají v provozovně nově.</w:t>
      </w:r>
    </w:p>
    <w:p w14:paraId="31CF4689"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Popis výrobního programu, údaj o provozu stacionárního zdroje (počet provozních hodin, směnnost provozu). Projektovaná kapacita, jmenovitý tepelný příkon, výkon, spotřeba surovin, paliv, látek apod. Informace o látkách, surovinách, palivech apod. vstupujících do procesu včetně jejich projektovaných spotřeb a vlastností. Porovnání stávajícího stavu s plánovaným stavem (informace o všech změnách, které realizací nastanou).</w:t>
      </w:r>
    </w:p>
    <w:p w14:paraId="77D1B442"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 xml:space="preserve">Popis technologického procesu. Popis používané technologie, technický popis všech technologických zařízení (např. výrobce, typ, funkce, výkon, příkon, kapacita, provozní hodiny apod.). U spalovacích zdrojů dále používané palivo a charakteristiky týkající se uvažovaného paliva (množství paliva, obsah popelovin, obsah síry, výhřevnost, skupenství, vlhkost apod.) a porovnání s parametry uvedenými v </w:t>
      </w:r>
      <w:hyperlink w:history="1">
        <w:r w:rsidR="00A77B3E" w:rsidRPr="0030358C">
          <w:rPr>
            <w:rFonts w:ascii="Arial" w:hAnsi="Arial" w:cs="Arial"/>
            <w:strike/>
            <w:sz w:val="22"/>
            <w:szCs w:val="22"/>
          </w:rPr>
          <w:t>příloze č. 3</w:t>
        </w:r>
      </w:hyperlink>
      <w:r w:rsidRPr="0030358C">
        <w:rPr>
          <w:rFonts w:ascii="Arial" w:hAnsi="Arial" w:cs="Arial"/>
          <w:strike/>
          <w:sz w:val="22"/>
          <w:szCs w:val="22"/>
        </w:rPr>
        <w:t xml:space="preserve"> této vyhlášky. Používané suroviny v jednotlivých technologických stupních. Údaje o vzduchotechnice (samostatný či společný odvod odpadních plynů do vnějšího ovzduší, charakteristika výduchů, umístění, počet, rychlost odsávané vzdušiny, stavové podmínky, výška komína), systém řízení, regulace a měření procesů (manuální/kontinuální/automatika). Zhodnocení umístění měřících míst s ohledem na požadavky norem. Podrobný popis technologií ke snižování emisí (garantovaná účinnost, způsob zajištění garantované účinnosti, způsob a interval výměny sorbentu apod.). Odborný posudek musí být doplněn schématickým nákresem areálu (opatřen legendou) s uvedením jednotlivých stacionárních zdrojů, jednotlivých výduchů a nákresem umístění měřicích míst. Posouzení aplikace sčítacího pravidla dle </w:t>
      </w:r>
      <w:hyperlink w:history="1">
        <w:r w:rsidR="00A77B3E" w:rsidRPr="0030358C">
          <w:rPr>
            <w:rFonts w:ascii="Arial" w:hAnsi="Arial" w:cs="Arial"/>
            <w:strike/>
            <w:sz w:val="22"/>
            <w:szCs w:val="22"/>
          </w:rPr>
          <w:t>§ 4 odst. 7</w:t>
        </w:r>
      </w:hyperlink>
      <w:r w:rsidRPr="0030358C">
        <w:rPr>
          <w:rFonts w:ascii="Arial" w:hAnsi="Arial" w:cs="Arial"/>
          <w:strike/>
          <w:sz w:val="22"/>
          <w:szCs w:val="22"/>
        </w:rPr>
        <w:t xml:space="preserve"> </w:t>
      </w:r>
      <w:hyperlink w:history="1">
        <w:r w:rsidR="00A77B3E" w:rsidRPr="0030358C">
          <w:rPr>
            <w:rFonts w:ascii="Arial" w:hAnsi="Arial" w:cs="Arial"/>
            <w:strike/>
            <w:sz w:val="22"/>
            <w:szCs w:val="22"/>
          </w:rPr>
          <w:t>zákona č. 201/2012 Sb.</w:t>
        </w:r>
      </w:hyperlink>
    </w:p>
    <w:p w14:paraId="42FD348C" w14:textId="77777777" w:rsidR="00A77B3E" w:rsidRPr="0030358C" w:rsidRDefault="00000000">
      <w:pPr>
        <w:pStyle w:val="56"/>
        <w:rPr>
          <w:rFonts w:ascii="Arial" w:hAnsi="Arial" w:cs="Arial"/>
          <w:strike/>
          <w:sz w:val="22"/>
          <w:szCs w:val="22"/>
        </w:rPr>
      </w:pPr>
      <w:r w:rsidRPr="0030358C">
        <w:rPr>
          <w:rFonts w:ascii="Arial" w:hAnsi="Arial" w:cs="Arial"/>
          <w:strike/>
          <w:sz w:val="22"/>
          <w:szCs w:val="22"/>
        </w:rPr>
        <w:t xml:space="preserve">Údaje o referenčních stavbách, schémata, nákresy (jsou-li k dispozici). Porovnání použitých technologií ke snižování emisí s nejlepšími dostupnými technikami (referenční dokumenty o BAT, Závěry o BAT) u zdrojů spadajících do působnosti těchto referenčních dokumentů. U ostatních stacionárních zdrojů porovnání navrženého technického řešení s nejlepším běžně dostupným technickým řešením, případně také s obdobnými již provozovanými technologiemi. Návrh zařazení uvedené technologie podle </w:t>
      </w:r>
      <w:hyperlink w:history="1">
        <w:r w:rsidR="00A77B3E" w:rsidRPr="0030358C">
          <w:rPr>
            <w:rFonts w:ascii="Arial" w:hAnsi="Arial" w:cs="Arial"/>
            <w:strike/>
            <w:sz w:val="22"/>
            <w:szCs w:val="22"/>
          </w:rPr>
          <w:t>přílohy č. 2</w:t>
        </w:r>
      </w:hyperlink>
      <w:r w:rsidRPr="0030358C">
        <w:rPr>
          <w:rFonts w:ascii="Arial" w:hAnsi="Arial" w:cs="Arial"/>
          <w:strike/>
          <w:sz w:val="22"/>
          <w:szCs w:val="22"/>
        </w:rPr>
        <w:t xml:space="preserve"> k </w:t>
      </w:r>
      <w:hyperlink w:history="1">
        <w:r w:rsidR="00A77B3E" w:rsidRPr="0030358C">
          <w:rPr>
            <w:rFonts w:ascii="Arial" w:hAnsi="Arial" w:cs="Arial"/>
            <w:strike/>
            <w:sz w:val="22"/>
            <w:szCs w:val="22"/>
          </w:rPr>
          <w:t>zákonu</w:t>
        </w:r>
      </w:hyperlink>
      <w:r w:rsidRPr="0030358C">
        <w:rPr>
          <w:rFonts w:ascii="Arial" w:hAnsi="Arial" w:cs="Arial"/>
          <w:strike/>
          <w:sz w:val="22"/>
          <w:szCs w:val="22"/>
        </w:rPr>
        <w:t>.</w:t>
      </w:r>
    </w:p>
    <w:p w14:paraId="06D5C058" w14:textId="77777777" w:rsidR="00A77B3E" w:rsidRPr="0030358C" w:rsidRDefault="00000000">
      <w:pPr>
        <w:pStyle w:val="66"/>
        <w:rPr>
          <w:rFonts w:ascii="Arial" w:hAnsi="Arial" w:cs="Arial"/>
          <w:strike/>
          <w:szCs w:val="22"/>
        </w:rPr>
      </w:pPr>
      <w:r w:rsidRPr="0030358C">
        <w:rPr>
          <w:rFonts w:ascii="Arial" w:hAnsi="Arial" w:cs="Arial"/>
          <w:strike/>
          <w:szCs w:val="22"/>
        </w:rPr>
        <w:t xml:space="preserve">4.    Emisní charakteristika stacionárního zdroje: Specifikace znečišťujících látek emitovaných ze stacionárního zdroje včetně emisí látek obtěžujících zápachem a fugitivních emisí. Musí být uvedeny všechny látky, případně skupiny látek, které mohou obtěžovat zápachem včetně koncentračních hodnot. Dále jsou uvedeny naměřené hodnoty emisí na stacionárním zdroji (přílohou kopie měřicího protokolu), případně na referenčním stacionárním zdroji obdobné technologie (jsou-li k dispozici), vypočet emisí. Přehled stávajícího množství emisí uvolňované ze stacionárních zdrojů a jejich porovnání s výhledovým stavem. Porovnání s požadavky stanovenými </w:t>
      </w:r>
      <w:hyperlink w:history="1">
        <w:r w:rsidR="00A77B3E" w:rsidRPr="0030358C">
          <w:rPr>
            <w:rFonts w:ascii="Arial" w:hAnsi="Arial" w:cs="Arial"/>
            <w:strike/>
            <w:szCs w:val="22"/>
          </w:rPr>
          <w:t>zákonem</w:t>
        </w:r>
      </w:hyperlink>
      <w:r w:rsidRPr="0030358C">
        <w:rPr>
          <w:rFonts w:ascii="Arial" w:hAnsi="Arial" w:cs="Arial"/>
          <w:strike/>
          <w:szCs w:val="22"/>
        </w:rPr>
        <w:t xml:space="preserve"> nebo prováděcími právními předpisy. V případě stacionárního zdroje, u nějž je emisní limit dosahován úpravou technologického řízení výrobního procesu nebo použitím technologie ke snižování emisí, návrh vhodného provozního parametru a jeho číselné vyjádření, dokladující za všech okolností plnění emisního limitu, způsob jeho měření včetně způsobu a frekvence kalibrace měřidla (v souladu s příslušnými technickými normami, jsou-li k dispozici) a popis způsobu nepřetržitého zaznamenávání naměřených hodnot.</w:t>
      </w:r>
    </w:p>
    <w:p w14:paraId="5140AF82" w14:textId="77777777" w:rsidR="00A77B3E" w:rsidRPr="0030358C" w:rsidRDefault="00000000">
      <w:pPr>
        <w:pStyle w:val="117"/>
        <w:rPr>
          <w:rFonts w:ascii="Arial" w:hAnsi="Arial" w:cs="Arial"/>
          <w:strike/>
          <w:szCs w:val="22"/>
        </w:rPr>
      </w:pPr>
      <w:r w:rsidRPr="0030358C">
        <w:rPr>
          <w:rFonts w:ascii="Arial" w:hAnsi="Arial" w:cs="Arial"/>
          <w:strike/>
          <w:szCs w:val="22"/>
        </w:rPr>
        <w:t>5.    Zhodnocení úrovně znečištění ovzduší v lokalitě, kde má být stacionární zdroj umístěn: Zhodnocení vývoje úrovně znečištění ovzduší relevantními znečišťujícími látkami a popis aktuálního stavu (zhodnocení plnění imisních limitů). Posouzení splnění požadavků vyplývajících z Programů zlepšování kvality ovzduší, vyhodnocení možnosti snížení emisí dle opatření kap. E dotčeného Programu.</w:t>
      </w:r>
    </w:p>
    <w:p w14:paraId="3999E944" w14:textId="77777777" w:rsidR="00A77B3E" w:rsidRPr="0030358C" w:rsidRDefault="00000000">
      <w:pPr>
        <w:pStyle w:val="119"/>
        <w:rPr>
          <w:rFonts w:ascii="Arial" w:hAnsi="Arial" w:cs="Arial"/>
          <w:strike/>
          <w:szCs w:val="22"/>
        </w:rPr>
      </w:pPr>
      <w:r w:rsidRPr="0030358C">
        <w:rPr>
          <w:rFonts w:ascii="Arial" w:hAnsi="Arial" w:cs="Arial"/>
          <w:strike/>
          <w:szCs w:val="22"/>
        </w:rPr>
        <w:t xml:space="preserve">6.    Závěr a doporučení podmínek provozu: Návrh emisních limitů a podmínek provozu vycházející z použití nejlepších dostupných technik s ohledem na konkrétní umístění stacionárního zdroje, z opatření uvedených v Programech zlepšování kvality ovzduší a </w:t>
      </w:r>
      <w:r w:rsidRPr="0030358C">
        <w:rPr>
          <w:rFonts w:ascii="Arial" w:hAnsi="Arial" w:cs="Arial"/>
          <w:strike/>
          <w:szCs w:val="22"/>
        </w:rPr>
        <w:lastRenderedPageBreak/>
        <w:t>z úrovně znečištění ovzduší v dané lokalitě. Návrh podmínek pro činnosti a provoz technologií souvisejících s provozem nebo zajištěním provozu stacionárního zdroje. Návrh opatření vhodných pro zahrnutí do provozního řádu. Shrnutí případných rizik s ohledem na množství a charakter emisí znečišťujících látek, na kvalitu ovzduší a na vzdálenost od obytné zástavby. Zhodnocení rizik přímého působení stacionárního zdroje prachem a zápachem a návrh podmínek provozu nebo emisních limitů směřujících k jejich eliminaci, resp. ke snížení prašnosti nebo emisí znečišťujících látek, které mohou obtěžovat zápachem. Závěr ohledně splnění požadavků vyplývajících z Programu zlepšování kvality ovzduší a opatření k jejich naplnění. Závěr o plnění legislativních požadavků.</w:t>
      </w:r>
    </w:p>
    <w:p w14:paraId="6096A3C7" w14:textId="77777777" w:rsidR="00FF1341" w:rsidRPr="0030358C" w:rsidRDefault="00FF1341">
      <w:pPr>
        <w:pStyle w:val="119"/>
        <w:rPr>
          <w:rFonts w:ascii="Arial" w:hAnsi="Arial" w:cs="Arial"/>
          <w:strike/>
          <w:szCs w:val="22"/>
        </w:rPr>
      </w:pPr>
    </w:p>
    <w:p w14:paraId="0E15ED7A" w14:textId="77777777" w:rsidR="00FF1341" w:rsidRPr="0030358C" w:rsidRDefault="00000000" w:rsidP="008A1A8A">
      <w:pPr>
        <w:jc w:val="right"/>
        <w:rPr>
          <w:rFonts w:ascii="Arial" w:hAnsi="Arial" w:cs="Arial"/>
          <w:b/>
          <w:bCs/>
          <w:sz w:val="22"/>
          <w:szCs w:val="22"/>
        </w:rPr>
      </w:pPr>
      <w:bookmarkStart w:id="69" w:name="_Hlk181606770"/>
      <w:r w:rsidRPr="0030358C">
        <w:rPr>
          <w:rFonts w:ascii="Arial" w:hAnsi="Arial" w:cs="Arial"/>
          <w:b/>
          <w:bCs/>
          <w:sz w:val="22"/>
          <w:szCs w:val="22"/>
        </w:rPr>
        <w:t>Příloha č. 13 k vyhlášce č. 415/2012 Sb.</w:t>
      </w:r>
    </w:p>
    <w:p w14:paraId="7A440F2C" w14:textId="77777777" w:rsidR="00FF1341" w:rsidRPr="0030358C" w:rsidRDefault="00FF1341" w:rsidP="00FF1341">
      <w:pPr>
        <w:pStyle w:val="119"/>
        <w:rPr>
          <w:rFonts w:ascii="Arial" w:hAnsi="Arial" w:cs="Arial"/>
          <w:b/>
          <w:szCs w:val="22"/>
        </w:rPr>
      </w:pPr>
    </w:p>
    <w:p w14:paraId="2007117C" w14:textId="77777777" w:rsidR="00FF1341" w:rsidRPr="0030358C" w:rsidRDefault="00000000" w:rsidP="00FF1341">
      <w:pPr>
        <w:pStyle w:val="119"/>
        <w:jc w:val="center"/>
        <w:rPr>
          <w:rFonts w:ascii="Arial" w:hAnsi="Arial" w:cs="Arial"/>
          <w:b/>
          <w:szCs w:val="22"/>
        </w:rPr>
      </w:pPr>
      <w:r w:rsidRPr="0030358C">
        <w:rPr>
          <w:rFonts w:ascii="Arial" w:hAnsi="Arial" w:cs="Arial"/>
          <w:b/>
          <w:szCs w:val="22"/>
        </w:rPr>
        <w:t>Obsahové náležitosti odborného posudku</w:t>
      </w:r>
    </w:p>
    <w:p w14:paraId="4A367752" w14:textId="77777777" w:rsidR="00FF1341" w:rsidRPr="0030358C" w:rsidRDefault="00000000" w:rsidP="00FF1341">
      <w:pPr>
        <w:pStyle w:val="119"/>
        <w:rPr>
          <w:rFonts w:ascii="Arial" w:hAnsi="Arial" w:cs="Arial"/>
          <w:b/>
          <w:szCs w:val="22"/>
        </w:rPr>
      </w:pPr>
      <w:r w:rsidRPr="0030358C">
        <w:rPr>
          <w:rFonts w:ascii="Arial" w:hAnsi="Arial" w:cs="Arial"/>
          <w:b/>
          <w:szCs w:val="22"/>
        </w:rPr>
        <w:t xml:space="preserve">1. Základní identifikační údaje: Identifikační údaje zadavatele odborného posudku. Identifikační údaje zpracovatele odborného posudku, datum zpracování odborného posudku. Účel zpracování odborného posudku. </w:t>
      </w:r>
    </w:p>
    <w:p w14:paraId="268C6440" w14:textId="77777777" w:rsidR="00FF1341" w:rsidRPr="0030358C" w:rsidRDefault="00000000" w:rsidP="00FF1341">
      <w:pPr>
        <w:pStyle w:val="119"/>
        <w:rPr>
          <w:rFonts w:ascii="Arial" w:hAnsi="Arial" w:cs="Arial"/>
          <w:b/>
          <w:szCs w:val="22"/>
        </w:rPr>
      </w:pPr>
      <w:r w:rsidRPr="0030358C">
        <w:rPr>
          <w:rFonts w:ascii="Arial" w:hAnsi="Arial" w:cs="Arial"/>
          <w:b/>
          <w:szCs w:val="22"/>
        </w:rPr>
        <w:t>2. Obecné údaje: Podklady (popis šetření na místě, popis projektové dokumentace, použité metodické pokyny a další použitá literatura, protokoly z autorizovaného měření atd.). Identifikační údaje stacionárního zdroje a činností souvisejících s jeho provozem, při kterých mohou vznikat emise znečišťujících látek (název stacionárního zdroje, adresa, provozovatel, IČ</w:t>
      </w:r>
      <w:r w:rsidR="006F7E06" w:rsidRPr="0030358C">
        <w:rPr>
          <w:rFonts w:ascii="Arial" w:hAnsi="Arial" w:cs="Arial"/>
          <w:b/>
          <w:szCs w:val="22"/>
        </w:rPr>
        <w:t>O</w:t>
      </w:r>
      <w:r w:rsidRPr="0030358C">
        <w:rPr>
          <w:rFonts w:ascii="Arial" w:hAnsi="Arial" w:cs="Arial"/>
          <w:b/>
          <w:szCs w:val="22"/>
        </w:rPr>
        <w:t xml:space="preserve"> provozovatele, umístění v </w:t>
      </w:r>
      <w:r w:rsidR="007F35D1" w:rsidRPr="0030358C">
        <w:rPr>
          <w:rFonts w:ascii="Arial" w:hAnsi="Arial" w:cs="Arial"/>
          <w:b/>
          <w:szCs w:val="22"/>
        </w:rPr>
        <w:t>katastru – čísla</w:t>
      </w:r>
      <w:r w:rsidRPr="0030358C">
        <w:rPr>
          <w:rFonts w:ascii="Arial" w:hAnsi="Arial" w:cs="Arial"/>
          <w:b/>
          <w:szCs w:val="22"/>
        </w:rPr>
        <w:t xml:space="preserve"> parcel). Popis umístění stacionárního zdroje. Vzdálenost nejbližší hrany stavebních objektů se stacionárními zdroji, případně samotných stacionárních zdrojů (nejsou-li ve stavebních objektech) od ploch podle části I přílohy </w:t>
      </w:r>
      <w:r w:rsidR="008150D5" w:rsidRPr="0030358C">
        <w:rPr>
          <w:rFonts w:ascii="Arial" w:hAnsi="Arial" w:cs="Arial"/>
          <w:b/>
          <w:szCs w:val="22"/>
        </w:rPr>
        <w:t>č. 20</w:t>
      </w:r>
      <w:r w:rsidRPr="0030358C">
        <w:rPr>
          <w:rFonts w:ascii="Arial" w:hAnsi="Arial" w:cs="Arial"/>
          <w:b/>
          <w:szCs w:val="22"/>
        </w:rPr>
        <w:t>, vzdálenost od nejbližších budov určených k</w:t>
      </w:r>
      <w:r w:rsidR="002659DC" w:rsidRPr="0030358C">
        <w:rPr>
          <w:rFonts w:ascii="Arial" w:hAnsi="Arial" w:cs="Arial"/>
          <w:b/>
          <w:szCs w:val="22"/>
        </w:rPr>
        <w:t> </w:t>
      </w:r>
      <w:r w:rsidRPr="0030358C">
        <w:rPr>
          <w:rFonts w:ascii="Arial" w:hAnsi="Arial" w:cs="Arial"/>
          <w:b/>
          <w:szCs w:val="22"/>
        </w:rPr>
        <w:t>bydlení</w:t>
      </w:r>
      <w:r w:rsidR="002659DC" w:rsidRPr="0030358C">
        <w:rPr>
          <w:rFonts w:ascii="Arial" w:hAnsi="Arial" w:cs="Arial"/>
          <w:b/>
          <w:szCs w:val="22"/>
        </w:rPr>
        <w:t xml:space="preserve">, </w:t>
      </w:r>
      <w:r w:rsidRPr="0030358C">
        <w:rPr>
          <w:rFonts w:ascii="Arial" w:hAnsi="Arial" w:cs="Arial"/>
          <w:b/>
          <w:szCs w:val="22"/>
        </w:rPr>
        <w:t>mapa oblasti s vyznačeným záměrem, měřítkem a legendou. Zařazení stacionárního zdroje pod některý z kódů z přílohy č. 2 zákona.</w:t>
      </w:r>
    </w:p>
    <w:p w14:paraId="72EEAE75" w14:textId="77777777" w:rsidR="00FF1341" w:rsidRPr="0030358C" w:rsidRDefault="00000000" w:rsidP="00FF1341">
      <w:pPr>
        <w:pStyle w:val="119"/>
        <w:rPr>
          <w:rFonts w:ascii="Arial" w:hAnsi="Arial" w:cs="Arial"/>
          <w:b/>
          <w:szCs w:val="22"/>
        </w:rPr>
      </w:pPr>
      <w:r w:rsidRPr="0030358C">
        <w:rPr>
          <w:rFonts w:ascii="Arial" w:hAnsi="Arial" w:cs="Arial"/>
          <w:b/>
          <w:szCs w:val="22"/>
        </w:rPr>
        <w:t xml:space="preserve">3. Popis stacionárního zdroje a jeho provozu: Podrobný popis stacionárních zdrojů, pro které je posudek zpracován, resp. zdrojů, které mají být nově umístěny nebo povoleny  a zdrojů, kterých se týkají jakékoliv změny; výčet a stručný popis dotčených stávajících stacionárních zdrojů, 1) které stacionární zdroje (související s posuzovanými stacionárními zdroji) jsou již provozovány, 2) u kterých zdrojů dochází ke změnám, v čem změny spočívají, 3) které zdroje mají být umístěny a povoleny v provozovně nově. U stacionárních zdrojů, pro které příloha č. </w:t>
      </w:r>
      <w:r w:rsidR="008150D5" w:rsidRPr="0030358C">
        <w:rPr>
          <w:rFonts w:ascii="Arial" w:hAnsi="Arial" w:cs="Arial"/>
          <w:b/>
          <w:szCs w:val="22"/>
        </w:rPr>
        <w:t>20</w:t>
      </w:r>
      <w:r w:rsidRPr="0030358C">
        <w:rPr>
          <w:rFonts w:ascii="Arial" w:hAnsi="Arial" w:cs="Arial"/>
          <w:b/>
          <w:szCs w:val="22"/>
        </w:rPr>
        <w:t xml:space="preserve"> stanovuje minimální vzdálenost, zeměpisné souřadnice (formát WGS84 DD) geometrických středů budov, v nichž mají být stacionární zdroje umístěny, případně zeměpisné souřadnice geometrických středů stacionárních zdrojů, pokud budou provozovány mimo budovy a dále uvedení vzdálenosti hran stavebních objektů (případně hranice areálu nebo geometrického středu zdroje tam, kde je to relevantní) od ploch v územním plánu podle přílohy č. </w:t>
      </w:r>
      <w:r w:rsidR="008150D5" w:rsidRPr="0030358C">
        <w:rPr>
          <w:rFonts w:ascii="Arial" w:hAnsi="Arial" w:cs="Arial"/>
          <w:b/>
          <w:szCs w:val="22"/>
        </w:rPr>
        <w:t>20</w:t>
      </w:r>
      <w:r w:rsidRPr="0030358C">
        <w:rPr>
          <w:rFonts w:ascii="Arial" w:hAnsi="Arial" w:cs="Arial"/>
          <w:b/>
          <w:szCs w:val="22"/>
        </w:rPr>
        <w:t>.</w:t>
      </w:r>
    </w:p>
    <w:p w14:paraId="49A7BC15" w14:textId="77777777" w:rsidR="00FF1341" w:rsidRPr="0030358C" w:rsidRDefault="00000000" w:rsidP="00FF1341">
      <w:pPr>
        <w:pStyle w:val="119"/>
        <w:rPr>
          <w:rFonts w:ascii="Arial" w:hAnsi="Arial" w:cs="Arial"/>
          <w:b/>
          <w:szCs w:val="22"/>
        </w:rPr>
      </w:pPr>
      <w:r w:rsidRPr="0030358C">
        <w:rPr>
          <w:rFonts w:ascii="Arial" w:hAnsi="Arial" w:cs="Arial"/>
          <w:b/>
          <w:szCs w:val="22"/>
        </w:rPr>
        <w:t>Popis výrobního programu, údaje o plánovaném provozu stacionárního zdroje (počet provozních hodin, směnnost provozu apod.). Projektovaná kapacita, jmenovitý tepelný příkon, výkon, spotřeba surovin a paliv, případně odpadů. Informace o látkách, surovinách, palivech a odpadech vstupujících do procesu včetně jejich vlastností. Porovnání stávajícího stavu s plánovaným stavem (informace o všech změnách, které realizací nastanou).</w:t>
      </w:r>
    </w:p>
    <w:p w14:paraId="42E75BF4" w14:textId="77777777" w:rsidR="00FF1341" w:rsidRPr="0030358C" w:rsidRDefault="00000000" w:rsidP="00FF1341">
      <w:pPr>
        <w:pStyle w:val="119"/>
        <w:rPr>
          <w:rFonts w:ascii="Arial" w:hAnsi="Arial" w:cs="Arial"/>
          <w:b/>
          <w:szCs w:val="22"/>
        </w:rPr>
      </w:pPr>
      <w:bookmarkStart w:id="70" w:name="_Hlk184975602"/>
      <w:r w:rsidRPr="0030358C">
        <w:rPr>
          <w:rFonts w:ascii="Arial" w:hAnsi="Arial" w:cs="Arial"/>
          <w:b/>
          <w:szCs w:val="22"/>
        </w:rPr>
        <w:t xml:space="preserve">Popis technologického procesu. Popis používané technologie, technický popis všech technologických zařízení (např. výrobce, typ, funkce, výkon, příkon, kapacita, provozní hodiny apod.). U spalovacích zdrojů dále používané palivo a charakteristiky týkající se uvažovaného paliva (množství paliva, obsah popelovin, obsah síry, výhřevnost, skupenství, vlhkost apod.) a porovnání s parametry </w:t>
      </w:r>
      <w:r w:rsidRPr="0030358C">
        <w:rPr>
          <w:rFonts w:ascii="Arial" w:hAnsi="Arial" w:cs="Arial"/>
          <w:b/>
          <w:szCs w:val="22"/>
        </w:rPr>
        <w:lastRenderedPageBreak/>
        <w:t>uvedenými v příloze č. 3 této vyhlášky. Používané suroviny v jednotlivých technologických stupních. Údaje o vzduchotechnice (samostatný či společný odvod odpadních plynů do vnějšího ovzduší, charakteristika výduchů, umístění, počet, rychlost odsávané vzdušiny, stavové podmínky, výška komína), systém řízení, regulace a měření procesů (manuální/kontinuální/automatické). Zhodnocení umístění měřících míst s ohledem na požadavky technických norem. Podrobný popis technologií ke snižování emisí (garantovaná účinnost, způsob zajištění garantované účinnosti, způsob a interval výměny sorbentu apod.) a způsob zajištění jejich kontroly a údržby v souladu s pokyny výrobce. Odborný posudek musí být doplněn schématickým nákresem areálu (opatřen legendou) s uvedením jednotlivých stacionárních zdrojů, jednotlivých výduchů a nákresem umístění měřicích míst. Posouzení aplikace sčítacího pravidla dle § 4</w:t>
      </w:r>
      <w:r w:rsidR="00864C88" w:rsidRPr="0030358C">
        <w:rPr>
          <w:rFonts w:ascii="Arial" w:hAnsi="Arial" w:cs="Arial"/>
          <w:b/>
          <w:szCs w:val="22"/>
        </w:rPr>
        <w:t>b</w:t>
      </w:r>
      <w:r w:rsidRPr="0030358C">
        <w:rPr>
          <w:rFonts w:ascii="Arial" w:hAnsi="Arial" w:cs="Arial"/>
          <w:b/>
          <w:szCs w:val="22"/>
        </w:rPr>
        <w:t xml:space="preserve"> zákona, včetně </w:t>
      </w:r>
      <w:r w:rsidR="007F35D1" w:rsidRPr="0030358C">
        <w:rPr>
          <w:rFonts w:ascii="Arial" w:hAnsi="Arial" w:cs="Arial"/>
          <w:b/>
          <w:szCs w:val="22"/>
        </w:rPr>
        <w:t>zdůvodnění,</w:t>
      </w:r>
      <w:r w:rsidRPr="0030358C">
        <w:rPr>
          <w:rFonts w:ascii="Arial" w:hAnsi="Arial" w:cs="Arial"/>
          <w:b/>
          <w:szCs w:val="22"/>
        </w:rPr>
        <w:t xml:space="preserve"> pokud aplikace pravidla není navržena. Sledování provozního parametru podle § 6 odst. 4 zákona, místo a způsob jeho měření, včetně návrhu způsobu a frekvence kalibrace měřidla (v souladu s příslušnými technickými normami, jsou-li k dispozici) a popis způsobu nepřetržitého zaznamenávání naměřených hodnot, případně návrh podmínky provozu nahrazující toho sledování v případě, že je předpokládána žádost o výjimku podle téhož ustanovení. Návrh hodnot provozních parametrů, při kterých je zajištěno plnění specifických emisních limitů.</w:t>
      </w:r>
    </w:p>
    <w:bookmarkEnd w:id="70"/>
    <w:p w14:paraId="40BF6FD0" w14:textId="77777777" w:rsidR="00FF1341" w:rsidRPr="0030358C" w:rsidRDefault="00000000" w:rsidP="00FF1341">
      <w:pPr>
        <w:pStyle w:val="119"/>
        <w:rPr>
          <w:rFonts w:ascii="Arial" w:hAnsi="Arial" w:cs="Arial"/>
          <w:b/>
          <w:szCs w:val="22"/>
        </w:rPr>
      </w:pPr>
      <w:r w:rsidRPr="0030358C">
        <w:rPr>
          <w:rFonts w:ascii="Arial" w:hAnsi="Arial" w:cs="Arial"/>
          <w:b/>
          <w:szCs w:val="22"/>
        </w:rPr>
        <w:t xml:space="preserve">Údaje o referenčních stacionárních zdrojích, schémata, nákresy (jsou-li k dispozici). Porovnání použitých technologií ke snižování emisí s nejlepšími dostupnými technikami (referenční dokumenty o BAT, Závěry o BAT) u zdrojů spadajících do působnosti těchto referenčních dokumentů. U ostatních stacionárních zdrojů porovnání navrženého technického řešení s nejlepším běžně dostupným technickým řešením, případně také s obdobnými již provozovanými technologiemi. </w:t>
      </w:r>
    </w:p>
    <w:p w14:paraId="0B31660B" w14:textId="77777777" w:rsidR="00FF1341" w:rsidRPr="0030358C" w:rsidRDefault="00000000" w:rsidP="00FF1341">
      <w:pPr>
        <w:pStyle w:val="119"/>
        <w:rPr>
          <w:rFonts w:ascii="Arial" w:hAnsi="Arial" w:cs="Arial"/>
          <w:b/>
          <w:szCs w:val="22"/>
        </w:rPr>
      </w:pPr>
      <w:r w:rsidRPr="0030358C">
        <w:rPr>
          <w:rFonts w:ascii="Arial" w:hAnsi="Arial" w:cs="Arial"/>
          <w:b/>
          <w:szCs w:val="22"/>
        </w:rPr>
        <w:t>4. Emisní charakteristika stacionárního zdroje: Specifikace znečišťujících látek emitovaných ze stacionárního zdroje včetně emisí znečišťujících látek obtěžujících zápachem a fugitivních emisí. Musí být uvedeny všechny látky, případně skupiny látek, které mohou obtěžovat zápachem včetně koncentračních hodnot. Specifikace rizikových technologických uzlů z hlediska emisí znečišťujících látek, které mohou obtěžovat zápachem nebo prachem. Dále jsou uvedeny naměřené hodnoty emisí na stacionárním zdroji (přílohou kopie měřicího protokolu), případně na referenčním stacionárním zdroji obdobné technologie (jsou-li k dispozici), výpočet emisí, včetně přepočtu naměřené hodnoty TOC na VOC (pro emise VOC) tam, kde je to relevantní. Přehled stávajícího množství emisí vypouštěné ze stacionárních zdrojů a jejich porovnání s výhledovým stavem. Porovnání s požadavky stanovenými zákonem nebo prováděcími právními předpisy. Posouzení stacionárního zdroje z pohledu plnění povinnosti uvedené v § 17 odst. 3 písm. d) zákona, případně odůvodnění, proč stacionární zdroj nebude emitovat definovaným výduchem a proč má být udělená výjimka podle tohoto ustanovení.</w:t>
      </w:r>
    </w:p>
    <w:p w14:paraId="0124618F" w14:textId="77777777" w:rsidR="00FF1341" w:rsidRPr="0030358C" w:rsidRDefault="00000000" w:rsidP="00FF1341">
      <w:pPr>
        <w:pStyle w:val="119"/>
        <w:rPr>
          <w:rFonts w:ascii="Arial" w:hAnsi="Arial" w:cs="Arial"/>
          <w:b/>
          <w:szCs w:val="22"/>
        </w:rPr>
      </w:pPr>
      <w:r w:rsidRPr="0030358C">
        <w:rPr>
          <w:rFonts w:ascii="Arial" w:hAnsi="Arial" w:cs="Arial"/>
          <w:b/>
          <w:szCs w:val="22"/>
        </w:rPr>
        <w:t>Návrh způsobu výpočtu množství emisí za rok v návaznosti na § 12 vyhlášky.</w:t>
      </w:r>
    </w:p>
    <w:p w14:paraId="6BBF48D8" w14:textId="77777777" w:rsidR="00FF1341" w:rsidRPr="0030358C" w:rsidRDefault="00000000" w:rsidP="00FF1341">
      <w:pPr>
        <w:pStyle w:val="119"/>
        <w:rPr>
          <w:rFonts w:ascii="Arial" w:hAnsi="Arial" w:cs="Arial"/>
          <w:b/>
          <w:szCs w:val="22"/>
        </w:rPr>
      </w:pPr>
      <w:bookmarkStart w:id="71" w:name="_Hlk184975686"/>
      <w:r w:rsidRPr="0030358C">
        <w:rPr>
          <w:rFonts w:ascii="Arial" w:hAnsi="Arial" w:cs="Arial"/>
          <w:b/>
          <w:szCs w:val="22"/>
        </w:rPr>
        <w:t xml:space="preserve">5. Zhodnocení úrovně znečištění ovzduší v lokalitě, kde má být stacionární zdroj umístěn: Zhodnocení vývoje úrovně znečištění ovzduší relevantními znečišťujícími látkami a popis aktuálního stavu (shrnutí plnění imisních </w:t>
      </w:r>
      <w:r w:rsidR="007F35D1" w:rsidRPr="0030358C">
        <w:rPr>
          <w:rFonts w:ascii="Arial" w:hAnsi="Arial" w:cs="Arial"/>
          <w:b/>
          <w:szCs w:val="22"/>
        </w:rPr>
        <w:t>limitů, na</w:t>
      </w:r>
      <w:r w:rsidRPr="0030358C">
        <w:rPr>
          <w:rFonts w:ascii="Arial" w:hAnsi="Arial" w:cs="Arial"/>
          <w:b/>
          <w:szCs w:val="22"/>
        </w:rPr>
        <w:t xml:space="preserve"> základě rozptylové studie, pokud je zpracována). Posouzení splnění požadavků vyplývajících z programů zlepšování kvality ovzduší, vyhodnocení možnosti snížení emisí dle opatření dotčeného programu zlepšování kvality ovzduší.  Vzdálenost nejbližší hrany stavebních objektů se stacionárními zdroji, případně samotných stacionárních zdrojů (nejsou-li ve stavebních objektech) od ploch podle části I přílohy </w:t>
      </w:r>
      <w:r w:rsidR="00864C88" w:rsidRPr="0030358C">
        <w:rPr>
          <w:rFonts w:ascii="Arial" w:hAnsi="Arial" w:cs="Arial"/>
          <w:b/>
          <w:szCs w:val="22"/>
        </w:rPr>
        <w:t>20</w:t>
      </w:r>
      <w:r w:rsidRPr="0030358C">
        <w:rPr>
          <w:rFonts w:ascii="Arial" w:hAnsi="Arial" w:cs="Arial"/>
          <w:b/>
          <w:szCs w:val="22"/>
        </w:rPr>
        <w:t xml:space="preserve">, vzdálenost od nejbližších budov určených k bydlení a zhodnocení těchto vzdáleností stacionárního zdroje od obytné zástavby </w:t>
      </w:r>
      <w:r w:rsidRPr="0030358C">
        <w:rPr>
          <w:rFonts w:ascii="Arial" w:hAnsi="Arial" w:cs="Arial"/>
          <w:b/>
          <w:szCs w:val="22"/>
        </w:rPr>
        <w:lastRenderedPageBreak/>
        <w:t xml:space="preserve">s ohledem na rizika obtěžování prašností nebo zápachem, zhodnocení souladu s minimálními vzdálenostmi podle § </w:t>
      </w:r>
      <w:r w:rsidR="00B4223D" w:rsidRPr="0030358C">
        <w:rPr>
          <w:rFonts w:ascii="Arial" w:hAnsi="Arial" w:cs="Arial"/>
          <w:b/>
          <w:szCs w:val="22"/>
        </w:rPr>
        <w:t>27d</w:t>
      </w:r>
      <w:r w:rsidRPr="0030358C">
        <w:rPr>
          <w:rFonts w:ascii="Arial" w:hAnsi="Arial" w:cs="Arial"/>
          <w:b/>
          <w:szCs w:val="22"/>
        </w:rPr>
        <w:t xml:space="preserve">, zhodnocení nezbytnosti dodatečných opatření s ohledem na tyto vzdálenosti. </w:t>
      </w:r>
    </w:p>
    <w:p w14:paraId="245A7285" w14:textId="77777777" w:rsidR="00FF1341" w:rsidRPr="0030358C" w:rsidRDefault="00000000" w:rsidP="00FF1341">
      <w:pPr>
        <w:pStyle w:val="119"/>
        <w:rPr>
          <w:rFonts w:ascii="Arial" w:hAnsi="Arial" w:cs="Arial"/>
          <w:b/>
          <w:szCs w:val="22"/>
        </w:rPr>
      </w:pPr>
      <w:r w:rsidRPr="0030358C">
        <w:rPr>
          <w:rFonts w:ascii="Arial" w:hAnsi="Arial" w:cs="Arial"/>
          <w:b/>
          <w:szCs w:val="22"/>
        </w:rPr>
        <w:t>V případě zpracování odborného posudku pro již provozovaný stacionární zdroj záznam o prohlídce stacionárního zdroje a identifikaci rizikových technologických uzlů dle předchozích bodů.</w:t>
      </w:r>
    </w:p>
    <w:p w14:paraId="3CE8147C" w14:textId="77777777" w:rsidR="00FF1341" w:rsidRPr="0030358C" w:rsidRDefault="00000000" w:rsidP="00FF1341">
      <w:pPr>
        <w:pStyle w:val="119"/>
        <w:rPr>
          <w:rFonts w:ascii="Arial" w:hAnsi="Arial" w:cs="Arial"/>
          <w:b/>
          <w:szCs w:val="22"/>
        </w:rPr>
      </w:pPr>
      <w:r w:rsidRPr="0030358C">
        <w:rPr>
          <w:rFonts w:ascii="Arial" w:hAnsi="Arial" w:cs="Arial"/>
          <w:b/>
          <w:szCs w:val="22"/>
        </w:rPr>
        <w:t xml:space="preserve">6. Závěr a doporučení podmínek provozu: Návrh emisních limitů a podmínek provozu vycházející z použití nejlepších dostupných technik s ohledem na konkrétní umístění stacionárního zdroje, z opatření uvedených v programech zlepšování kvality ovzduší, ze vzdálenosti stacionárního zdroje od budov určených k bydlení nebo </w:t>
      </w:r>
      <w:r w:rsidR="007F35D1" w:rsidRPr="0030358C">
        <w:rPr>
          <w:rFonts w:ascii="Arial" w:hAnsi="Arial" w:cs="Arial"/>
          <w:b/>
          <w:szCs w:val="22"/>
        </w:rPr>
        <w:t>od ploch</w:t>
      </w:r>
      <w:r w:rsidRPr="0030358C">
        <w:rPr>
          <w:rFonts w:ascii="Arial" w:hAnsi="Arial" w:cs="Arial"/>
          <w:b/>
          <w:szCs w:val="22"/>
        </w:rPr>
        <w:t xml:space="preserve"> podle části I přílohy č. </w:t>
      </w:r>
      <w:r w:rsidR="00B4223D" w:rsidRPr="0030358C">
        <w:rPr>
          <w:rFonts w:ascii="Arial" w:hAnsi="Arial" w:cs="Arial"/>
          <w:b/>
          <w:szCs w:val="22"/>
        </w:rPr>
        <w:t>20</w:t>
      </w:r>
      <w:r w:rsidRPr="0030358C">
        <w:rPr>
          <w:rFonts w:ascii="Arial" w:hAnsi="Arial" w:cs="Arial"/>
          <w:b/>
          <w:szCs w:val="22"/>
        </w:rPr>
        <w:t xml:space="preserve">, přičemž se použije metodický pokyn MŽP, je-li vydán, a z úrovně znečištění ovzduší v dané lokalitě. Odůvodnění navržených podmínek provozu a emisních limitů, zejména s ohledem na jejich účel, přínosy a technické možnosti. V případě absence návrhu specifických emisních limitů, odůvodnění absence návrhu. Návrh podmínek pro činnosti a provoz technologií souvisejících s provozem nebo zajištěním provozu stacionárního zdroje. Návrh opatření a technicko-organizačních či technických podrobností jejich realizace, které je vhodné zahrnout do povolení provozu, případně do provozního řádu. Shrnutí případných rizik s ohledem na množství a charakter emisí znečišťujících látek, na kvalitu ovzduší a na vzdálenost od obytné zástavby včetně porovnání vzdálenosti stacionárního zdroje (hrana stavebního objektu, střed, případně hranice provozovny dle § </w:t>
      </w:r>
      <w:r w:rsidR="00CB476E" w:rsidRPr="0030358C">
        <w:rPr>
          <w:rFonts w:ascii="Arial" w:hAnsi="Arial" w:cs="Arial"/>
          <w:b/>
          <w:szCs w:val="22"/>
        </w:rPr>
        <w:t>27d</w:t>
      </w:r>
      <w:r w:rsidRPr="0030358C">
        <w:rPr>
          <w:rFonts w:ascii="Arial" w:hAnsi="Arial" w:cs="Arial"/>
          <w:b/>
          <w:szCs w:val="22"/>
        </w:rPr>
        <w:t xml:space="preserve">) s minimální vzdáleností. Zhodnocení rizik přímého působení stacionárního zdroje prachem a zápachem vzhledem ke vzdálenosti stacionárního zdroje od obytné zástavby a zastavitelných ploch určených k bydlení, ploch smíšených obytných a ploch občanské vybavenosti a návrh podmínek provozu nebo emisních limitů směřujících k jejich eliminaci, resp. ke snížení prašnosti nebo emisí znečišťujících látek, které mohou obtěžovat zápachem. Závěr ohledně splnění požadavků vyplývajících z programu zlepšování kvality ovzduší a opatření k jejich naplnění. </w:t>
      </w:r>
    </w:p>
    <w:p w14:paraId="2E66AD6B" w14:textId="77777777" w:rsidR="00FF1341" w:rsidRPr="0030358C" w:rsidRDefault="00000000" w:rsidP="00FF1341">
      <w:pPr>
        <w:pStyle w:val="119"/>
        <w:rPr>
          <w:rFonts w:ascii="Arial" w:hAnsi="Arial" w:cs="Arial"/>
          <w:b/>
          <w:szCs w:val="22"/>
        </w:rPr>
      </w:pPr>
      <w:r w:rsidRPr="0030358C">
        <w:rPr>
          <w:rFonts w:ascii="Arial" w:hAnsi="Arial" w:cs="Arial"/>
          <w:b/>
          <w:szCs w:val="22"/>
        </w:rPr>
        <w:t>7. Závěr o plnění legislativních požadavků a doporučení ohledně umístění či neumístění, resp. povolení či nepovolení provozu stacionárního zdroje, včetně zdůvodnění.</w:t>
      </w:r>
      <w:bookmarkEnd w:id="69"/>
    </w:p>
    <w:bookmarkEnd w:id="71"/>
    <w:p w14:paraId="3417A994"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t>Příloha č. 14    k vyhlášce č. 415/2012 Sb.</w:t>
      </w:r>
    </w:p>
    <w:p w14:paraId="0AD16617"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OBSAHOVÉ NÁLEŽITOSTI PROTOKOLU O JEDNORÁZOVÉM MĚŘENÍ EMISÍ</w:t>
      </w:r>
    </w:p>
    <w:p w14:paraId="1E46333C" w14:textId="77777777" w:rsidR="00A77B3E" w:rsidRPr="0030358C" w:rsidRDefault="00000000">
      <w:pPr>
        <w:pStyle w:val="66"/>
        <w:rPr>
          <w:rFonts w:ascii="Arial" w:hAnsi="Arial" w:cs="Arial"/>
          <w:strike/>
          <w:szCs w:val="22"/>
        </w:rPr>
      </w:pPr>
      <w:r w:rsidRPr="0030358C">
        <w:rPr>
          <w:rFonts w:ascii="Arial" w:hAnsi="Arial" w:cs="Arial"/>
          <w:strike/>
          <w:szCs w:val="22"/>
        </w:rPr>
        <w:t>1.    Datum provedení jednorázového měření emisí, datum vystavení protokolu</w:t>
      </w:r>
    </w:p>
    <w:p w14:paraId="06284517" w14:textId="77777777" w:rsidR="00A77B3E" w:rsidRPr="0030358C" w:rsidRDefault="00000000">
      <w:pPr>
        <w:pStyle w:val="117"/>
        <w:rPr>
          <w:rFonts w:ascii="Arial" w:hAnsi="Arial" w:cs="Arial"/>
          <w:strike/>
          <w:szCs w:val="22"/>
        </w:rPr>
      </w:pPr>
      <w:r w:rsidRPr="0030358C">
        <w:rPr>
          <w:rFonts w:ascii="Arial" w:hAnsi="Arial" w:cs="Arial"/>
          <w:strike/>
          <w:szCs w:val="22"/>
        </w:rPr>
        <w:t>2.    Jména osob provádějících jednorázové měření emisí</w:t>
      </w:r>
    </w:p>
    <w:p w14:paraId="51EF30FC" w14:textId="77777777" w:rsidR="00A77B3E" w:rsidRPr="0030358C" w:rsidRDefault="00000000">
      <w:pPr>
        <w:pStyle w:val="117"/>
        <w:rPr>
          <w:rFonts w:ascii="Arial" w:hAnsi="Arial" w:cs="Arial"/>
          <w:strike/>
          <w:szCs w:val="22"/>
        </w:rPr>
      </w:pPr>
      <w:r w:rsidRPr="0030358C">
        <w:rPr>
          <w:rFonts w:ascii="Arial" w:hAnsi="Arial" w:cs="Arial"/>
          <w:strike/>
          <w:szCs w:val="22"/>
        </w:rPr>
        <w:t>3.    Jméno a podpis osoby odpovědné za správnost provedení měření a zpracování protokolu (odpovědný zástupce pro výkon autorizované činnosti)</w:t>
      </w:r>
    </w:p>
    <w:p w14:paraId="60372523" w14:textId="77777777" w:rsidR="00A77B3E" w:rsidRPr="0030358C" w:rsidRDefault="00000000">
      <w:pPr>
        <w:pStyle w:val="117"/>
        <w:rPr>
          <w:rFonts w:ascii="Arial" w:hAnsi="Arial" w:cs="Arial"/>
          <w:strike/>
          <w:szCs w:val="22"/>
        </w:rPr>
      </w:pPr>
      <w:r w:rsidRPr="0030358C">
        <w:rPr>
          <w:rFonts w:ascii="Arial" w:hAnsi="Arial" w:cs="Arial"/>
          <w:strike/>
          <w:szCs w:val="22"/>
        </w:rPr>
        <w:t>4.    Identifikace provozovatele stacionárního zdroje</w:t>
      </w:r>
    </w:p>
    <w:p w14:paraId="3E9897A4" w14:textId="77777777" w:rsidR="00A77B3E" w:rsidRPr="0030358C" w:rsidRDefault="00000000">
      <w:pPr>
        <w:pStyle w:val="117"/>
        <w:rPr>
          <w:rFonts w:ascii="Arial" w:hAnsi="Arial" w:cs="Arial"/>
          <w:strike/>
          <w:szCs w:val="22"/>
        </w:rPr>
      </w:pPr>
      <w:r w:rsidRPr="0030358C">
        <w:rPr>
          <w:rFonts w:ascii="Arial" w:hAnsi="Arial" w:cs="Arial"/>
          <w:strike/>
          <w:szCs w:val="22"/>
        </w:rPr>
        <w:t>5.    Účel jednorázového měření emisí</w:t>
      </w:r>
    </w:p>
    <w:p w14:paraId="7EFE45F1" w14:textId="77777777" w:rsidR="00A77B3E" w:rsidRPr="0030358C" w:rsidRDefault="00000000">
      <w:pPr>
        <w:pStyle w:val="117"/>
        <w:rPr>
          <w:rFonts w:ascii="Arial" w:hAnsi="Arial" w:cs="Arial"/>
          <w:strike/>
          <w:szCs w:val="22"/>
        </w:rPr>
      </w:pPr>
      <w:r w:rsidRPr="0030358C">
        <w:rPr>
          <w:rFonts w:ascii="Arial" w:hAnsi="Arial" w:cs="Arial"/>
          <w:strike/>
          <w:szCs w:val="22"/>
        </w:rPr>
        <w:t>6.    Předmět jednorázového měření emisí (pořadové číslo měřeného stacionárního zdroje přidělené systémem ISPOP, základní technická data stacionárního zdroje a instalovaných technologií ke snižování emisí), další související údaje (technologické vstupy a výstupy), hodnoty proměnných parametrů zařízení ke snižování emisí</w:t>
      </w:r>
    </w:p>
    <w:p w14:paraId="7BCE26CF" w14:textId="77777777" w:rsidR="00A77B3E" w:rsidRPr="0030358C" w:rsidRDefault="00000000">
      <w:pPr>
        <w:pStyle w:val="117"/>
        <w:rPr>
          <w:rFonts w:ascii="Arial" w:hAnsi="Arial" w:cs="Arial"/>
          <w:strike/>
          <w:szCs w:val="22"/>
        </w:rPr>
      </w:pPr>
      <w:r w:rsidRPr="0030358C">
        <w:rPr>
          <w:rFonts w:ascii="Arial" w:hAnsi="Arial" w:cs="Arial"/>
          <w:strike/>
          <w:szCs w:val="22"/>
        </w:rPr>
        <w:t>7.    Umístění měřicího místa, porovnání s požadavky určených norem, zhodnocení dopadu odchylky od normy, v případě nejednoznačnosti nákres s vyznačením odběrových míst</w:t>
      </w:r>
    </w:p>
    <w:p w14:paraId="2EB3C192" w14:textId="77777777" w:rsidR="00A77B3E" w:rsidRPr="0030358C" w:rsidRDefault="00000000">
      <w:pPr>
        <w:pStyle w:val="117"/>
        <w:rPr>
          <w:rFonts w:ascii="Arial" w:hAnsi="Arial" w:cs="Arial"/>
          <w:strike/>
          <w:szCs w:val="22"/>
        </w:rPr>
      </w:pPr>
      <w:r w:rsidRPr="0030358C">
        <w:rPr>
          <w:rFonts w:ascii="Arial" w:hAnsi="Arial" w:cs="Arial"/>
          <w:strike/>
          <w:szCs w:val="22"/>
        </w:rPr>
        <w:t>8.    Rozsah jednorázového měření emisí (měřené veličiny včetně doprovodných veličin), metody stanovení jednotlivých znečišťujících látek a jejich skupin včetně odkazů na normy a standardní operační postupy</w:t>
      </w:r>
    </w:p>
    <w:p w14:paraId="4115C6F2" w14:textId="77777777" w:rsidR="00A77B3E" w:rsidRPr="0030358C" w:rsidRDefault="00000000">
      <w:pPr>
        <w:pStyle w:val="117"/>
        <w:rPr>
          <w:rFonts w:ascii="Arial" w:hAnsi="Arial" w:cs="Arial"/>
          <w:strike/>
          <w:szCs w:val="22"/>
        </w:rPr>
      </w:pPr>
      <w:r w:rsidRPr="0030358C">
        <w:rPr>
          <w:rFonts w:ascii="Arial" w:hAnsi="Arial" w:cs="Arial"/>
          <w:strike/>
          <w:szCs w:val="22"/>
        </w:rPr>
        <w:lastRenderedPageBreak/>
        <w:t>9.    Použitá přístrojová technika (odběrová zařízení, analyzátory a jejich rozsahy, měřidla dalších souvisejících veličin), kalibrační materiály, způsoby sběru a vyhodnocování dat</w:t>
      </w:r>
    </w:p>
    <w:p w14:paraId="7B7E01A2" w14:textId="77777777" w:rsidR="00A77B3E" w:rsidRPr="0030358C" w:rsidRDefault="00000000">
      <w:pPr>
        <w:pStyle w:val="117"/>
        <w:rPr>
          <w:rFonts w:ascii="Arial" w:hAnsi="Arial" w:cs="Arial"/>
          <w:strike/>
          <w:szCs w:val="22"/>
        </w:rPr>
      </w:pPr>
      <w:r w:rsidRPr="0030358C">
        <w:rPr>
          <w:rFonts w:ascii="Arial" w:hAnsi="Arial" w:cs="Arial"/>
          <w:strike/>
          <w:szCs w:val="22"/>
        </w:rPr>
        <w:t>10.    Oblast spolupráce (identifikace spolupracujícího akreditovaného subjektu, předmět spolupráce - stanovované veličiny, metody stanovení)</w:t>
      </w:r>
    </w:p>
    <w:p w14:paraId="2C11AE3F" w14:textId="77777777" w:rsidR="00A77B3E" w:rsidRPr="0030358C" w:rsidRDefault="00000000">
      <w:pPr>
        <w:pStyle w:val="117"/>
        <w:rPr>
          <w:rFonts w:ascii="Arial" w:hAnsi="Arial" w:cs="Arial"/>
          <w:strike/>
          <w:szCs w:val="22"/>
        </w:rPr>
      </w:pPr>
      <w:r w:rsidRPr="0030358C">
        <w:rPr>
          <w:rFonts w:ascii="Arial" w:hAnsi="Arial" w:cs="Arial"/>
          <w:strike/>
          <w:szCs w:val="22"/>
        </w:rPr>
        <w:t>11.    Údaje o průběhu jednorázového měření emisí (odběry vzorků, slepé pokusy, měření souvisejících veličin, hodnoty provozních parametrů včetně hodnot parametrů zařízení ke snižování emisí)</w:t>
      </w:r>
    </w:p>
    <w:p w14:paraId="3D566D3F" w14:textId="77777777" w:rsidR="00A77B3E" w:rsidRPr="0030358C" w:rsidRDefault="00000000">
      <w:pPr>
        <w:pStyle w:val="117"/>
        <w:rPr>
          <w:rFonts w:ascii="Arial" w:hAnsi="Arial" w:cs="Arial"/>
          <w:strike/>
          <w:szCs w:val="22"/>
        </w:rPr>
      </w:pPr>
      <w:r w:rsidRPr="0030358C">
        <w:rPr>
          <w:rFonts w:ascii="Arial" w:hAnsi="Arial" w:cs="Arial"/>
          <w:strike/>
          <w:szCs w:val="22"/>
        </w:rPr>
        <w:t>12.    Soubory výsledků naměřených veličin včetně stavových a dalších doprovodných veličin</w:t>
      </w:r>
    </w:p>
    <w:p w14:paraId="37A9D2DE" w14:textId="77777777" w:rsidR="00A77B3E" w:rsidRPr="0030358C" w:rsidRDefault="00000000">
      <w:pPr>
        <w:pStyle w:val="117"/>
        <w:rPr>
          <w:rFonts w:ascii="Arial" w:hAnsi="Arial" w:cs="Arial"/>
          <w:strike/>
          <w:szCs w:val="22"/>
        </w:rPr>
      </w:pPr>
      <w:r w:rsidRPr="0030358C">
        <w:rPr>
          <w:rFonts w:ascii="Arial" w:hAnsi="Arial" w:cs="Arial"/>
          <w:strike/>
          <w:szCs w:val="22"/>
        </w:rPr>
        <w:t>13.    Seznam dokumentů použitých pro jednorázové měření emisí a jeho vyhodnocení (právní předpisy, normy, standardní operační postupy), seznam značek</w:t>
      </w:r>
    </w:p>
    <w:p w14:paraId="090B6558" w14:textId="77777777" w:rsidR="00A77B3E" w:rsidRPr="0030358C" w:rsidRDefault="00000000">
      <w:pPr>
        <w:pStyle w:val="119"/>
        <w:rPr>
          <w:rFonts w:ascii="Arial" w:hAnsi="Arial" w:cs="Arial"/>
          <w:strike/>
          <w:szCs w:val="22"/>
        </w:rPr>
      </w:pPr>
      <w:r w:rsidRPr="0030358C">
        <w:rPr>
          <w:rFonts w:ascii="Arial" w:hAnsi="Arial" w:cs="Arial"/>
          <w:strike/>
          <w:szCs w:val="22"/>
        </w:rPr>
        <w:t>14.    Vyhodnocení jednorázového měření emisí, které obsahuje: emisní limit a podmínky za jakých je stanoven, výsledky naměřených hodnot koncentrací znečišťujících látek a souvisejících doprovodných veličin z jednotlivých měření, hodnoty hmotnostních koncentrací znečišťujících látek z jednotlivých měření přepočtené na podmínky, za kterých je stanoven emisní limit a průměrnou hodnotu této hmotnostní koncentrace za celou dobu měření, hmotnostní tok a její měrnou výrobní emisi.</w:t>
      </w:r>
    </w:p>
    <w:p w14:paraId="153B9A84" w14:textId="77777777" w:rsidR="00A77B3E" w:rsidRPr="0030358C" w:rsidRDefault="00A77B3E">
      <w:pPr>
        <w:pStyle w:val="1"/>
        <w:rPr>
          <w:rFonts w:ascii="Arial" w:hAnsi="Arial" w:cs="Arial"/>
          <w:sz w:val="22"/>
          <w:szCs w:val="22"/>
        </w:rPr>
      </w:pPr>
    </w:p>
    <w:p w14:paraId="2AA3809D" w14:textId="77777777" w:rsidR="00B24592" w:rsidRPr="0030358C" w:rsidRDefault="00B24592">
      <w:pPr>
        <w:rPr>
          <w:rFonts w:ascii="Arial" w:hAnsi="Arial" w:cs="Arial"/>
          <w:sz w:val="22"/>
          <w:szCs w:val="22"/>
        </w:rPr>
      </w:pPr>
    </w:p>
    <w:p w14:paraId="5D89C586" w14:textId="77777777" w:rsidR="00B24592" w:rsidRPr="0030358C" w:rsidRDefault="00000000" w:rsidP="007F35D1">
      <w:pPr>
        <w:jc w:val="right"/>
        <w:rPr>
          <w:rFonts w:ascii="Arial" w:hAnsi="Arial" w:cs="Arial"/>
          <w:sz w:val="22"/>
          <w:szCs w:val="22"/>
        </w:rPr>
      </w:pPr>
      <w:bookmarkStart w:id="72" w:name="_Hlk181606868"/>
      <w:r w:rsidRPr="0030358C">
        <w:rPr>
          <w:rFonts w:ascii="Arial" w:hAnsi="Arial" w:cs="Arial"/>
          <w:sz w:val="22"/>
          <w:szCs w:val="22"/>
        </w:rPr>
        <w:t>Příloha č. 14 k vyhlášce č. 415/2012 Sb.</w:t>
      </w:r>
    </w:p>
    <w:p w14:paraId="096B9241" w14:textId="77777777" w:rsidR="00B24592" w:rsidRPr="0030358C" w:rsidRDefault="00B24592" w:rsidP="00B24592">
      <w:pPr>
        <w:pStyle w:val="43"/>
        <w:rPr>
          <w:rFonts w:ascii="Arial" w:hAnsi="Arial" w:cs="Arial"/>
          <w:sz w:val="22"/>
          <w:szCs w:val="22"/>
        </w:rPr>
      </w:pPr>
    </w:p>
    <w:p w14:paraId="7ED682A7" w14:textId="77777777" w:rsidR="00B24592" w:rsidRPr="0030358C" w:rsidRDefault="00000000" w:rsidP="00B24592">
      <w:pPr>
        <w:pStyle w:val="43"/>
        <w:rPr>
          <w:rFonts w:ascii="Arial" w:hAnsi="Arial" w:cs="Arial"/>
          <w:sz w:val="22"/>
          <w:szCs w:val="22"/>
        </w:rPr>
      </w:pPr>
      <w:r w:rsidRPr="0030358C">
        <w:rPr>
          <w:rFonts w:ascii="Arial" w:hAnsi="Arial" w:cs="Arial"/>
          <w:sz w:val="22"/>
          <w:szCs w:val="22"/>
        </w:rPr>
        <w:t>Obsahové náležitosti dokumentů o jednorázovém měření emisí</w:t>
      </w:r>
    </w:p>
    <w:p w14:paraId="065F45F8" w14:textId="77777777" w:rsidR="00B24592" w:rsidRPr="0030358C" w:rsidRDefault="00B24592" w:rsidP="00B24592">
      <w:pPr>
        <w:pStyle w:val="43"/>
        <w:ind w:left="0"/>
        <w:jc w:val="both"/>
        <w:rPr>
          <w:rFonts w:ascii="Arial" w:hAnsi="Arial" w:cs="Arial"/>
          <w:sz w:val="22"/>
          <w:szCs w:val="22"/>
        </w:rPr>
      </w:pPr>
    </w:p>
    <w:p w14:paraId="100BF3F8" w14:textId="77777777" w:rsidR="00B24592" w:rsidRPr="0030358C" w:rsidRDefault="00000000" w:rsidP="00B24592">
      <w:pPr>
        <w:pStyle w:val="43"/>
        <w:ind w:left="0"/>
        <w:jc w:val="both"/>
        <w:rPr>
          <w:rFonts w:ascii="Arial" w:hAnsi="Arial" w:cs="Arial"/>
          <w:bCs/>
          <w:sz w:val="22"/>
          <w:szCs w:val="22"/>
          <w:u w:val="single"/>
        </w:rPr>
      </w:pPr>
      <w:r w:rsidRPr="0030358C">
        <w:rPr>
          <w:rFonts w:ascii="Arial" w:hAnsi="Arial" w:cs="Arial"/>
          <w:bCs/>
          <w:sz w:val="22"/>
          <w:szCs w:val="22"/>
          <w:u w:val="single"/>
        </w:rPr>
        <w:t>Část A</w:t>
      </w:r>
    </w:p>
    <w:p w14:paraId="359B1F67"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u w:val="single"/>
        </w:rPr>
        <w:t>NÁLEŽITOSTI OHLÁŠENÍ TERMÍNU PROVEDENÍ NEBO ZRUŠENÍ JEDNORÁZOVÉHO MĚŘENÍ EMISÍ</w:t>
      </w:r>
    </w:p>
    <w:p w14:paraId="1B106FA3" w14:textId="77777777" w:rsidR="00B24592" w:rsidRPr="0030358C" w:rsidRDefault="00B24592" w:rsidP="00B24592">
      <w:pPr>
        <w:pStyle w:val="43"/>
        <w:jc w:val="both"/>
        <w:rPr>
          <w:rFonts w:ascii="Arial" w:hAnsi="Arial" w:cs="Arial"/>
          <w:bCs/>
          <w:sz w:val="22"/>
          <w:szCs w:val="22"/>
        </w:rPr>
      </w:pPr>
    </w:p>
    <w:tbl>
      <w:tblPr>
        <w:tblStyle w:val="Mkatabulky"/>
        <w:tblW w:w="0" w:type="auto"/>
        <w:tblLayout w:type="fixed"/>
        <w:tblLook w:val="04A0" w:firstRow="1" w:lastRow="0" w:firstColumn="1" w:lastColumn="0" w:noHBand="0" w:noVBand="1"/>
      </w:tblPr>
      <w:tblGrid>
        <w:gridCol w:w="709"/>
        <w:gridCol w:w="3865"/>
        <w:gridCol w:w="4498"/>
      </w:tblGrid>
      <w:tr w:rsidR="00E40657" w14:paraId="5683FFA0" w14:textId="77777777" w:rsidTr="00F64C20">
        <w:tc>
          <w:tcPr>
            <w:tcW w:w="709" w:type="dxa"/>
            <w:tcBorders>
              <w:bottom w:val="nil"/>
            </w:tcBorders>
          </w:tcPr>
          <w:p w14:paraId="6097830D"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w:t>
            </w:r>
          </w:p>
        </w:tc>
        <w:tc>
          <w:tcPr>
            <w:tcW w:w="3865" w:type="dxa"/>
            <w:tcBorders>
              <w:bottom w:val="nil"/>
            </w:tcBorders>
          </w:tcPr>
          <w:p w14:paraId="2F8B6476"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A. Údaje o provozovateli:</w:t>
            </w:r>
          </w:p>
        </w:tc>
        <w:tc>
          <w:tcPr>
            <w:tcW w:w="4498" w:type="dxa"/>
          </w:tcPr>
          <w:p w14:paraId="1199DB70"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Identifikační číslo (IČO):</w:t>
            </w:r>
          </w:p>
        </w:tc>
      </w:tr>
      <w:tr w:rsidR="00E40657" w14:paraId="20D4E34C" w14:textId="77777777" w:rsidTr="00F64C20">
        <w:tc>
          <w:tcPr>
            <w:tcW w:w="709" w:type="dxa"/>
            <w:tcBorders>
              <w:top w:val="nil"/>
              <w:bottom w:val="nil"/>
            </w:tcBorders>
          </w:tcPr>
          <w:p w14:paraId="20F26FD9"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w:t>
            </w:r>
          </w:p>
        </w:tc>
        <w:tc>
          <w:tcPr>
            <w:tcW w:w="3865" w:type="dxa"/>
            <w:tcBorders>
              <w:top w:val="nil"/>
              <w:bottom w:val="nil"/>
            </w:tcBorders>
          </w:tcPr>
          <w:p w14:paraId="0FB99FB1" w14:textId="77777777" w:rsidR="00B24592" w:rsidRPr="0030358C" w:rsidRDefault="00B24592" w:rsidP="00F64C20">
            <w:pPr>
              <w:rPr>
                <w:rFonts w:ascii="Arial" w:hAnsi="Arial" w:cs="Arial"/>
                <w:b/>
                <w:bCs/>
                <w:color w:val="000000" w:themeColor="text1"/>
                <w:sz w:val="22"/>
                <w:szCs w:val="22"/>
              </w:rPr>
            </w:pPr>
          </w:p>
        </w:tc>
        <w:tc>
          <w:tcPr>
            <w:tcW w:w="4498" w:type="dxa"/>
          </w:tcPr>
          <w:p w14:paraId="5F300431"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Název provozovatele (obchodní firma nebo</w:t>
            </w:r>
          </w:p>
          <w:p w14:paraId="501DC329"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příjmení a jméno):</w:t>
            </w:r>
          </w:p>
        </w:tc>
      </w:tr>
      <w:tr w:rsidR="00E40657" w14:paraId="754DB6F8" w14:textId="77777777" w:rsidTr="00F64C20">
        <w:tc>
          <w:tcPr>
            <w:tcW w:w="709" w:type="dxa"/>
            <w:tcBorders>
              <w:top w:val="nil"/>
              <w:bottom w:val="nil"/>
            </w:tcBorders>
          </w:tcPr>
          <w:p w14:paraId="2220A790"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3</w:t>
            </w:r>
          </w:p>
        </w:tc>
        <w:tc>
          <w:tcPr>
            <w:tcW w:w="3865" w:type="dxa"/>
            <w:tcBorders>
              <w:top w:val="nil"/>
              <w:bottom w:val="nil"/>
            </w:tcBorders>
          </w:tcPr>
          <w:p w14:paraId="59C907B1" w14:textId="77777777" w:rsidR="00B24592" w:rsidRPr="0030358C" w:rsidRDefault="00B24592" w:rsidP="00F64C20">
            <w:pPr>
              <w:rPr>
                <w:rFonts w:ascii="Arial" w:hAnsi="Arial" w:cs="Arial"/>
                <w:b/>
                <w:bCs/>
                <w:color w:val="000000" w:themeColor="text1"/>
                <w:sz w:val="22"/>
                <w:szCs w:val="22"/>
              </w:rPr>
            </w:pPr>
          </w:p>
        </w:tc>
        <w:tc>
          <w:tcPr>
            <w:tcW w:w="4498" w:type="dxa"/>
          </w:tcPr>
          <w:p w14:paraId="1038FCFA"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Adresa (ulice, číslo popisné/orientační):</w:t>
            </w:r>
          </w:p>
        </w:tc>
      </w:tr>
      <w:tr w:rsidR="00E40657" w14:paraId="628CB2F4" w14:textId="77777777" w:rsidTr="00F64C20">
        <w:tc>
          <w:tcPr>
            <w:tcW w:w="709" w:type="dxa"/>
            <w:tcBorders>
              <w:top w:val="nil"/>
              <w:bottom w:val="nil"/>
            </w:tcBorders>
          </w:tcPr>
          <w:p w14:paraId="4171321E"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4</w:t>
            </w:r>
          </w:p>
        </w:tc>
        <w:tc>
          <w:tcPr>
            <w:tcW w:w="3865" w:type="dxa"/>
            <w:tcBorders>
              <w:top w:val="nil"/>
              <w:bottom w:val="nil"/>
            </w:tcBorders>
          </w:tcPr>
          <w:p w14:paraId="2E9C83A3" w14:textId="77777777" w:rsidR="00B24592" w:rsidRPr="0030358C" w:rsidRDefault="00B24592" w:rsidP="00F64C20">
            <w:pPr>
              <w:rPr>
                <w:rFonts w:ascii="Arial" w:hAnsi="Arial" w:cs="Arial"/>
                <w:b/>
                <w:bCs/>
                <w:color w:val="000000" w:themeColor="text1"/>
                <w:sz w:val="22"/>
                <w:szCs w:val="22"/>
              </w:rPr>
            </w:pPr>
          </w:p>
        </w:tc>
        <w:tc>
          <w:tcPr>
            <w:tcW w:w="4498" w:type="dxa"/>
          </w:tcPr>
          <w:p w14:paraId="4572DCC8"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 xml:space="preserve">Adresa (obec, </w:t>
            </w:r>
            <w:r w:rsidR="007F35D1" w:rsidRPr="0030358C">
              <w:rPr>
                <w:rFonts w:ascii="Arial" w:hAnsi="Arial" w:cs="Arial"/>
                <w:b/>
                <w:bCs/>
                <w:color w:val="000000" w:themeColor="text1"/>
                <w:sz w:val="22"/>
                <w:szCs w:val="22"/>
              </w:rPr>
              <w:t>město – městská</w:t>
            </w:r>
            <w:r w:rsidRPr="0030358C">
              <w:rPr>
                <w:rFonts w:ascii="Arial" w:hAnsi="Arial" w:cs="Arial"/>
                <w:b/>
                <w:bCs/>
                <w:color w:val="000000" w:themeColor="text1"/>
                <w:sz w:val="22"/>
                <w:szCs w:val="22"/>
              </w:rPr>
              <w:t xml:space="preserve"> část):</w:t>
            </w:r>
          </w:p>
        </w:tc>
      </w:tr>
      <w:tr w:rsidR="00E40657" w14:paraId="307F5E8F" w14:textId="77777777" w:rsidTr="00F64C20">
        <w:tc>
          <w:tcPr>
            <w:tcW w:w="709" w:type="dxa"/>
            <w:tcBorders>
              <w:top w:val="nil"/>
              <w:bottom w:val="single" w:sz="4" w:space="0" w:color="000000"/>
            </w:tcBorders>
          </w:tcPr>
          <w:p w14:paraId="4ABA33B9"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5</w:t>
            </w:r>
          </w:p>
        </w:tc>
        <w:tc>
          <w:tcPr>
            <w:tcW w:w="3865" w:type="dxa"/>
            <w:tcBorders>
              <w:top w:val="nil"/>
              <w:bottom w:val="single" w:sz="4" w:space="0" w:color="000000"/>
            </w:tcBorders>
          </w:tcPr>
          <w:p w14:paraId="645F2E6D" w14:textId="77777777" w:rsidR="00B24592" w:rsidRPr="0030358C" w:rsidRDefault="00B24592" w:rsidP="00F64C20">
            <w:pPr>
              <w:rPr>
                <w:rFonts w:ascii="Arial" w:hAnsi="Arial" w:cs="Arial"/>
                <w:b/>
                <w:bCs/>
                <w:color w:val="000000" w:themeColor="text1"/>
                <w:sz w:val="22"/>
                <w:szCs w:val="22"/>
              </w:rPr>
            </w:pPr>
          </w:p>
        </w:tc>
        <w:tc>
          <w:tcPr>
            <w:tcW w:w="4498" w:type="dxa"/>
          </w:tcPr>
          <w:p w14:paraId="3284ECDB"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PSČ:</w:t>
            </w:r>
          </w:p>
        </w:tc>
      </w:tr>
      <w:tr w:rsidR="00E40657" w14:paraId="1C8E7D6F" w14:textId="77777777" w:rsidTr="00F64C20">
        <w:tc>
          <w:tcPr>
            <w:tcW w:w="709" w:type="dxa"/>
            <w:tcBorders>
              <w:bottom w:val="nil"/>
            </w:tcBorders>
          </w:tcPr>
          <w:p w14:paraId="215B54FD"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6</w:t>
            </w:r>
          </w:p>
        </w:tc>
        <w:tc>
          <w:tcPr>
            <w:tcW w:w="3865" w:type="dxa"/>
            <w:tcBorders>
              <w:bottom w:val="nil"/>
            </w:tcBorders>
          </w:tcPr>
          <w:p w14:paraId="47D83ADD"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B. Údaje o provozovně</w:t>
            </w:r>
          </w:p>
        </w:tc>
        <w:tc>
          <w:tcPr>
            <w:tcW w:w="4498" w:type="dxa"/>
          </w:tcPr>
          <w:p w14:paraId="4D56F8AA"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Identifikační číslo provozovny (IČP):</w:t>
            </w:r>
          </w:p>
        </w:tc>
      </w:tr>
      <w:tr w:rsidR="00E40657" w14:paraId="7F0CEF6D" w14:textId="77777777" w:rsidTr="00F64C20">
        <w:tc>
          <w:tcPr>
            <w:tcW w:w="709" w:type="dxa"/>
            <w:tcBorders>
              <w:top w:val="nil"/>
              <w:bottom w:val="nil"/>
            </w:tcBorders>
          </w:tcPr>
          <w:p w14:paraId="216EBF7A"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7</w:t>
            </w:r>
          </w:p>
        </w:tc>
        <w:tc>
          <w:tcPr>
            <w:tcW w:w="3865" w:type="dxa"/>
            <w:tcBorders>
              <w:top w:val="nil"/>
              <w:bottom w:val="nil"/>
            </w:tcBorders>
          </w:tcPr>
          <w:p w14:paraId="30B46EFB" w14:textId="77777777" w:rsidR="00B24592" w:rsidRPr="0030358C" w:rsidRDefault="00B24592" w:rsidP="00F64C20">
            <w:pPr>
              <w:rPr>
                <w:rFonts w:ascii="Arial" w:hAnsi="Arial" w:cs="Arial"/>
                <w:b/>
                <w:bCs/>
                <w:color w:val="000000" w:themeColor="text1"/>
                <w:sz w:val="22"/>
                <w:szCs w:val="22"/>
              </w:rPr>
            </w:pPr>
          </w:p>
        </w:tc>
        <w:tc>
          <w:tcPr>
            <w:tcW w:w="4498" w:type="dxa"/>
          </w:tcPr>
          <w:p w14:paraId="15126DDA"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Název provozovny:</w:t>
            </w:r>
          </w:p>
        </w:tc>
      </w:tr>
      <w:tr w:rsidR="00E40657" w14:paraId="23F42BAF" w14:textId="77777777" w:rsidTr="00F64C20">
        <w:tc>
          <w:tcPr>
            <w:tcW w:w="709" w:type="dxa"/>
            <w:tcBorders>
              <w:top w:val="nil"/>
              <w:bottom w:val="nil"/>
            </w:tcBorders>
          </w:tcPr>
          <w:p w14:paraId="2E4A2162"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8</w:t>
            </w:r>
          </w:p>
        </w:tc>
        <w:tc>
          <w:tcPr>
            <w:tcW w:w="3865" w:type="dxa"/>
            <w:tcBorders>
              <w:top w:val="nil"/>
              <w:bottom w:val="nil"/>
            </w:tcBorders>
          </w:tcPr>
          <w:p w14:paraId="6CEF7EF2" w14:textId="77777777" w:rsidR="00B24592" w:rsidRPr="0030358C" w:rsidRDefault="00B24592" w:rsidP="00F64C20">
            <w:pPr>
              <w:rPr>
                <w:rFonts w:ascii="Arial" w:hAnsi="Arial" w:cs="Arial"/>
                <w:b/>
                <w:bCs/>
                <w:color w:val="000000" w:themeColor="text1"/>
                <w:sz w:val="22"/>
                <w:szCs w:val="22"/>
              </w:rPr>
            </w:pPr>
          </w:p>
        </w:tc>
        <w:tc>
          <w:tcPr>
            <w:tcW w:w="4498" w:type="dxa"/>
          </w:tcPr>
          <w:p w14:paraId="3AE5FBA8"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Adresa (ulice, číslo popisné/orientační):</w:t>
            </w:r>
          </w:p>
        </w:tc>
      </w:tr>
      <w:tr w:rsidR="00E40657" w14:paraId="4A4E9893" w14:textId="77777777" w:rsidTr="00F64C20">
        <w:tc>
          <w:tcPr>
            <w:tcW w:w="709" w:type="dxa"/>
            <w:tcBorders>
              <w:top w:val="nil"/>
              <w:bottom w:val="nil"/>
            </w:tcBorders>
          </w:tcPr>
          <w:p w14:paraId="693C8F45"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9</w:t>
            </w:r>
          </w:p>
        </w:tc>
        <w:tc>
          <w:tcPr>
            <w:tcW w:w="3865" w:type="dxa"/>
            <w:tcBorders>
              <w:top w:val="nil"/>
              <w:bottom w:val="nil"/>
            </w:tcBorders>
          </w:tcPr>
          <w:p w14:paraId="53513AD5" w14:textId="77777777" w:rsidR="00B24592" w:rsidRPr="0030358C" w:rsidRDefault="00B24592" w:rsidP="00F64C20">
            <w:pPr>
              <w:rPr>
                <w:rFonts w:ascii="Arial" w:hAnsi="Arial" w:cs="Arial"/>
                <w:b/>
                <w:bCs/>
                <w:color w:val="000000" w:themeColor="text1"/>
                <w:sz w:val="22"/>
                <w:szCs w:val="22"/>
              </w:rPr>
            </w:pPr>
          </w:p>
        </w:tc>
        <w:tc>
          <w:tcPr>
            <w:tcW w:w="4498" w:type="dxa"/>
          </w:tcPr>
          <w:p w14:paraId="6E4AE560"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 xml:space="preserve">Adresa (obec, </w:t>
            </w:r>
            <w:r w:rsidR="007F35D1" w:rsidRPr="0030358C">
              <w:rPr>
                <w:rFonts w:ascii="Arial" w:hAnsi="Arial" w:cs="Arial"/>
                <w:b/>
                <w:bCs/>
                <w:color w:val="000000" w:themeColor="text1"/>
                <w:sz w:val="22"/>
                <w:szCs w:val="22"/>
              </w:rPr>
              <w:t>město – městská</w:t>
            </w:r>
            <w:r w:rsidRPr="0030358C">
              <w:rPr>
                <w:rFonts w:ascii="Arial" w:hAnsi="Arial" w:cs="Arial"/>
                <w:b/>
                <w:bCs/>
                <w:color w:val="000000" w:themeColor="text1"/>
                <w:sz w:val="22"/>
                <w:szCs w:val="22"/>
              </w:rPr>
              <w:t xml:space="preserve"> část):</w:t>
            </w:r>
          </w:p>
        </w:tc>
      </w:tr>
      <w:tr w:rsidR="00E40657" w14:paraId="658E095E" w14:textId="77777777" w:rsidTr="00F64C20">
        <w:tc>
          <w:tcPr>
            <w:tcW w:w="709" w:type="dxa"/>
            <w:tcBorders>
              <w:top w:val="nil"/>
            </w:tcBorders>
          </w:tcPr>
          <w:p w14:paraId="44400D41"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10</w:t>
            </w:r>
          </w:p>
        </w:tc>
        <w:tc>
          <w:tcPr>
            <w:tcW w:w="3865" w:type="dxa"/>
            <w:tcBorders>
              <w:top w:val="nil"/>
            </w:tcBorders>
          </w:tcPr>
          <w:p w14:paraId="684945E3" w14:textId="77777777" w:rsidR="00B24592" w:rsidRPr="0030358C" w:rsidRDefault="00B24592" w:rsidP="00F64C20">
            <w:pPr>
              <w:rPr>
                <w:rFonts w:ascii="Arial" w:hAnsi="Arial" w:cs="Arial"/>
                <w:b/>
                <w:bCs/>
                <w:color w:val="000000" w:themeColor="text1"/>
                <w:sz w:val="22"/>
                <w:szCs w:val="22"/>
              </w:rPr>
            </w:pPr>
          </w:p>
        </w:tc>
        <w:tc>
          <w:tcPr>
            <w:tcW w:w="4498" w:type="dxa"/>
          </w:tcPr>
          <w:p w14:paraId="5E0AF60C"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PSČ:</w:t>
            </w:r>
          </w:p>
        </w:tc>
      </w:tr>
      <w:tr w:rsidR="00E40657" w14:paraId="5E304DCB" w14:textId="77777777" w:rsidTr="00F64C20">
        <w:tc>
          <w:tcPr>
            <w:tcW w:w="709" w:type="dxa"/>
            <w:tcBorders>
              <w:bottom w:val="nil"/>
            </w:tcBorders>
          </w:tcPr>
          <w:p w14:paraId="150A4147"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11</w:t>
            </w:r>
          </w:p>
        </w:tc>
        <w:tc>
          <w:tcPr>
            <w:tcW w:w="3865" w:type="dxa"/>
            <w:tcBorders>
              <w:bottom w:val="nil"/>
            </w:tcBorders>
          </w:tcPr>
          <w:p w14:paraId="45770A5F"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C. Údaje o stacionárním zdroji</w:t>
            </w:r>
          </w:p>
        </w:tc>
        <w:tc>
          <w:tcPr>
            <w:tcW w:w="4498" w:type="dxa"/>
          </w:tcPr>
          <w:p w14:paraId="02D5C697"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 xml:space="preserve">Pořadové číslo stacionárního zdroje </w:t>
            </w:r>
            <w:r w:rsidR="006441D4" w:rsidRPr="0030358C">
              <w:rPr>
                <w:rFonts w:ascii="Arial" w:hAnsi="Arial" w:cs="Arial"/>
                <w:b/>
                <w:bCs/>
                <w:color w:val="000000" w:themeColor="text1"/>
                <w:sz w:val="22"/>
                <w:szCs w:val="22"/>
              </w:rPr>
              <w:t xml:space="preserve">evidované v </w:t>
            </w:r>
            <w:r w:rsidRPr="0030358C">
              <w:rPr>
                <w:rFonts w:ascii="Arial" w:hAnsi="Arial" w:cs="Arial"/>
                <w:b/>
                <w:bCs/>
                <w:color w:val="000000" w:themeColor="text1"/>
                <w:sz w:val="22"/>
                <w:szCs w:val="22"/>
              </w:rPr>
              <w:t xml:space="preserve">ISPOP </w:t>
            </w:r>
          </w:p>
        </w:tc>
      </w:tr>
      <w:tr w:rsidR="00E40657" w14:paraId="121F3CEE" w14:textId="77777777" w:rsidTr="00F64C20">
        <w:tc>
          <w:tcPr>
            <w:tcW w:w="709" w:type="dxa"/>
            <w:tcBorders>
              <w:top w:val="nil"/>
              <w:bottom w:val="nil"/>
            </w:tcBorders>
          </w:tcPr>
          <w:p w14:paraId="7E2554C3"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12</w:t>
            </w:r>
          </w:p>
        </w:tc>
        <w:tc>
          <w:tcPr>
            <w:tcW w:w="3865" w:type="dxa"/>
            <w:tcBorders>
              <w:top w:val="nil"/>
              <w:bottom w:val="nil"/>
            </w:tcBorders>
          </w:tcPr>
          <w:p w14:paraId="7931C2E2" w14:textId="77777777" w:rsidR="00B24592" w:rsidRPr="0030358C" w:rsidRDefault="00B24592" w:rsidP="00F64C20">
            <w:pPr>
              <w:rPr>
                <w:rFonts w:ascii="Arial" w:hAnsi="Arial" w:cs="Arial"/>
                <w:b/>
                <w:bCs/>
                <w:color w:val="000000" w:themeColor="text1"/>
                <w:sz w:val="22"/>
                <w:szCs w:val="22"/>
              </w:rPr>
            </w:pPr>
          </w:p>
        </w:tc>
        <w:tc>
          <w:tcPr>
            <w:tcW w:w="4498" w:type="dxa"/>
          </w:tcPr>
          <w:p w14:paraId="050E56A9"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Pořadové číslo stacionárního zdroje podle povolení provozu</w:t>
            </w:r>
          </w:p>
        </w:tc>
      </w:tr>
      <w:tr w:rsidR="00E40657" w14:paraId="355814A5" w14:textId="77777777" w:rsidTr="00F64C20">
        <w:trPr>
          <w:trHeight w:val="318"/>
        </w:trPr>
        <w:tc>
          <w:tcPr>
            <w:tcW w:w="709" w:type="dxa"/>
            <w:tcBorders>
              <w:top w:val="nil"/>
              <w:bottom w:val="nil"/>
            </w:tcBorders>
          </w:tcPr>
          <w:p w14:paraId="53713E64"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13</w:t>
            </w:r>
          </w:p>
        </w:tc>
        <w:tc>
          <w:tcPr>
            <w:tcW w:w="3865" w:type="dxa"/>
            <w:tcBorders>
              <w:top w:val="nil"/>
              <w:bottom w:val="nil"/>
            </w:tcBorders>
          </w:tcPr>
          <w:p w14:paraId="3A736A8E" w14:textId="77777777" w:rsidR="00B24592" w:rsidRPr="0030358C" w:rsidRDefault="00B24592" w:rsidP="00F64C20">
            <w:pPr>
              <w:rPr>
                <w:rFonts w:ascii="Arial" w:hAnsi="Arial" w:cs="Arial"/>
                <w:b/>
                <w:bCs/>
                <w:color w:val="000000" w:themeColor="text1"/>
                <w:sz w:val="22"/>
                <w:szCs w:val="22"/>
              </w:rPr>
            </w:pPr>
          </w:p>
        </w:tc>
        <w:tc>
          <w:tcPr>
            <w:tcW w:w="4498" w:type="dxa"/>
          </w:tcPr>
          <w:p w14:paraId="78CB9676"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Zařazení stacionárního zdroje podle zákona</w:t>
            </w:r>
          </w:p>
        </w:tc>
      </w:tr>
      <w:tr w:rsidR="00E40657" w14:paraId="152D664E" w14:textId="77777777" w:rsidTr="00F64C20">
        <w:tc>
          <w:tcPr>
            <w:tcW w:w="709" w:type="dxa"/>
            <w:tcBorders>
              <w:top w:val="nil"/>
              <w:bottom w:val="nil"/>
            </w:tcBorders>
          </w:tcPr>
          <w:p w14:paraId="0F1CC773"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14</w:t>
            </w:r>
          </w:p>
        </w:tc>
        <w:tc>
          <w:tcPr>
            <w:tcW w:w="3865" w:type="dxa"/>
            <w:tcBorders>
              <w:top w:val="nil"/>
              <w:bottom w:val="nil"/>
            </w:tcBorders>
          </w:tcPr>
          <w:p w14:paraId="5E1C4185" w14:textId="77777777" w:rsidR="00B24592" w:rsidRPr="0030358C" w:rsidRDefault="00B24592" w:rsidP="00F64C20">
            <w:pPr>
              <w:rPr>
                <w:rFonts w:ascii="Arial" w:hAnsi="Arial" w:cs="Arial"/>
                <w:b/>
                <w:bCs/>
                <w:color w:val="000000" w:themeColor="text1"/>
                <w:sz w:val="22"/>
                <w:szCs w:val="22"/>
              </w:rPr>
            </w:pPr>
          </w:p>
        </w:tc>
        <w:tc>
          <w:tcPr>
            <w:tcW w:w="4498" w:type="dxa"/>
          </w:tcPr>
          <w:p w14:paraId="7D0A74BD"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Název stacionárního zdroje</w:t>
            </w:r>
          </w:p>
        </w:tc>
      </w:tr>
      <w:tr w:rsidR="00E40657" w14:paraId="0523F7FC" w14:textId="77777777" w:rsidTr="00F64C20">
        <w:tc>
          <w:tcPr>
            <w:tcW w:w="709" w:type="dxa"/>
            <w:tcBorders>
              <w:top w:val="nil"/>
              <w:bottom w:val="nil"/>
            </w:tcBorders>
          </w:tcPr>
          <w:p w14:paraId="09BA8AB1"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15</w:t>
            </w:r>
          </w:p>
        </w:tc>
        <w:tc>
          <w:tcPr>
            <w:tcW w:w="3865" w:type="dxa"/>
            <w:tcBorders>
              <w:top w:val="nil"/>
              <w:bottom w:val="nil"/>
            </w:tcBorders>
          </w:tcPr>
          <w:p w14:paraId="54675F4C" w14:textId="77777777" w:rsidR="00B24592" w:rsidRPr="0030358C" w:rsidRDefault="00B24592" w:rsidP="00F64C20">
            <w:pPr>
              <w:rPr>
                <w:rFonts w:ascii="Arial" w:hAnsi="Arial" w:cs="Arial"/>
                <w:b/>
                <w:bCs/>
                <w:color w:val="000000" w:themeColor="text1"/>
                <w:sz w:val="22"/>
                <w:szCs w:val="22"/>
              </w:rPr>
            </w:pPr>
          </w:p>
        </w:tc>
        <w:tc>
          <w:tcPr>
            <w:tcW w:w="4498" w:type="dxa"/>
          </w:tcPr>
          <w:p w14:paraId="1CBFCCE4"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Jmenovitý tepelný příkon [MW] nebo projektovaná kapacita stacionárního zdroje</w:t>
            </w:r>
          </w:p>
        </w:tc>
      </w:tr>
      <w:tr w:rsidR="00E40657" w14:paraId="3FAEF5F0" w14:textId="77777777" w:rsidTr="00F64C20">
        <w:tc>
          <w:tcPr>
            <w:tcW w:w="709" w:type="dxa"/>
            <w:tcBorders>
              <w:top w:val="nil"/>
              <w:bottom w:val="single" w:sz="4" w:space="0" w:color="000000"/>
            </w:tcBorders>
          </w:tcPr>
          <w:p w14:paraId="4FED3804"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16</w:t>
            </w:r>
          </w:p>
        </w:tc>
        <w:tc>
          <w:tcPr>
            <w:tcW w:w="3865" w:type="dxa"/>
            <w:tcBorders>
              <w:top w:val="nil"/>
              <w:bottom w:val="single" w:sz="4" w:space="0" w:color="000000"/>
            </w:tcBorders>
          </w:tcPr>
          <w:p w14:paraId="5A8AD781" w14:textId="77777777" w:rsidR="00B24592" w:rsidRPr="0030358C" w:rsidRDefault="00B24592" w:rsidP="00F64C20">
            <w:pPr>
              <w:rPr>
                <w:rFonts w:ascii="Arial" w:hAnsi="Arial" w:cs="Arial"/>
                <w:b/>
                <w:bCs/>
                <w:color w:val="000000" w:themeColor="text1"/>
                <w:sz w:val="22"/>
                <w:szCs w:val="22"/>
              </w:rPr>
            </w:pPr>
          </w:p>
        </w:tc>
        <w:tc>
          <w:tcPr>
            <w:tcW w:w="4498" w:type="dxa"/>
            <w:tcBorders>
              <w:bottom w:val="single" w:sz="4" w:space="0" w:color="000000"/>
            </w:tcBorders>
          </w:tcPr>
          <w:p w14:paraId="1B7A58D7"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Druh paliva nebo odpadu</w:t>
            </w:r>
          </w:p>
        </w:tc>
      </w:tr>
      <w:tr w:rsidR="00E40657" w14:paraId="08BB2BC0" w14:textId="77777777" w:rsidTr="00F64C20">
        <w:tc>
          <w:tcPr>
            <w:tcW w:w="709" w:type="dxa"/>
            <w:tcBorders>
              <w:top w:val="single" w:sz="4" w:space="0" w:color="000000"/>
              <w:left w:val="single" w:sz="4" w:space="0" w:color="000000"/>
              <w:bottom w:val="nil"/>
              <w:right w:val="single" w:sz="4" w:space="0" w:color="000000"/>
            </w:tcBorders>
          </w:tcPr>
          <w:p w14:paraId="361DDD1E"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17</w:t>
            </w:r>
          </w:p>
        </w:tc>
        <w:tc>
          <w:tcPr>
            <w:tcW w:w="3865" w:type="dxa"/>
            <w:tcBorders>
              <w:top w:val="single" w:sz="4" w:space="0" w:color="000000"/>
              <w:left w:val="single" w:sz="4" w:space="0" w:color="000000"/>
              <w:bottom w:val="nil"/>
              <w:right w:val="single" w:sz="4" w:space="0" w:color="000000"/>
            </w:tcBorders>
          </w:tcPr>
          <w:p w14:paraId="32B89513"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D. Údaje o komínech a výduších</w:t>
            </w:r>
          </w:p>
        </w:tc>
        <w:tc>
          <w:tcPr>
            <w:tcW w:w="4498" w:type="dxa"/>
            <w:tcBorders>
              <w:top w:val="single" w:sz="4" w:space="0" w:color="000000"/>
              <w:left w:val="single" w:sz="4" w:space="0" w:color="000000"/>
              <w:bottom w:val="nil"/>
              <w:right w:val="single" w:sz="4" w:space="0" w:color="000000"/>
            </w:tcBorders>
          </w:tcPr>
          <w:p w14:paraId="6E3BD730"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 xml:space="preserve">Pořadové číslo výduchu/komínu </w:t>
            </w:r>
            <w:r w:rsidR="006441D4" w:rsidRPr="0030358C">
              <w:rPr>
                <w:rFonts w:ascii="Arial" w:hAnsi="Arial" w:cs="Arial"/>
                <w:b/>
                <w:bCs/>
                <w:color w:val="000000" w:themeColor="text1"/>
                <w:sz w:val="22"/>
                <w:szCs w:val="22"/>
              </w:rPr>
              <w:t xml:space="preserve">evidované v </w:t>
            </w:r>
            <w:r w:rsidRPr="0030358C">
              <w:rPr>
                <w:rFonts w:ascii="Arial" w:hAnsi="Arial" w:cs="Arial"/>
                <w:b/>
                <w:bCs/>
                <w:color w:val="000000" w:themeColor="text1"/>
                <w:sz w:val="22"/>
                <w:szCs w:val="22"/>
              </w:rPr>
              <w:t>ISPOP</w:t>
            </w:r>
          </w:p>
        </w:tc>
      </w:tr>
      <w:tr w:rsidR="00E40657" w14:paraId="05C2899A" w14:textId="77777777" w:rsidTr="00F64C20">
        <w:tc>
          <w:tcPr>
            <w:tcW w:w="709" w:type="dxa"/>
            <w:tcBorders>
              <w:top w:val="nil"/>
              <w:left w:val="single" w:sz="4" w:space="0" w:color="000000"/>
              <w:bottom w:val="nil"/>
              <w:right w:val="single" w:sz="4" w:space="0" w:color="000000"/>
            </w:tcBorders>
          </w:tcPr>
          <w:p w14:paraId="0F8A1A07"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lastRenderedPageBreak/>
              <w:t>18</w:t>
            </w:r>
          </w:p>
        </w:tc>
        <w:tc>
          <w:tcPr>
            <w:tcW w:w="3865" w:type="dxa"/>
            <w:tcBorders>
              <w:top w:val="nil"/>
              <w:left w:val="single" w:sz="4" w:space="0" w:color="000000"/>
              <w:bottom w:val="nil"/>
              <w:right w:val="single" w:sz="4" w:space="0" w:color="000000"/>
            </w:tcBorders>
          </w:tcPr>
          <w:p w14:paraId="401537A3"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090451CB"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Pořadové číslo výduchu/komínu podle povolení provozu</w:t>
            </w:r>
          </w:p>
        </w:tc>
      </w:tr>
      <w:tr w:rsidR="00E40657" w14:paraId="2E364652" w14:textId="77777777" w:rsidTr="00F64C20">
        <w:tc>
          <w:tcPr>
            <w:tcW w:w="709" w:type="dxa"/>
            <w:tcBorders>
              <w:top w:val="nil"/>
              <w:left w:val="single" w:sz="4" w:space="0" w:color="000000"/>
              <w:bottom w:val="nil"/>
              <w:right w:val="single" w:sz="4" w:space="0" w:color="000000"/>
            </w:tcBorders>
          </w:tcPr>
          <w:p w14:paraId="13259CE9"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19</w:t>
            </w:r>
          </w:p>
        </w:tc>
        <w:tc>
          <w:tcPr>
            <w:tcW w:w="3865" w:type="dxa"/>
            <w:tcBorders>
              <w:top w:val="nil"/>
              <w:left w:val="single" w:sz="4" w:space="0" w:color="000000"/>
              <w:bottom w:val="nil"/>
              <w:right w:val="single" w:sz="4" w:space="0" w:color="000000"/>
            </w:tcBorders>
          </w:tcPr>
          <w:p w14:paraId="25014075"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3C12899E"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Označení místa měření dle interní dokumentace</w:t>
            </w:r>
          </w:p>
        </w:tc>
      </w:tr>
      <w:tr w:rsidR="00E40657" w14:paraId="05D86118" w14:textId="77777777" w:rsidTr="00F64C20">
        <w:tc>
          <w:tcPr>
            <w:tcW w:w="709" w:type="dxa"/>
            <w:tcBorders>
              <w:top w:val="nil"/>
              <w:left w:val="single" w:sz="4" w:space="0" w:color="000000"/>
              <w:bottom w:val="nil"/>
              <w:right w:val="single" w:sz="4" w:space="0" w:color="000000"/>
            </w:tcBorders>
          </w:tcPr>
          <w:p w14:paraId="73347C0C"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20</w:t>
            </w:r>
          </w:p>
        </w:tc>
        <w:tc>
          <w:tcPr>
            <w:tcW w:w="3865" w:type="dxa"/>
            <w:tcBorders>
              <w:top w:val="nil"/>
              <w:left w:val="single" w:sz="4" w:space="0" w:color="000000"/>
              <w:bottom w:val="nil"/>
              <w:right w:val="single" w:sz="4" w:space="0" w:color="000000"/>
            </w:tcBorders>
          </w:tcPr>
          <w:p w14:paraId="3F87C468"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5686A0EC"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Umístění měřicího místa</w:t>
            </w:r>
          </w:p>
        </w:tc>
      </w:tr>
      <w:tr w:rsidR="00E40657" w14:paraId="3EDACA93" w14:textId="77777777" w:rsidTr="00F64C20">
        <w:tc>
          <w:tcPr>
            <w:tcW w:w="709" w:type="dxa"/>
            <w:tcBorders>
              <w:top w:val="nil"/>
              <w:left w:val="single" w:sz="4" w:space="0" w:color="000000"/>
              <w:bottom w:val="nil"/>
              <w:right w:val="single" w:sz="4" w:space="0" w:color="000000"/>
            </w:tcBorders>
          </w:tcPr>
          <w:p w14:paraId="591183A6"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21</w:t>
            </w:r>
          </w:p>
        </w:tc>
        <w:tc>
          <w:tcPr>
            <w:tcW w:w="3865" w:type="dxa"/>
            <w:tcBorders>
              <w:top w:val="nil"/>
              <w:left w:val="single" w:sz="4" w:space="0" w:color="000000"/>
              <w:bottom w:val="nil"/>
              <w:right w:val="single" w:sz="4" w:space="0" w:color="000000"/>
            </w:tcBorders>
          </w:tcPr>
          <w:p w14:paraId="0FF45E69"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2CD69339"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Druh technologie ke snižování emisí</w:t>
            </w:r>
          </w:p>
        </w:tc>
      </w:tr>
      <w:tr w:rsidR="00E40657" w14:paraId="7A2EE032" w14:textId="77777777" w:rsidTr="00F64C20">
        <w:tc>
          <w:tcPr>
            <w:tcW w:w="709" w:type="dxa"/>
            <w:tcBorders>
              <w:top w:val="nil"/>
              <w:left w:val="single" w:sz="4" w:space="0" w:color="000000"/>
              <w:bottom w:val="single" w:sz="4" w:space="0" w:color="000000"/>
              <w:right w:val="single" w:sz="4" w:space="0" w:color="000000"/>
            </w:tcBorders>
          </w:tcPr>
          <w:p w14:paraId="6A9A2D36"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22</w:t>
            </w:r>
          </w:p>
        </w:tc>
        <w:tc>
          <w:tcPr>
            <w:tcW w:w="3865" w:type="dxa"/>
            <w:tcBorders>
              <w:top w:val="nil"/>
              <w:left w:val="single" w:sz="4" w:space="0" w:color="000000"/>
              <w:bottom w:val="single" w:sz="4" w:space="0" w:color="000000"/>
              <w:right w:val="single" w:sz="4" w:space="0" w:color="000000"/>
            </w:tcBorders>
          </w:tcPr>
          <w:p w14:paraId="37C55938"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single" w:sz="4" w:space="0" w:color="000000"/>
              <w:right w:val="single" w:sz="4" w:space="0" w:color="000000"/>
            </w:tcBorders>
          </w:tcPr>
          <w:p w14:paraId="28FC82B3"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Účinnost technologie ke snižování emisí</w:t>
            </w:r>
          </w:p>
        </w:tc>
      </w:tr>
      <w:tr w:rsidR="00E40657" w14:paraId="7B3C2FF2" w14:textId="77777777" w:rsidTr="00F64C20">
        <w:tc>
          <w:tcPr>
            <w:tcW w:w="709" w:type="dxa"/>
            <w:tcBorders>
              <w:top w:val="single" w:sz="4" w:space="0" w:color="000000"/>
              <w:left w:val="single" w:sz="4" w:space="0" w:color="000000"/>
              <w:bottom w:val="single" w:sz="4" w:space="0" w:color="000000"/>
              <w:right w:val="single" w:sz="4" w:space="0" w:color="000000"/>
            </w:tcBorders>
          </w:tcPr>
          <w:p w14:paraId="735BCFD4"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23</w:t>
            </w:r>
          </w:p>
        </w:tc>
        <w:tc>
          <w:tcPr>
            <w:tcW w:w="3865" w:type="dxa"/>
            <w:tcBorders>
              <w:top w:val="single" w:sz="4" w:space="0" w:color="000000"/>
              <w:left w:val="single" w:sz="4" w:space="0" w:color="000000"/>
              <w:bottom w:val="single" w:sz="4" w:space="0" w:color="000000"/>
              <w:right w:val="single" w:sz="4" w:space="0" w:color="000000"/>
            </w:tcBorders>
          </w:tcPr>
          <w:p w14:paraId="2440E6FD"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 xml:space="preserve">E. </w:t>
            </w:r>
            <w:r w:rsidRPr="0030358C">
              <w:rPr>
                <w:rFonts w:ascii="Arial" w:eastAsia="Calibri" w:hAnsi="Arial" w:cs="Arial"/>
                <w:b/>
                <w:bCs/>
                <w:color w:val="000000" w:themeColor="text1"/>
                <w:sz w:val="22"/>
                <w:szCs w:val="22"/>
              </w:rPr>
              <w:t>Termín provedení jednorázového měření emisí</w:t>
            </w:r>
          </w:p>
        </w:tc>
        <w:tc>
          <w:tcPr>
            <w:tcW w:w="4498" w:type="dxa"/>
            <w:tcBorders>
              <w:top w:val="single" w:sz="4" w:space="0" w:color="000000"/>
              <w:left w:val="single" w:sz="4" w:space="0" w:color="000000"/>
              <w:bottom w:val="single" w:sz="4" w:space="0" w:color="000000"/>
              <w:right w:val="single" w:sz="4" w:space="0" w:color="000000"/>
            </w:tcBorders>
          </w:tcPr>
          <w:p w14:paraId="68EA2BD5"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Uvede se termín provedení jednorázového měření emisí</w:t>
            </w:r>
          </w:p>
          <w:p w14:paraId="7AA085DC" w14:textId="77777777" w:rsidR="00B24592" w:rsidRPr="0030358C" w:rsidRDefault="00B24592" w:rsidP="00F64C20">
            <w:pPr>
              <w:rPr>
                <w:rFonts w:ascii="Arial" w:hAnsi="Arial" w:cs="Arial"/>
                <w:b/>
                <w:bCs/>
                <w:color w:val="000000" w:themeColor="text1"/>
                <w:sz w:val="22"/>
                <w:szCs w:val="22"/>
              </w:rPr>
            </w:pPr>
          </w:p>
        </w:tc>
      </w:tr>
      <w:tr w:rsidR="00E40657" w14:paraId="11547EA4" w14:textId="77777777" w:rsidTr="00F64C20">
        <w:tc>
          <w:tcPr>
            <w:tcW w:w="709" w:type="dxa"/>
            <w:tcBorders>
              <w:top w:val="single" w:sz="4" w:space="0" w:color="000000"/>
              <w:left w:val="single" w:sz="4" w:space="0" w:color="000000"/>
              <w:bottom w:val="single" w:sz="4" w:space="0" w:color="000000"/>
              <w:right w:val="single" w:sz="4" w:space="0" w:color="000000"/>
            </w:tcBorders>
          </w:tcPr>
          <w:p w14:paraId="4F084DD3"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24</w:t>
            </w:r>
          </w:p>
        </w:tc>
        <w:tc>
          <w:tcPr>
            <w:tcW w:w="3865" w:type="dxa"/>
            <w:tcBorders>
              <w:top w:val="single" w:sz="4" w:space="0" w:color="000000"/>
              <w:left w:val="single" w:sz="4" w:space="0" w:color="000000"/>
              <w:bottom w:val="single" w:sz="4" w:space="0" w:color="000000"/>
              <w:right w:val="single" w:sz="4" w:space="0" w:color="000000"/>
            </w:tcBorders>
          </w:tcPr>
          <w:p w14:paraId="0C9E7BAF"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 xml:space="preserve">F. </w:t>
            </w:r>
            <w:r w:rsidRPr="0030358C">
              <w:rPr>
                <w:rFonts w:ascii="Arial" w:eastAsia="Calibri" w:hAnsi="Arial" w:cs="Arial"/>
                <w:b/>
                <w:bCs/>
                <w:color w:val="000000" w:themeColor="text1"/>
                <w:sz w:val="22"/>
                <w:szCs w:val="22"/>
              </w:rPr>
              <w:t>Rozsah jednorázového měření emisí</w:t>
            </w:r>
          </w:p>
        </w:tc>
        <w:tc>
          <w:tcPr>
            <w:tcW w:w="4498" w:type="dxa"/>
            <w:tcBorders>
              <w:top w:val="single" w:sz="4" w:space="0" w:color="000000"/>
              <w:left w:val="single" w:sz="4" w:space="0" w:color="000000"/>
              <w:bottom w:val="single" w:sz="4" w:space="0" w:color="000000"/>
              <w:right w:val="single" w:sz="4" w:space="0" w:color="000000"/>
            </w:tcBorders>
          </w:tcPr>
          <w:p w14:paraId="36FBAEDC"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Uvede se rozsah měřených znečišťujících látek</w:t>
            </w:r>
          </w:p>
          <w:p w14:paraId="706FEFEE" w14:textId="77777777" w:rsidR="00B24592" w:rsidRPr="0030358C" w:rsidRDefault="00B24592" w:rsidP="00F64C20">
            <w:pPr>
              <w:rPr>
                <w:rFonts w:ascii="Arial" w:hAnsi="Arial" w:cs="Arial"/>
                <w:b/>
                <w:bCs/>
                <w:color w:val="000000" w:themeColor="text1"/>
                <w:sz w:val="22"/>
                <w:szCs w:val="22"/>
              </w:rPr>
            </w:pPr>
          </w:p>
        </w:tc>
      </w:tr>
      <w:tr w:rsidR="00E40657" w14:paraId="154EFC1A" w14:textId="77777777" w:rsidTr="00F64C20">
        <w:tc>
          <w:tcPr>
            <w:tcW w:w="709" w:type="dxa"/>
            <w:tcBorders>
              <w:top w:val="single" w:sz="4" w:space="0" w:color="000000"/>
              <w:left w:val="single" w:sz="4" w:space="0" w:color="000000"/>
              <w:bottom w:val="nil"/>
              <w:right w:val="single" w:sz="4" w:space="0" w:color="000000"/>
            </w:tcBorders>
          </w:tcPr>
          <w:p w14:paraId="718B12BF"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25</w:t>
            </w:r>
          </w:p>
        </w:tc>
        <w:tc>
          <w:tcPr>
            <w:tcW w:w="3865" w:type="dxa"/>
            <w:tcBorders>
              <w:top w:val="single" w:sz="4" w:space="0" w:color="000000"/>
              <w:left w:val="single" w:sz="4" w:space="0" w:color="000000"/>
              <w:bottom w:val="nil"/>
              <w:right w:val="single" w:sz="4" w:space="0" w:color="000000"/>
            </w:tcBorders>
          </w:tcPr>
          <w:p w14:paraId="7F5B19ED"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 xml:space="preserve">G. </w:t>
            </w:r>
            <w:r w:rsidRPr="0030358C">
              <w:rPr>
                <w:rFonts w:ascii="Arial" w:eastAsia="Calibri" w:hAnsi="Arial" w:cs="Arial"/>
                <w:b/>
                <w:bCs/>
                <w:color w:val="000000" w:themeColor="text1"/>
                <w:sz w:val="22"/>
                <w:szCs w:val="22"/>
              </w:rPr>
              <w:t>Údaje o autorizované osobě, která provede měření</w:t>
            </w:r>
          </w:p>
        </w:tc>
        <w:tc>
          <w:tcPr>
            <w:tcW w:w="4498" w:type="dxa"/>
            <w:tcBorders>
              <w:top w:val="single" w:sz="4" w:space="0" w:color="000000"/>
              <w:left w:val="single" w:sz="4" w:space="0" w:color="000000"/>
              <w:bottom w:val="nil"/>
              <w:right w:val="single" w:sz="4" w:space="0" w:color="000000"/>
            </w:tcBorders>
          </w:tcPr>
          <w:p w14:paraId="64FE92B4"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Identifikační číslo (IČO):</w:t>
            </w:r>
          </w:p>
        </w:tc>
      </w:tr>
      <w:tr w:rsidR="00E40657" w14:paraId="5F83C614" w14:textId="77777777" w:rsidTr="00F64C20">
        <w:tc>
          <w:tcPr>
            <w:tcW w:w="709" w:type="dxa"/>
            <w:tcBorders>
              <w:top w:val="nil"/>
              <w:left w:val="single" w:sz="4" w:space="0" w:color="000000"/>
              <w:bottom w:val="nil"/>
              <w:right w:val="single" w:sz="4" w:space="0" w:color="000000"/>
            </w:tcBorders>
          </w:tcPr>
          <w:p w14:paraId="122A3CD4"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26</w:t>
            </w:r>
          </w:p>
        </w:tc>
        <w:tc>
          <w:tcPr>
            <w:tcW w:w="3865" w:type="dxa"/>
            <w:tcBorders>
              <w:top w:val="nil"/>
              <w:left w:val="single" w:sz="4" w:space="0" w:color="000000"/>
              <w:bottom w:val="nil"/>
              <w:right w:val="single" w:sz="4" w:space="0" w:color="000000"/>
            </w:tcBorders>
          </w:tcPr>
          <w:p w14:paraId="796C3A26"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47FFB94B"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Název osoby (obchodní firma nebo</w:t>
            </w:r>
          </w:p>
          <w:p w14:paraId="387444E5"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příjmení a jméno):</w:t>
            </w:r>
          </w:p>
        </w:tc>
      </w:tr>
      <w:tr w:rsidR="00E40657" w14:paraId="2F81765B" w14:textId="77777777" w:rsidTr="00F64C20">
        <w:trPr>
          <w:trHeight w:val="198"/>
        </w:trPr>
        <w:tc>
          <w:tcPr>
            <w:tcW w:w="709" w:type="dxa"/>
            <w:tcBorders>
              <w:top w:val="nil"/>
              <w:left w:val="single" w:sz="4" w:space="0" w:color="000000"/>
              <w:bottom w:val="nil"/>
              <w:right w:val="single" w:sz="4" w:space="0" w:color="000000"/>
            </w:tcBorders>
          </w:tcPr>
          <w:p w14:paraId="5D52D2A4"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27</w:t>
            </w:r>
          </w:p>
        </w:tc>
        <w:tc>
          <w:tcPr>
            <w:tcW w:w="3865" w:type="dxa"/>
            <w:tcBorders>
              <w:top w:val="nil"/>
              <w:left w:val="single" w:sz="4" w:space="0" w:color="000000"/>
              <w:bottom w:val="nil"/>
              <w:right w:val="single" w:sz="4" w:space="0" w:color="000000"/>
            </w:tcBorders>
          </w:tcPr>
          <w:p w14:paraId="4D67D490"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2352833D"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Adresa (ulice, číslo popisné/orientační):</w:t>
            </w:r>
          </w:p>
        </w:tc>
      </w:tr>
      <w:tr w:rsidR="00E40657" w14:paraId="1519DDC8" w14:textId="77777777" w:rsidTr="00F64C20">
        <w:tc>
          <w:tcPr>
            <w:tcW w:w="709" w:type="dxa"/>
            <w:tcBorders>
              <w:top w:val="nil"/>
              <w:left w:val="single" w:sz="4" w:space="0" w:color="000000"/>
              <w:bottom w:val="nil"/>
              <w:right w:val="single" w:sz="4" w:space="0" w:color="000000"/>
            </w:tcBorders>
          </w:tcPr>
          <w:p w14:paraId="14A64792"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28</w:t>
            </w:r>
          </w:p>
        </w:tc>
        <w:tc>
          <w:tcPr>
            <w:tcW w:w="3865" w:type="dxa"/>
            <w:tcBorders>
              <w:top w:val="nil"/>
              <w:left w:val="single" w:sz="4" w:space="0" w:color="000000"/>
              <w:bottom w:val="nil"/>
              <w:right w:val="single" w:sz="4" w:space="0" w:color="000000"/>
            </w:tcBorders>
          </w:tcPr>
          <w:p w14:paraId="4A145C98"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0A3101AC"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 xml:space="preserve">Adresa (obec, </w:t>
            </w:r>
            <w:r w:rsidR="007F35D1" w:rsidRPr="0030358C">
              <w:rPr>
                <w:rFonts w:ascii="Arial" w:eastAsia="Calibri" w:hAnsi="Arial" w:cs="Arial"/>
                <w:b/>
                <w:bCs/>
                <w:color w:val="000000" w:themeColor="text1"/>
                <w:sz w:val="22"/>
                <w:szCs w:val="22"/>
              </w:rPr>
              <w:t>město – městská</w:t>
            </w:r>
            <w:r w:rsidRPr="0030358C">
              <w:rPr>
                <w:rFonts w:ascii="Arial" w:eastAsia="Calibri" w:hAnsi="Arial" w:cs="Arial"/>
                <w:b/>
                <w:bCs/>
                <w:color w:val="000000" w:themeColor="text1"/>
                <w:sz w:val="22"/>
                <w:szCs w:val="22"/>
              </w:rPr>
              <w:t xml:space="preserve"> část):</w:t>
            </w:r>
          </w:p>
        </w:tc>
      </w:tr>
      <w:tr w:rsidR="00E40657" w14:paraId="04D6561E" w14:textId="77777777" w:rsidTr="00F64C20">
        <w:tc>
          <w:tcPr>
            <w:tcW w:w="709" w:type="dxa"/>
            <w:tcBorders>
              <w:top w:val="nil"/>
              <w:left w:val="single" w:sz="4" w:space="0" w:color="000000"/>
              <w:bottom w:val="nil"/>
              <w:right w:val="single" w:sz="4" w:space="0" w:color="000000"/>
            </w:tcBorders>
          </w:tcPr>
          <w:p w14:paraId="1C5E0146"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29</w:t>
            </w:r>
          </w:p>
        </w:tc>
        <w:tc>
          <w:tcPr>
            <w:tcW w:w="3865" w:type="dxa"/>
            <w:tcBorders>
              <w:top w:val="nil"/>
              <w:left w:val="single" w:sz="4" w:space="0" w:color="000000"/>
              <w:bottom w:val="nil"/>
              <w:right w:val="single" w:sz="4" w:space="0" w:color="000000"/>
            </w:tcBorders>
          </w:tcPr>
          <w:p w14:paraId="5D639612"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nil"/>
              <w:right w:val="single" w:sz="4" w:space="0" w:color="000000"/>
            </w:tcBorders>
          </w:tcPr>
          <w:p w14:paraId="508120DB"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PSČ:</w:t>
            </w:r>
          </w:p>
        </w:tc>
      </w:tr>
      <w:tr w:rsidR="00E40657" w14:paraId="2F3634BD" w14:textId="77777777" w:rsidTr="00F64C20">
        <w:tc>
          <w:tcPr>
            <w:tcW w:w="709" w:type="dxa"/>
            <w:tcBorders>
              <w:top w:val="nil"/>
              <w:left w:val="single" w:sz="4" w:space="0" w:color="000000"/>
              <w:bottom w:val="single" w:sz="4" w:space="0" w:color="000000"/>
              <w:right w:val="single" w:sz="4" w:space="0" w:color="000000"/>
            </w:tcBorders>
          </w:tcPr>
          <w:p w14:paraId="2DB2673C" w14:textId="77777777" w:rsidR="00B24592" w:rsidRPr="0030358C" w:rsidRDefault="00000000" w:rsidP="00F64C20">
            <w:pPr>
              <w:rPr>
                <w:rFonts w:ascii="Arial" w:hAnsi="Arial" w:cs="Arial"/>
                <w:b/>
                <w:bCs/>
                <w:color w:val="000000" w:themeColor="text1"/>
                <w:sz w:val="22"/>
                <w:szCs w:val="22"/>
              </w:rPr>
            </w:pPr>
            <w:r w:rsidRPr="0030358C">
              <w:rPr>
                <w:rFonts w:ascii="Arial" w:hAnsi="Arial" w:cs="Arial"/>
                <w:b/>
                <w:bCs/>
                <w:color w:val="000000" w:themeColor="text1"/>
                <w:sz w:val="22"/>
                <w:szCs w:val="22"/>
              </w:rPr>
              <w:t>30</w:t>
            </w:r>
          </w:p>
        </w:tc>
        <w:tc>
          <w:tcPr>
            <w:tcW w:w="3865" w:type="dxa"/>
            <w:tcBorders>
              <w:top w:val="nil"/>
              <w:left w:val="single" w:sz="4" w:space="0" w:color="000000"/>
              <w:bottom w:val="single" w:sz="4" w:space="0" w:color="000000"/>
              <w:right w:val="single" w:sz="4" w:space="0" w:color="000000"/>
            </w:tcBorders>
          </w:tcPr>
          <w:p w14:paraId="302F3453" w14:textId="77777777" w:rsidR="00B24592" w:rsidRPr="0030358C" w:rsidRDefault="00B24592" w:rsidP="00F64C20">
            <w:pPr>
              <w:rPr>
                <w:rFonts w:ascii="Arial" w:hAnsi="Arial" w:cs="Arial"/>
                <w:b/>
                <w:bCs/>
                <w:color w:val="000000" w:themeColor="text1"/>
                <w:sz w:val="22"/>
                <w:szCs w:val="22"/>
              </w:rPr>
            </w:pPr>
          </w:p>
        </w:tc>
        <w:tc>
          <w:tcPr>
            <w:tcW w:w="4498" w:type="dxa"/>
            <w:tcBorders>
              <w:top w:val="nil"/>
              <w:left w:val="single" w:sz="4" w:space="0" w:color="000000"/>
              <w:bottom w:val="single" w:sz="4" w:space="0" w:color="000000"/>
              <w:right w:val="single" w:sz="4" w:space="0" w:color="000000"/>
            </w:tcBorders>
          </w:tcPr>
          <w:p w14:paraId="1DF73197" w14:textId="77777777" w:rsidR="00B24592" w:rsidRPr="0030358C" w:rsidRDefault="00000000" w:rsidP="00F64C20">
            <w:pPr>
              <w:pBdr>
                <w:top w:val="nil"/>
                <w:left w:val="nil"/>
                <w:bottom w:val="nil"/>
                <w:right w:val="nil"/>
              </w:pBdr>
              <w:spacing w:line="235" w:lineRule="atLeast"/>
              <w:rPr>
                <w:rFonts w:ascii="Arial" w:hAnsi="Arial" w:cs="Arial"/>
                <w:b/>
                <w:bCs/>
                <w:color w:val="000000" w:themeColor="text1"/>
                <w:sz w:val="22"/>
                <w:szCs w:val="22"/>
              </w:rPr>
            </w:pPr>
            <w:r w:rsidRPr="0030358C">
              <w:rPr>
                <w:rFonts w:ascii="Arial" w:eastAsia="Calibri" w:hAnsi="Arial" w:cs="Arial"/>
                <w:b/>
                <w:bCs/>
                <w:color w:val="000000" w:themeColor="text1"/>
                <w:sz w:val="22"/>
                <w:szCs w:val="22"/>
              </w:rPr>
              <w:t>Číslo jednací rozhodnutí o autorizaci:</w:t>
            </w:r>
          </w:p>
        </w:tc>
      </w:tr>
    </w:tbl>
    <w:p w14:paraId="4D920A0E" w14:textId="77777777" w:rsidR="00B24592" w:rsidRPr="0030358C" w:rsidRDefault="00B24592" w:rsidP="00B24592">
      <w:pPr>
        <w:pStyle w:val="43"/>
        <w:ind w:left="0"/>
        <w:jc w:val="both"/>
        <w:rPr>
          <w:rFonts w:ascii="Arial" w:hAnsi="Arial" w:cs="Arial"/>
          <w:bCs/>
          <w:sz w:val="22"/>
          <w:szCs w:val="22"/>
        </w:rPr>
      </w:pPr>
    </w:p>
    <w:p w14:paraId="76989B4A"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 xml:space="preserve">Vysvětlivky k tabulce: </w:t>
      </w:r>
    </w:p>
    <w:p w14:paraId="578A6EC7" w14:textId="77777777" w:rsidR="00CF4A0C" w:rsidRPr="0030358C" w:rsidRDefault="00000000" w:rsidP="00CF4A0C">
      <w:pPr>
        <w:pStyle w:val="43"/>
        <w:ind w:left="0"/>
        <w:jc w:val="both"/>
        <w:rPr>
          <w:rFonts w:ascii="Arial" w:hAnsi="Arial" w:cs="Arial"/>
          <w:bCs/>
          <w:sz w:val="22"/>
          <w:szCs w:val="22"/>
        </w:rPr>
      </w:pPr>
      <w:r w:rsidRPr="0030358C">
        <w:rPr>
          <w:rFonts w:ascii="Arial" w:hAnsi="Arial" w:cs="Arial"/>
          <w:bCs/>
          <w:sz w:val="22"/>
          <w:szCs w:val="22"/>
        </w:rPr>
        <w:t xml:space="preserve">1) Identifikační číslo (IČO), bylo-li přiděleno. Fyzické osoby bez IČO vyplní ID přidělené v ISPOP. </w:t>
      </w:r>
    </w:p>
    <w:p w14:paraId="74C89CBC" w14:textId="77777777" w:rsidR="00CF4A0C" w:rsidRPr="0030358C" w:rsidRDefault="00000000" w:rsidP="00CF4A0C">
      <w:pPr>
        <w:pStyle w:val="43"/>
        <w:ind w:left="0"/>
        <w:jc w:val="both"/>
        <w:rPr>
          <w:rFonts w:ascii="Arial" w:hAnsi="Arial" w:cs="Arial"/>
          <w:bCs/>
          <w:sz w:val="22"/>
          <w:szCs w:val="22"/>
        </w:rPr>
      </w:pPr>
      <w:r w:rsidRPr="0030358C">
        <w:rPr>
          <w:rFonts w:ascii="Arial" w:hAnsi="Arial" w:cs="Arial"/>
          <w:bCs/>
          <w:sz w:val="22"/>
          <w:szCs w:val="22"/>
        </w:rPr>
        <w:t xml:space="preserve">6) Identifikační číslo provozovny (IČP) přidělené v ISPOP – označení provozovny, ve které je provozován jeden nebo více stacionárních zdrojů, u nichž bude prováděno jednorázové měření emisí. </w:t>
      </w:r>
    </w:p>
    <w:p w14:paraId="4F31CD56" w14:textId="77777777" w:rsidR="00B24592" w:rsidRPr="0030358C" w:rsidRDefault="00000000" w:rsidP="00CF4A0C">
      <w:pPr>
        <w:pStyle w:val="43"/>
        <w:ind w:left="0"/>
        <w:jc w:val="both"/>
        <w:rPr>
          <w:rFonts w:ascii="Arial" w:hAnsi="Arial" w:cs="Arial"/>
          <w:bCs/>
          <w:sz w:val="22"/>
          <w:szCs w:val="22"/>
        </w:rPr>
      </w:pPr>
      <w:r w:rsidRPr="0030358C">
        <w:rPr>
          <w:rFonts w:ascii="Arial" w:hAnsi="Arial" w:cs="Arial"/>
          <w:bCs/>
          <w:sz w:val="22"/>
          <w:szCs w:val="22"/>
        </w:rPr>
        <w:t xml:space="preserve">13) Zařazení stacionárního zdroje do kategorie podle přílohy č. 2 zákona  </w:t>
      </w:r>
    </w:p>
    <w:p w14:paraId="449F2B97"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 xml:space="preserve">14) Uvede se název stacionárního zdroje dle provozního řádu nebo povolení provozu nebo technické dokumentace. </w:t>
      </w:r>
    </w:p>
    <w:p w14:paraId="29582768"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 xml:space="preserve">15) Vyplní se jmenovitý tepelný příkon spalovacího stacionárního zdroje dle technické dokumentace spalovacího stacionárního zdroje nebo projektovaná kapacita stacionárního zdroje dle technické dokumentace stacionárního zdroje. Pokud nejsou údaje dle věty první k dispozici, uvede se údaj o instalovaném elektrickém výkonu dle technické dokumentace stacionárního zdroje. </w:t>
      </w:r>
    </w:p>
    <w:p w14:paraId="35EC9BAC"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 xml:space="preserve">16) Uvede se druh (druhy) spalovaného paliva (dle číselníku uveřejněného ve Věstníku MŽP), u spaloven odpadů nebo u spalovacích stacionárních zdrojů tepelně zpracovávajících odpad společně s palivem se uvede rovněž jako samostatná položka odpad (bez bližšího určení). </w:t>
      </w:r>
    </w:p>
    <w:p w14:paraId="511CD59F"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 xml:space="preserve">19) Uvede se označení místa jednorázového měření emisí dle provozního řádu nebo povolení provozu nebo technické dokumentace. </w:t>
      </w:r>
    </w:p>
    <w:p w14:paraId="5A3C212F"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 xml:space="preserve">21) Uvede se druh každé technologie ke snižování emisí každé znečišťující látky (dle číselníku uveřejněného ve věstníku MŽP); v případě tuhých znečišťujících látek se uvede druh posledního stupně odlučovacího zařízení, v němž dochází ke snižování množství tuhých znečišťujících látek.  </w:t>
      </w:r>
    </w:p>
    <w:p w14:paraId="4FD1DB8B" w14:textId="77777777" w:rsidR="00B24592"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24) Uvede se název (názvy) měřených znečišťujících látek (dle číselníku uveřejněného ve Věstníku MŽP)</w:t>
      </w:r>
    </w:p>
    <w:p w14:paraId="40E04AAC" w14:textId="77777777" w:rsidR="00C23AB8" w:rsidRPr="0030358C" w:rsidRDefault="00000000" w:rsidP="00B24592">
      <w:pPr>
        <w:pStyle w:val="43"/>
        <w:ind w:left="0"/>
        <w:jc w:val="both"/>
        <w:rPr>
          <w:rFonts w:ascii="Arial" w:hAnsi="Arial" w:cs="Arial"/>
          <w:bCs/>
          <w:sz w:val="22"/>
          <w:szCs w:val="22"/>
        </w:rPr>
      </w:pPr>
      <w:r w:rsidRPr="0030358C">
        <w:rPr>
          <w:rFonts w:ascii="Arial" w:hAnsi="Arial" w:cs="Arial"/>
          <w:bCs/>
          <w:sz w:val="22"/>
          <w:szCs w:val="22"/>
        </w:rPr>
        <w:t>25) Identifikační číslo (IČO), bylo-li přiděleno. Fyzické osoby bez IČO vyplní ID přidělené v ISPOP.</w:t>
      </w:r>
    </w:p>
    <w:p w14:paraId="779D86E4" w14:textId="77777777" w:rsidR="00C23AB8" w:rsidRPr="0030358C" w:rsidRDefault="00000000" w:rsidP="00C23AB8">
      <w:pPr>
        <w:pStyle w:val="43"/>
        <w:ind w:left="0"/>
        <w:jc w:val="both"/>
        <w:rPr>
          <w:rFonts w:ascii="Arial" w:hAnsi="Arial" w:cs="Arial"/>
          <w:bCs/>
          <w:sz w:val="22"/>
          <w:szCs w:val="22"/>
          <w:u w:val="single"/>
        </w:rPr>
      </w:pPr>
      <w:r w:rsidRPr="0030358C">
        <w:rPr>
          <w:rFonts w:ascii="Arial" w:hAnsi="Arial" w:cs="Arial"/>
          <w:bCs/>
          <w:sz w:val="22"/>
          <w:szCs w:val="22"/>
          <w:u w:val="single"/>
        </w:rPr>
        <w:lastRenderedPageBreak/>
        <w:t>Část B</w:t>
      </w:r>
    </w:p>
    <w:p w14:paraId="714CD3EF"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u w:val="single"/>
        </w:rPr>
        <w:t>OBSAHOVÉ NÁLEŽITOSTI PROTOKOLU O JEDNORÁZOVÉM MĚŘENÍ EMISÍ</w:t>
      </w:r>
    </w:p>
    <w:p w14:paraId="2B6B6273"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1. Datum provedení jednorázového měření emisí, datum vystavení protokolu</w:t>
      </w:r>
    </w:p>
    <w:p w14:paraId="51AC9B89"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2. Jména osob provádějících jednorázové měření emisí</w:t>
      </w:r>
    </w:p>
    <w:p w14:paraId="65D7B4BA"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3. Jméno a podpis osoby odpovědné za správnost provedení měření a zpracování protokolu (odpovědný zástupce pro výkon autorizované činnosti)</w:t>
      </w:r>
    </w:p>
    <w:p w14:paraId="1F3D3B3C"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4. Identifikace provozovatele stacionárního zdroje</w:t>
      </w:r>
    </w:p>
    <w:p w14:paraId="0B162359"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5. Účel jednorázového měření emisí</w:t>
      </w:r>
    </w:p>
    <w:p w14:paraId="6B56C9CC" w14:textId="77777777" w:rsidR="00C23AB8" w:rsidRPr="0030358C" w:rsidRDefault="00000000" w:rsidP="00C23AB8">
      <w:pPr>
        <w:pStyle w:val="43"/>
        <w:ind w:left="0"/>
        <w:jc w:val="both"/>
        <w:rPr>
          <w:rFonts w:ascii="Arial" w:hAnsi="Arial" w:cs="Arial"/>
          <w:bCs/>
          <w:sz w:val="22"/>
          <w:szCs w:val="22"/>
        </w:rPr>
      </w:pPr>
      <w:bookmarkStart w:id="73" w:name="_Hlk184975848"/>
      <w:r w:rsidRPr="0030358C">
        <w:rPr>
          <w:rFonts w:ascii="Arial" w:hAnsi="Arial" w:cs="Arial"/>
          <w:bCs/>
          <w:sz w:val="22"/>
          <w:szCs w:val="22"/>
        </w:rPr>
        <w:t xml:space="preserve">6. Předmět jednorázového měření emisí (pořadové číslo měřeného stacionárního zdroje </w:t>
      </w:r>
      <w:r w:rsidR="006441D4" w:rsidRPr="0030358C">
        <w:rPr>
          <w:rFonts w:ascii="Arial" w:hAnsi="Arial" w:cs="Arial"/>
          <w:bCs/>
          <w:sz w:val="22"/>
          <w:szCs w:val="22"/>
        </w:rPr>
        <w:t xml:space="preserve">evidované v </w:t>
      </w:r>
      <w:r w:rsidRPr="0030358C">
        <w:rPr>
          <w:rFonts w:ascii="Arial" w:hAnsi="Arial" w:cs="Arial"/>
          <w:bCs/>
          <w:sz w:val="22"/>
          <w:szCs w:val="22"/>
        </w:rPr>
        <w:t xml:space="preserve">ISPOP, pořadové číslo stacionárního zdroje a pořadové číslo výduchu stacionárního zdroje z povolení provozu, </w:t>
      </w:r>
      <w:r w:rsidR="00110C63" w:rsidRPr="0030358C">
        <w:rPr>
          <w:rFonts w:ascii="Arial" w:hAnsi="Arial" w:cs="Arial"/>
          <w:bCs/>
          <w:sz w:val="22"/>
          <w:szCs w:val="22"/>
        </w:rPr>
        <w:t>p</w:t>
      </w:r>
      <w:r w:rsidR="00110C63" w:rsidRPr="0030358C">
        <w:rPr>
          <w:rFonts w:ascii="Arial" w:hAnsi="Arial" w:cs="Arial"/>
          <w:bCs/>
          <w:color w:val="000000" w:themeColor="text1"/>
          <w:sz w:val="22"/>
          <w:szCs w:val="22"/>
        </w:rPr>
        <w:t xml:space="preserve">ořadové číslo výduchu/komínu </w:t>
      </w:r>
      <w:r w:rsidR="006441D4" w:rsidRPr="0030358C">
        <w:rPr>
          <w:rFonts w:ascii="Arial" w:hAnsi="Arial" w:cs="Arial"/>
          <w:bCs/>
          <w:color w:val="000000" w:themeColor="text1"/>
          <w:sz w:val="22"/>
          <w:szCs w:val="22"/>
        </w:rPr>
        <w:t xml:space="preserve">evidované v </w:t>
      </w:r>
      <w:r w:rsidR="00110C63" w:rsidRPr="0030358C">
        <w:rPr>
          <w:rFonts w:ascii="Arial" w:hAnsi="Arial" w:cs="Arial"/>
          <w:bCs/>
          <w:color w:val="000000" w:themeColor="text1"/>
          <w:sz w:val="22"/>
          <w:szCs w:val="22"/>
        </w:rPr>
        <w:t>ISPOP,</w:t>
      </w:r>
      <w:r w:rsidR="00110C63" w:rsidRPr="0030358C">
        <w:rPr>
          <w:rFonts w:ascii="Arial" w:hAnsi="Arial" w:cs="Arial"/>
          <w:bCs/>
          <w:sz w:val="22"/>
          <w:szCs w:val="22"/>
        </w:rPr>
        <w:t xml:space="preserve"> </w:t>
      </w:r>
      <w:r w:rsidRPr="0030358C">
        <w:rPr>
          <w:rFonts w:ascii="Arial" w:hAnsi="Arial" w:cs="Arial"/>
          <w:bCs/>
          <w:sz w:val="22"/>
          <w:szCs w:val="22"/>
        </w:rPr>
        <w:t>základní technická data stacionárního zdroje a instalovaných technologií ke snižování emisí), další související údaje (technologické vstupy a výstupy), hodnoty proměnných parametrů zařízení ke snižování emisí</w:t>
      </w:r>
    </w:p>
    <w:bookmarkEnd w:id="73"/>
    <w:p w14:paraId="7B888759"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7. Umístění měřicího místa, označení místa měření, porovnání s požadavky určených norem, zhodnocení dopadu odchylky od normy, v případě nejednoznačnosti nákres s vyznačením odběrových míst</w:t>
      </w:r>
    </w:p>
    <w:p w14:paraId="3FBD656E"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8. Rozsah jednorázového měření emisí (měřené veličiny včetně doprovodných veličin), metody stanovení jednotlivých znečišťujících látek a jejich skupin včetně odkazů na normy a standardní operační postupy</w:t>
      </w:r>
    </w:p>
    <w:p w14:paraId="5FE90FCA"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9. Použitá přístrojová technika (odběrová zařízení, analyzátory a jejich rozsahy, měřidla dalších souvisejících veličin), kalibrační materiály, způsoby sběru a vyhodnocování dat</w:t>
      </w:r>
    </w:p>
    <w:p w14:paraId="0B0FA8A1"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 xml:space="preserve">10. Oblast spolupráce (identifikace spolupracujícího akreditovaného subjektu, předmět </w:t>
      </w:r>
      <w:r w:rsidR="007F35D1" w:rsidRPr="0030358C">
        <w:rPr>
          <w:rFonts w:ascii="Arial" w:hAnsi="Arial" w:cs="Arial"/>
          <w:bCs/>
          <w:sz w:val="22"/>
          <w:szCs w:val="22"/>
        </w:rPr>
        <w:t>spolupráce – stanovované</w:t>
      </w:r>
      <w:r w:rsidRPr="0030358C">
        <w:rPr>
          <w:rFonts w:ascii="Arial" w:hAnsi="Arial" w:cs="Arial"/>
          <w:bCs/>
          <w:sz w:val="22"/>
          <w:szCs w:val="22"/>
        </w:rPr>
        <w:t xml:space="preserve"> veličiny, metody stanovení)</w:t>
      </w:r>
    </w:p>
    <w:p w14:paraId="72C4DFB5"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11. Údaje o průběhu jednorázového měření emisí (odběry vzorků, slepé pokusy, měření souvisejících veličin, hodnoty provozních parametrů včetně hodnot parametrů zařízení ke snižování emisí)</w:t>
      </w:r>
    </w:p>
    <w:p w14:paraId="05C71DF1"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12. Soubory výsledků naměřených veličin včetně stavových a dalších doprovodných veličin</w:t>
      </w:r>
    </w:p>
    <w:p w14:paraId="42D44B57" w14:textId="77777777" w:rsidR="00C23AB8" w:rsidRPr="0030358C" w:rsidRDefault="00000000" w:rsidP="00C23AB8">
      <w:pPr>
        <w:pStyle w:val="43"/>
        <w:ind w:left="0"/>
        <w:jc w:val="both"/>
        <w:rPr>
          <w:rFonts w:ascii="Arial" w:hAnsi="Arial" w:cs="Arial"/>
          <w:bCs/>
          <w:sz w:val="22"/>
          <w:szCs w:val="22"/>
        </w:rPr>
      </w:pPr>
      <w:r w:rsidRPr="0030358C">
        <w:rPr>
          <w:rFonts w:ascii="Arial" w:hAnsi="Arial" w:cs="Arial"/>
          <w:bCs/>
          <w:sz w:val="22"/>
          <w:szCs w:val="22"/>
        </w:rPr>
        <w:t>13. Seznam dokumentů použitých pro jednorázové měření emisí a jeho vyhodnocení (právní předpisy, normy, standardní operační postupy), seznam značek</w:t>
      </w:r>
    </w:p>
    <w:p w14:paraId="655B2990" w14:textId="77777777" w:rsidR="00B24592" w:rsidRPr="0030358C" w:rsidRDefault="00000000" w:rsidP="00530164">
      <w:pPr>
        <w:pStyle w:val="43"/>
        <w:ind w:left="0"/>
        <w:jc w:val="both"/>
        <w:rPr>
          <w:rFonts w:ascii="Arial" w:hAnsi="Arial" w:cs="Arial"/>
          <w:bCs/>
          <w:sz w:val="22"/>
          <w:szCs w:val="22"/>
        </w:rPr>
      </w:pPr>
      <w:r w:rsidRPr="0030358C">
        <w:rPr>
          <w:rFonts w:ascii="Arial" w:hAnsi="Arial" w:cs="Arial"/>
          <w:bCs/>
          <w:sz w:val="22"/>
          <w:szCs w:val="22"/>
        </w:rPr>
        <w:t>14. Vyhodnocení jednorázového měření emisí, které obsahuje: emisní limit a podmínky za jakých je stanoven, výsledky naměřených hodnot koncentrací znečišťujících látek a souvisejících doprovodných veličin z jednotlivých měření, hodnoty hmotnostních koncentrací znečišťujících látek z jednotlivých měření přepočtené na podmínky, za kterých je stanoven emisní limit a průměrnou hodnotu této hmotnostní koncentrace za celou dobu měření, hmotnostní tok a její měrnou výrobní emisi.</w:t>
      </w:r>
    </w:p>
    <w:bookmarkEnd w:id="72"/>
    <w:p w14:paraId="755654CC"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t>Příloha č. 15    k vyhlášce č. 415/2012 Sb.</w:t>
      </w:r>
    </w:p>
    <w:p w14:paraId="0C000E00"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OBSAHOVÉ NÁLEŽITOSTI ROZPTYLOVÉ STUDIE</w:t>
      </w:r>
    </w:p>
    <w:p w14:paraId="7925BB16" w14:textId="77777777" w:rsidR="00A77B3E" w:rsidRPr="0030358C" w:rsidRDefault="00000000">
      <w:pPr>
        <w:pStyle w:val="66"/>
        <w:rPr>
          <w:rFonts w:ascii="Arial" w:hAnsi="Arial" w:cs="Arial"/>
          <w:strike/>
          <w:szCs w:val="22"/>
        </w:rPr>
      </w:pPr>
      <w:r w:rsidRPr="0030358C">
        <w:rPr>
          <w:rFonts w:ascii="Arial" w:hAnsi="Arial" w:cs="Arial"/>
          <w:strike/>
          <w:szCs w:val="22"/>
        </w:rPr>
        <w:t>1.    Zadání rozptylové studie</w:t>
      </w:r>
    </w:p>
    <w:p w14:paraId="378737D3" w14:textId="77777777" w:rsidR="00A77B3E" w:rsidRPr="0030358C" w:rsidRDefault="00000000">
      <w:pPr>
        <w:pStyle w:val="117"/>
        <w:rPr>
          <w:rFonts w:ascii="Arial" w:hAnsi="Arial" w:cs="Arial"/>
          <w:strike/>
          <w:szCs w:val="22"/>
        </w:rPr>
      </w:pPr>
      <w:r w:rsidRPr="0030358C">
        <w:rPr>
          <w:rFonts w:ascii="Arial" w:hAnsi="Arial" w:cs="Arial"/>
          <w:strike/>
          <w:szCs w:val="22"/>
        </w:rPr>
        <w:t>2.    Použitá metodika výpočtu</w:t>
      </w:r>
    </w:p>
    <w:p w14:paraId="597564CE" w14:textId="77777777" w:rsidR="00A77B3E" w:rsidRPr="0030358C" w:rsidRDefault="00000000">
      <w:pPr>
        <w:pStyle w:val="117"/>
        <w:rPr>
          <w:rFonts w:ascii="Arial" w:hAnsi="Arial" w:cs="Arial"/>
          <w:strike/>
          <w:szCs w:val="22"/>
        </w:rPr>
      </w:pPr>
      <w:r w:rsidRPr="0030358C">
        <w:rPr>
          <w:rFonts w:ascii="Arial" w:hAnsi="Arial" w:cs="Arial"/>
          <w:strike/>
          <w:szCs w:val="22"/>
        </w:rPr>
        <w:lastRenderedPageBreak/>
        <w:t>3.    Vstupní údaje</w:t>
      </w:r>
    </w:p>
    <w:p w14:paraId="07A913CC" w14:textId="77777777" w:rsidR="00A77B3E" w:rsidRPr="0030358C" w:rsidRDefault="00000000">
      <w:pPr>
        <w:pStyle w:val="67"/>
        <w:rPr>
          <w:rFonts w:ascii="Arial" w:hAnsi="Arial" w:cs="Arial"/>
          <w:strike/>
          <w:szCs w:val="22"/>
        </w:rPr>
      </w:pPr>
      <w:r w:rsidRPr="0030358C">
        <w:rPr>
          <w:rFonts w:ascii="Arial" w:hAnsi="Arial" w:cs="Arial"/>
          <w:strike/>
          <w:szCs w:val="22"/>
        </w:rPr>
        <w:t>3.1.    Umístění záměru</w:t>
      </w:r>
    </w:p>
    <w:p w14:paraId="7C692E3B"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t>Popis řešeného území, popis a mapa umístění zdroje ve vztahu k obytné a jiné zástavbě a reliéfu území. Mapové podklady jsou opatřeny legendou, měřítkem, identifikací souřadného systému a použitého digitálního výškopisu.</w:t>
      </w:r>
    </w:p>
    <w:p w14:paraId="6A1F8551" w14:textId="77777777" w:rsidR="00A77B3E" w:rsidRPr="0030358C" w:rsidRDefault="00000000">
      <w:pPr>
        <w:pStyle w:val="57"/>
        <w:rPr>
          <w:rFonts w:ascii="Arial" w:hAnsi="Arial" w:cs="Arial"/>
          <w:strike/>
          <w:szCs w:val="22"/>
        </w:rPr>
      </w:pPr>
      <w:r w:rsidRPr="0030358C">
        <w:rPr>
          <w:rFonts w:ascii="Arial" w:hAnsi="Arial" w:cs="Arial"/>
          <w:strike/>
          <w:szCs w:val="22"/>
        </w:rPr>
        <w:t>3.2.    Údaje o zdrojích</w:t>
      </w:r>
    </w:p>
    <w:p w14:paraId="564A663E" w14:textId="77777777" w:rsidR="00A77B3E" w:rsidRPr="0030358C" w:rsidRDefault="00000000">
      <w:pPr>
        <w:pStyle w:val="85"/>
        <w:rPr>
          <w:rFonts w:ascii="Arial" w:hAnsi="Arial" w:cs="Arial"/>
          <w:strike/>
          <w:sz w:val="22"/>
          <w:szCs w:val="22"/>
        </w:rPr>
      </w:pPr>
      <w:r w:rsidRPr="0030358C">
        <w:rPr>
          <w:rFonts w:ascii="Arial" w:hAnsi="Arial" w:cs="Arial"/>
          <w:strike/>
          <w:sz w:val="22"/>
          <w:szCs w:val="22"/>
        </w:rPr>
        <w:t>a)    Popis technologického vybavení zdroje, souvisejících technologií a počtu provozních hodin.</w:t>
      </w:r>
    </w:p>
    <w:p w14:paraId="7F412EFD" w14:textId="77777777" w:rsidR="00A77B3E" w:rsidRPr="0030358C" w:rsidRDefault="00000000">
      <w:pPr>
        <w:pStyle w:val="87"/>
        <w:rPr>
          <w:rFonts w:ascii="Arial" w:hAnsi="Arial" w:cs="Arial"/>
          <w:strike/>
          <w:sz w:val="22"/>
          <w:szCs w:val="22"/>
        </w:rPr>
      </w:pPr>
      <w:r w:rsidRPr="0030358C">
        <w:rPr>
          <w:rFonts w:ascii="Arial" w:hAnsi="Arial" w:cs="Arial"/>
          <w:strike/>
          <w:sz w:val="22"/>
          <w:szCs w:val="22"/>
        </w:rPr>
        <w:t>b)    Podkladové údaje o emisích (z posuzovaného zdroje i emise přímo související s tímto zdrojem a emise z technologicky propojených či navazujících záměrů bez ohledu na investora) a výduších, a to:</w:t>
      </w:r>
    </w:p>
    <w:p w14:paraId="02B49148" w14:textId="77777777" w:rsidR="00A77B3E" w:rsidRPr="0030358C" w:rsidRDefault="00000000">
      <w:pPr>
        <w:pStyle w:val="97"/>
        <w:rPr>
          <w:rFonts w:ascii="Arial" w:hAnsi="Arial" w:cs="Arial"/>
          <w:strike/>
          <w:szCs w:val="22"/>
        </w:rPr>
      </w:pPr>
      <w:r w:rsidRPr="0030358C">
        <w:rPr>
          <w:rFonts w:ascii="Arial" w:hAnsi="Arial" w:cs="Arial"/>
          <w:strike/>
          <w:szCs w:val="22"/>
        </w:rPr>
        <w:t>i.    emisní koncentrace nebo hmotnostní toky znečišťujících látek,</w:t>
      </w:r>
    </w:p>
    <w:p w14:paraId="643623E3" w14:textId="77777777" w:rsidR="00A77B3E" w:rsidRPr="0030358C" w:rsidRDefault="00000000">
      <w:pPr>
        <w:pStyle w:val="98"/>
        <w:rPr>
          <w:rFonts w:ascii="Arial" w:hAnsi="Arial" w:cs="Arial"/>
          <w:strike/>
          <w:szCs w:val="22"/>
        </w:rPr>
      </w:pPr>
      <w:r w:rsidRPr="0030358C">
        <w:rPr>
          <w:rFonts w:ascii="Arial" w:hAnsi="Arial" w:cs="Arial"/>
          <w:strike/>
          <w:szCs w:val="22"/>
        </w:rPr>
        <w:t>ii.    průtoky odpadních vzdušin, jejich teplota a rychlost ve vyústění,</w:t>
      </w:r>
    </w:p>
    <w:p w14:paraId="0C0BA62B" w14:textId="77777777" w:rsidR="00A77B3E" w:rsidRPr="0030358C" w:rsidRDefault="00000000">
      <w:pPr>
        <w:pStyle w:val="98"/>
        <w:rPr>
          <w:rFonts w:ascii="Arial" w:hAnsi="Arial" w:cs="Arial"/>
          <w:strike/>
          <w:szCs w:val="22"/>
        </w:rPr>
      </w:pPr>
      <w:r w:rsidRPr="0030358C">
        <w:rPr>
          <w:rFonts w:ascii="Arial" w:hAnsi="Arial" w:cs="Arial"/>
          <w:strike/>
          <w:szCs w:val="22"/>
        </w:rPr>
        <w:t>iii.    celkové roční emisní bilance látek; pro výpočet výchozího stavu se použijí emise vykázané v souhrnné provozní evidenci; pro roční emisní bilanci se použije pětiletý průměr vykázaných dat, pokud jsou tato data dostupná; pro výpočet emisí nového zdroje se použije příslušný emisní limit nebo emisní faktor; použít lze také nižší emisní koncentraci, pokud bude zajištěno plnění této emisní koncentrace technickými podmínkami provozu stacionárního zdroje uloženými v povolení provozu,</w:t>
      </w:r>
    </w:p>
    <w:p w14:paraId="35F27CEA" w14:textId="77777777" w:rsidR="00A77B3E" w:rsidRPr="0030358C" w:rsidRDefault="00000000">
      <w:pPr>
        <w:pStyle w:val="99"/>
        <w:rPr>
          <w:rFonts w:ascii="Arial" w:hAnsi="Arial" w:cs="Arial"/>
          <w:strike/>
          <w:szCs w:val="22"/>
        </w:rPr>
      </w:pPr>
      <w:r w:rsidRPr="0030358C">
        <w:rPr>
          <w:rFonts w:ascii="Arial" w:hAnsi="Arial" w:cs="Arial"/>
          <w:strike/>
          <w:szCs w:val="22"/>
        </w:rPr>
        <w:t>iv.    specifikace výduchů (konstrukce, výška, průměr).</w:t>
      </w:r>
    </w:p>
    <w:p w14:paraId="32AEE6D0" w14:textId="77777777" w:rsidR="00A77B3E" w:rsidRPr="0030358C" w:rsidRDefault="00000000">
      <w:pPr>
        <w:pStyle w:val="120"/>
        <w:rPr>
          <w:rFonts w:ascii="Arial" w:hAnsi="Arial" w:cs="Arial"/>
          <w:strike/>
          <w:sz w:val="22"/>
          <w:szCs w:val="22"/>
        </w:rPr>
      </w:pPr>
      <w:r w:rsidRPr="0030358C">
        <w:rPr>
          <w:rFonts w:ascii="Arial" w:hAnsi="Arial" w:cs="Arial"/>
          <w:strike/>
          <w:sz w:val="22"/>
          <w:szCs w:val="22"/>
        </w:rPr>
        <w:t>Množství spalin nebo odpadních vzdušin je doloženo technickou dokumentací zdroje nebo přiloženým výpočtem včetně vysvětlení postupu výpočtu.</w:t>
      </w:r>
    </w:p>
    <w:p w14:paraId="7AD9902D" w14:textId="77777777" w:rsidR="00A77B3E" w:rsidRPr="0030358C" w:rsidRDefault="00000000">
      <w:pPr>
        <w:pStyle w:val="96"/>
        <w:rPr>
          <w:rFonts w:ascii="Arial" w:hAnsi="Arial" w:cs="Arial"/>
          <w:strike/>
          <w:sz w:val="22"/>
          <w:szCs w:val="22"/>
        </w:rPr>
      </w:pPr>
      <w:r w:rsidRPr="0030358C">
        <w:rPr>
          <w:rFonts w:ascii="Arial" w:hAnsi="Arial" w:cs="Arial"/>
          <w:strike/>
          <w:sz w:val="22"/>
          <w:szCs w:val="22"/>
        </w:rPr>
        <w:t>c)    V případě emisí z mobilních zdrojů jsou uvedeny rovněž údaje o intenzitě dopravy (denní a maximální hodinová intenzita; údaje o pojezdech vozidel) a složení dle kategorií a emisních tříd vozidel.</w:t>
      </w:r>
    </w:p>
    <w:p w14:paraId="077D0DA8" w14:textId="77777777" w:rsidR="00A77B3E" w:rsidRPr="0030358C" w:rsidRDefault="00000000">
      <w:pPr>
        <w:pStyle w:val="57"/>
        <w:rPr>
          <w:rFonts w:ascii="Arial" w:hAnsi="Arial" w:cs="Arial"/>
          <w:strike/>
          <w:szCs w:val="22"/>
        </w:rPr>
      </w:pPr>
      <w:r w:rsidRPr="0030358C">
        <w:rPr>
          <w:rFonts w:ascii="Arial" w:hAnsi="Arial" w:cs="Arial"/>
          <w:strike/>
          <w:szCs w:val="22"/>
        </w:rPr>
        <w:t>3.3.    Meteorologické podklady</w:t>
      </w:r>
    </w:p>
    <w:p w14:paraId="63818A85"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t>Je uvedena větrná růžice odpovídající dané lokalitě, a to jak graficky, tak tabelárně s četností výskytu jednotlivých tříd stability a tříd rychlosti větru vzhledem k rozptylovým podmínkám v atmosféře a období, pro které byla zpracována. V případě volby větrné růžice jiné lokality je nutno uvést důvody a popsat případný vliv na přesnost výsledků.</w:t>
      </w:r>
    </w:p>
    <w:p w14:paraId="7BABFBC3" w14:textId="77777777" w:rsidR="00A77B3E" w:rsidRPr="0030358C" w:rsidRDefault="00000000">
      <w:pPr>
        <w:pStyle w:val="57"/>
        <w:rPr>
          <w:rFonts w:ascii="Arial" w:hAnsi="Arial" w:cs="Arial"/>
          <w:strike/>
          <w:szCs w:val="22"/>
        </w:rPr>
      </w:pPr>
      <w:r w:rsidRPr="0030358C">
        <w:rPr>
          <w:rFonts w:ascii="Arial" w:hAnsi="Arial" w:cs="Arial"/>
          <w:strike/>
          <w:szCs w:val="22"/>
        </w:rPr>
        <w:t>3.4.    Popis referenčních bodů</w:t>
      </w:r>
    </w:p>
    <w:p w14:paraId="0FE653D1" w14:textId="77777777" w:rsidR="00A77B3E" w:rsidRPr="0030358C" w:rsidRDefault="00000000">
      <w:pPr>
        <w:pStyle w:val="60"/>
        <w:rPr>
          <w:rFonts w:ascii="Arial" w:hAnsi="Arial" w:cs="Arial"/>
          <w:strike/>
          <w:sz w:val="22"/>
          <w:szCs w:val="22"/>
        </w:rPr>
      </w:pPr>
      <w:r w:rsidRPr="0030358C">
        <w:rPr>
          <w:rFonts w:ascii="Arial" w:hAnsi="Arial" w:cs="Arial"/>
          <w:strike/>
          <w:sz w:val="22"/>
          <w:szCs w:val="22"/>
        </w:rPr>
        <w:t>Krok sítě výpočtových bodů je volen tak, aby byly vyhodnoceny maximální úrovně znečištění v místě dotyku kouřové vlečky s terénem resp. v místě dosažení výpočtové (respirační) výšky. Volba velikosti modelovaného území zohledňuje i umístění zdroje a výškový profil území.</w:t>
      </w:r>
    </w:p>
    <w:p w14:paraId="122A22AA" w14:textId="77777777" w:rsidR="00A77B3E" w:rsidRPr="0030358C" w:rsidRDefault="00000000">
      <w:pPr>
        <w:pStyle w:val="88"/>
        <w:rPr>
          <w:rFonts w:ascii="Arial" w:hAnsi="Arial" w:cs="Arial"/>
          <w:strike/>
          <w:sz w:val="22"/>
          <w:szCs w:val="22"/>
        </w:rPr>
      </w:pPr>
      <w:r w:rsidRPr="0030358C">
        <w:rPr>
          <w:rFonts w:ascii="Arial" w:hAnsi="Arial" w:cs="Arial"/>
          <w:strike/>
          <w:sz w:val="22"/>
          <w:szCs w:val="22"/>
        </w:rPr>
        <w:t>Zohledněna musí být místa s nejvyšší koncentrací obyvatel v zájmovém území v podobě vybraných specifických referenčních bodů, jedná se zejména o nejbližší obytnou zástavbu, vzdělávací a zdravotnická zařízení apod.</w:t>
      </w:r>
    </w:p>
    <w:p w14:paraId="75808DE6" w14:textId="77777777" w:rsidR="00A77B3E" w:rsidRPr="0030358C" w:rsidRDefault="00000000">
      <w:pPr>
        <w:pStyle w:val="72"/>
        <w:rPr>
          <w:rFonts w:ascii="Arial" w:hAnsi="Arial" w:cs="Arial"/>
          <w:strike/>
          <w:sz w:val="22"/>
          <w:szCs w:val="22"/>
        </w:rPr>
      </w:pPr>
      <w:r w:rsidRPr="0030358C">
        <w:rPr>
          <w:rFonts w:ascii="Arial" w:hAnsi="Arial" w:cs="Arial"/>
          <w:strike/>
          <w:sz w:val="22"/>
          <w:szCs w:val="22"/>
        </w:rPr>
        <w:t>Výpočtová síť a vybrané specifické referenční body jsou zobrazeny v mapě tak, aby bylo zřejmé jejich rozložení s ohledem na obytnou zástavbu v okolí zdroje nebo v zájmovém území.</w:t>
      </w:r>
    </w:p>
    <w:p w14:paraId="5FD0AEF5" w14:textId="77777777" w:rsidR="00A77B3E" w:rsidRPr="0030358C" w:rsidRDefault="00000000">
      <w:pPr>
        <w:pStyle w:val="57"/>
        <w:rPr>
          <w:rFonts w:ascii="Arial" w:hAnsi="Arial" w:cs="Arial"/>
          <w:strike/>
          <w:szCs w:val="22"/>
        </w:rPr>
      </w:pPr>
      <w:r w:rsidRPr="0030358C">
        <w:rPr>
          <w:rFonts w:ascii="Arial" w:hAnsi="Arial" w:cs="Arial"/>
          <w:strike/>
          <w:szCs w:val="22"/>
        </w:rPr>
        <w:t>3.5.    Znečišťující látky a příslušné imisní limity</w:t>
      </w:r>
    </w:p>
    <w:p w14:paraId="63D4D753"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t>Seznam relevantních znečišťujících látek včetně typu počítaných koncentrací (hodinové, denní koncentrace, roční průměrná koncentrace, apod.) a příslušných imisních limitů.</w:t>
      </w:r>
    </w:p>
    <w:p w14:paraId="775581B0" w14:textId="77777777" w:rsidR="00A77B3E" w:rsidRPr="0030358C" w:rsidRDefault="00000000">
      <w:pPr>
        <w:pStyle w:val="57"/>
        <w:rPr>
          <w:rFonts w:ascii="Arial" w:hAnsi="Arial" w:cs="Arial"/>
          <w:strike/>
          <w:szCs w:val="22"/>
        </w:rPr>
      </w:pPr>
      <w:r w:rsidRPr="0030358C">
        <w:rPr>
          <w:rFonts w:ascii="Arial" w:hAnsi="Arial" w:cs="Arial"/>
          <w:strike/>
          <w:szCs w:val="22"/>
        </w:rPr>
        <w:lastRenderedPageBreak/>
        <w:t>3.6.    Hodnocení úrovní znečištění v předmětné lokalitě</w:t>
      </w:r>
    </w:p>
    <w:p w14:paraId="265D246A" w14:textId="77777777" w:rsidR="00A77B3E" w:rsidRPr="0030358C" w:rsidRDefault="00000000">
      <w:pPr>
        <w:pStyle w:val="59"/>
        <w:rPr>
          <w:rFonts w:ascii="Arial" w:hAnsi="Arial" w:cs="Arial"/>
          <w:strike/>
          <w:sz w:val="22"/>
          <w:szCs w:val="22"/>
        </w:rPr>
      </w:pPr>
      <w:r w:rsidRPr="0030358C">
        <w:rPr>
          <w:rFonts w:ascii="Arial" w:hAnsi="Arial" w:cs="Arial"/>
          <w:strike/>
          <w:sz w:val="22"/>
          <w:szCs w:val="22"/>
        </w:rPr>
        <w:t>Při hodnocení stávající úrovně znečištění v předmětné lokalitě se vychází z map úrovní znečištění konstruovaných v síti 1x1 km, ve formátu shapefile (.shp ESRI). Tyto mapy zveřejňuje ministerstvo na internetových stránkách. Tyto mapy obsahují v každém čtverci hodnotu klouzavého průměru koncentrace pro všechny znečišťující látky za předchozích 5 kalendářních let, které mají stanoven imisní limit. Dále jsou uvedeny koncentrace znečišťujících látek naměřených na nejbližších stanicích imisního monitoringu.</w:t>
      </w:r>
    </w:p>
    <w:p w14:paraId="5E4ACA80" w14:textId="77777777" w:rsidR="00A77B3E" w:rsidRPr="0030358C" w:rsidRDefault="00000000">
      <w:pPr>
        <w:pStyle w:val="46"/>
        <w:rPr>
          <w:rFonts w:ascii="Arial" w:hAnsi="Arial" w:cs="Arial"/>
          <w:strike/>
          <w:szCs w:val="22"/>
        </w:rPr>
      </w:pPr>
      <w:r w:rsidRPr="0030358C">
        <w:rPr>
          <w:rFonts w:ascii="Arial" w:hAnsi="Arial" w:cs="Arial"/>
          <w:strike/>
          <w:szCs w:val="22"/>
        </w:rPr>
        <w:t>4.    Výsledky rozptylové studie</w:t>
      </w:r>
    </w:p>
    <w:p w14:paraId="76478217"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Výsledky rozptylové studie jsou uvedeny</w:t>
      </w:r>
    </w:p>
    <w:p w14:paraId="30569448" w14:textId="77777777" w:rsidR="00A77B3E" w:rsidRPr="0030358C" w:rsidRDefault="00000000">
      <w:pPr>
        <w:pStyle w:val="63"/>
        <w:rPr>
          <w:rFonts w:ascii="Arial" w:hAnsi="Arial" w:cs="Arial"/>
          <w:strike/>
          <w:sz w:val="22"/>
          <w:szCs w:val="22"/>
        </w:rPr>
      </w:pPr>
      <w:r w:rsidRPr="0030358C">
        <w:rPr>
          <w:rFonts w:ascii="Arial" w:hAnsi="Arial" w:cs="Arial"/>
          <w:strike/>
          <w:sz w:val="22"/>
          <w:szCs w:val="22"/>
        </w:rPr>
        <w:t>a)    ve stručném komentáři hodnotícím budoucí úrovně znečištění ovzduší a předpoklad plnění imisních limitů,</w:t>
      </w:r>
    </w:p>
    <w:p w14:paraId="0483659A" w14:textId="77777777" w:rsidR="00A77B3E" w:rsidRPr="0030358C" w:rsidRDefault="00000000">
      <w:pPr>
        <w:pStyle w:val="64"/>
        <w:rPr>
          <w:rFonts w:ascii="Arial" w:hAnsi="Arial" w:cs="Arial"/>
          <w:strike/>
          <w:sz w:val="22"/>
          <w:szCs w:val="22"/>
        </w:rPr>
      </w:pPr>
      <w:r w:rsidRPr="0030358C">
        <w:rPr>
          <w:rFonts w:ascii="Arial" w:hAnsi="Arial" w:cs="Arial"/>
          <w:strike/>
          <w:sz w:val="22"/>
          <w:szCs w:val="22"/>
        </w:rPr>
        <w:t>b)    v tabulkové formě (v případě výpočtu pro jednotlivé vybrané referenční body; pokud je výpočet prováděn v pravidelné síti referenčních bodů, lze výsledky v tabulkové formě přiložit k rozptylové studii na CD, zde je nutné číslo referenčního bodu doplnit jeho souřadnicemi),</w:t>
      </w:r>
    </w:p>
    <w:p w14:paraId="3FDD7773" w14:textId="77777777" w:rsidR="00A77B3E" w:rsidRPr="0030358C" w:rsidRDefault="00000000">
      <w:pPr>
        <w:pStyle w:val="65"/>
        <w:rPr>
          <w:rFonts w:ascii="Arial" w:hAnsi="Arial" w:cs="Arial"/>
          <w:strike/>
          <w:sz w:val="22"/>
          <w:szCs w:val="22"/>
        </w:rPr>
      </w:pPr>
      <w:r w:rsidRPr="0030358C">
        <w:rPr>
          <w:rFonts w:ascii="Arial" w:hAnsi="Arial" w:cs="Arial"/>
          <w:strike/>
          <w:sz w:val="22"/>
          <w:szCs w:val="22"/>
        </w:rPr>
        <w:t>c)    kartograficky (s uvedením umístění zástavby, mapy jsou v definovaném měřítku).</w:t>
      </w:r>
    </w:p>
    <w:p w14:paraId="2E3C3A97" w14:textId="77777777" w:rsidR="00A77B3E" w:rsidRPr="0030358C" w:rsidRDefault="00000000">
      <w:pPr>
        <w:pStyle w:val="46"/>
        <w:rPr>
          <w:rFonts w:ascii="Arial" w:hAnsi="Arial" w:cs="Arial"/>
          <w:strike/>
          <w:szCs w:val="22"/>
        </w:rPr>
      </w:pPr>
      <w:r w:rsidRPr="0030358C">
        <w:rPr>
          <w:rFonts w:ascii="Arial" w:hAnsi="Arial" w:cs="Arial"/>
          <w:strike/>
          <w:szCs w:val="22"/>
        </w:rPr>
        <w:t>5.    Návrh kompenzačních opatření</w:t>
      </w:r>
    </w:p>
    <w:p w14:paraId="57A07517" w14:textId="77777777" w:rsidR="00A77B3E" w:rsidRPr="0030358C" w:rsidRDefault="00000000">
      <w:pPr>
        <w:pStyle w:val="54"/>
        <w:rPr>
          <w:rFonts w:ascii="Arial" w:hAnsi="Arial" w:cs="Arial"/>
          <w:strike/>
          <w:sz w:val="22"/>
          <w:szCs w:val="22"/>
        </w:rPr>
      </w:pPr>
      <w:r w:rsidRPr="0030358C">
        <w:rPr>
          <w:rFonts w:ascii="Arial" w:hAnsi="Arial" w:cs="Arial"/>
          <w:strike/>
          <w:sz w:val="22"/>
          <w:szCs w:val="22"/>
        </w:rPr>
        <w:t>Přesná identifikace stacionárního zdroje nebo pozemní komunikace, pro které budou prováděna kompenzační opatření.</w:t>
      </w:r>
    </w:p>
    <w:p w14:paraId="41B8E313" w14:textId="77777777" w:rsidR="00A77B3E" w:rsidRPr="0030358C" w:rsidRDefault="00000000">
      <w:pPr>
        <w:pStyle w:val="55"/>
        <w:rPr>
          <w:rFonts w:ascii="Arial" w:hAnsi="Arial" w:cs="Arial"/>
          <w:strike/>
          <w:sz w:val="22"/>
          <w:szCs w:val="22"/>
        </w:rPr>
      </w:pPr>
      <w:r w:rsidRPr="0030358C">
        <w:rPr>
          <w:rFonts w:ascii="Arial" w:hAnsi="Arial" w:cs="Arial"/>
          <w:strike/>
          <w:sz w:val="22"/>
          <w:szCs w:val="22"/>
        </w:rPr>
        <w:t>Podrobný popis kompenzačních opatření s termínem jejich realizace, v případě opakovaně uplatňovaných opatření s časovým plánem. Jsou popsána rizika realizace kompenzačních opatření a způsoby minimalizace těchto rizik.</w:t>
      </w:r>
    </w:p>
    <w:p w14:paraId="6CEC2312" w14:textId="77777777" w:rsidR="00A77B3E" w:rsidRPr="0030358C" w:rsidRDefault="00000000">
      <w:pPr>
        <w:pStyle w:val="56"/>
        <w:rPr>
          <w:rFonts w:ascii="Arial" w:hAnsi="Arial" w:cs="Arial"/>
          <w:strike/>
          <w:sz w:val="22"/>
          <w:szCs w:val="22"/>
        </w:rPr>
      </w:pPr>
      <w:r w:rsidRPr="0030358C">
        <w:rPr>
          <w:rFonts w:ascii="Arial" w:hAnsi="Arial" w:cs="Arial"/>
          <w:strike/>
          <w:sz w:val="22"/>
          <w:szCs w:val="22"/>
        </w:rPr>
        <w:t xml:space="preserve">Je proveden výpočet podle </w:t>
      </w:r>
      <w:hyperlink w:history="1">
        <w:r w:rsidR="00A77B3E" w:rsidRPr="0030358C">
          <w:rPr>
            <w:rFonts w:ascii="Arial" w:hAnsi="Arial" w:cs="Arial"/>
            <w:strike/>
            <w:sz w:val="22"/>
            <w:szCs w:val="22"/>
          </w:rPr>
          <w:t>§ 27</w:t>
        </w:r>
      </w:hyperlink>
      <w:r w:rsidRPr="0030358C">
        <w:rPr>
          <w:rFonts w:ascii="Arial" w:hAnsi="Arial" w:cs="Arial"/>
          <w:strike/>
          <w:sz w:val="22"/>
          <w:szCs w:val="22"/>
        </w:rPr>
        <w:t xml:space="preserve"> dokládající dostatečnost navržených kompenzačních opatření.</w:t>
      </w:r>
    </w:p>
    <w:p w14:paraId="3A0A5B35" w14:textId="77777777" w:rsidR="00A77B3E" w:rsidRPr="0030358C" w:rsidRDefault="00000000">
      <w:pPr>
        <w:pStyle w:val="46"/>
        <w:rPr>
          <w:rFonts w:ascii="Arial" w:hAnsi="Arial" w:cs="Arial"/>
          <w:strike/>
          <w:szCs w:val="22"/>
        </w:rPr>
      </w:pPr>
      <w:r w:rsidRPr="0030358C">
        <w:rPr>
          <w:rFonts w:ascii="Arial" w:hAnsi="Arial" w:cs="Arial"/>
          <w:strike/>
          <w:szCs w:val="22"/>
        </w:rPr>
        <w:t>6.    Závěrečné hodnocení</w:t>
      </w:r>
    </w:p>
    <w:p w14:paraId="3A59C8DC" w14:textId="77777777" w:rsidR="00A77B3E" w:rsidRPr="0030358C" w:rsidRDefault="00000000">
      <w:pPr>
        <w:pStyle w:val="47"/>
        <w:rPr>
          <w:rFonts w:ascii="Arial" w:hAnsi="Arial" w:cs="Arial"/>
          <w:strike/>
          <w:sz w:val="22"/>
          <w:szCs w:val="22"/>
        </w:rPr>
      </w:pPr>
      <w:r w:rsidRPr="0030358C">
        <w:rPr>
          <w:rFonts w:ascii="Arial" w:hAnsi="Arial" w:cs="Arial"/>
          <w:strike/>
          <w:sz w:val="22"/>
          <w:szCs w:val="22"/>
        </w:rPr>
        <w:t>Kromě vyhodnocení vypočtených příspěvků k úrovni znečištění je komentováno také plnění imisních limitů při zohlednění stávající úrovně znečištění a příspěvku nového stacionárního zdroje. Zároveň jsou komentována navržená kompenzační opatření a jejich přínos ke kvalitě ovzduší v dané oblasti.</w:t>
      </w:r>
    </w:p>
    <w:p w14:paraId="217B7A23" w14:textId="77777777" w:rsidR="00A77B3E" w:rsidRPr="0030358C" w:rsidRDefault="00000000">
      <w:pPr>
        <w:pStyle w:val="46"/>
        <w:rPr>
          <w:rFonts w:ascii="Arial" w:hAnsi="Arial" w:cs="Arial"/>
          <w:strike/>
          <w:szCs w:val="22"/>
        </w:rPr>
      </w:pPr>
      <w:r w:rsidRPr="0030358C">
        <w:rPr>
          <w:rFonts w:ascii="Arial" w:hAnsi="Arial" w:cs="Arial"/>
          <w:strike/>
          <w:szCs w:val="22"/>
        </w:rPr>
        <w:t>7.    Seznam použitých podkladů</w:t>
      </w:r>
    </w:p>
    <w:p w14:paraId="19095EDE" w14:textId="77777777" w:rsidR="00530164" w:rsidRPr="0030358C" w:rsidRDefault="00530164">
      <w:pPr>
        <w:pStyle w:val="46"/>
        <w:rPr>
          <w:rFonts w:ascii="Arial" w:hAnsi="Arial" w:cs="Arial"/>
          <w:strike/>
          <w:szCs w:val="22"/>
        </w:rPr>
      </w:pPr>
    </w:p>
    <w:p w14:paraId="17892F6F" w14:textId="77777777" w:rsidR="00530164" w:rsidRPr="0030358C" w:rsidRDefault="00000000" w:rsidP="00530164">
      <w:pPr>
        <w:pStyle w:val="46"/>
        <w:jc w:val="right"/>
        <w:rPr>
          <w:rFonts w:ascii="Arial" w:hAnsi="Arial" w:cs="Arial"/>
          <w:b/>
          <w:bCs/>
          <w:szCs w:val="22"/>
        </w:rPr>
      </w:pPr>
      <w:bookmarkStart w:id="74" w:name="_Hlk181607181"/>
      <w:r w:rsidRPr="0030358C">
        <w:rPr>
          <w:rFonts w:ascii="Arial" w:hAnsi="Arial" w:cs="Arial"/>
          <w:b/>
          <w:bCs/>
          <w:szCs w:val="22"/>
        </w:rPr>
        <w:t>Příloha č. 15 k vyhlášce č. 415/2012 Sb.</w:t>
      </w:r>
    </w:p>
    <w:p w14:paraId="04ED856D" w14:textId="77777777" w:rsidR="005B26C9" w:rsidRPr="0030358C" w:rsidRDefault="00000000" w:rsidP="005B26C9">
      <w:pPr>
        <w:keepNext/>
        <w:keepLines/>
        <w:pBdr>
          <w:top w:val="nil"/>
          <w:left w:val="nil"/>
          <w:bottom w:val="nil"/>
          <w:right w:val="nil"/>
        </w:pBdr>
        <w:spacing w:before="320" w:after="200" w:line="259" w:lineRule="auto"/>
        <w:jc w:val="center"/>
        <w:outlineLvl w:val="2"/>
        <w:rPr>
          <w:rFonts w:ascii="Arial" w:eastAsia="Arial" w:hAnsi="Arial" w:cs="Arial"/>
          <w:b/>
          <w:bCs/>
          <w:sz w:val="22"/>
          <w:szCs w:val="22"/>
        </w:rPr>
      </w:pPr>
      <w:r w:rsidRPr="0030358C">
        <w:rPr>
          <w:rFonts w:ascii="Arial" w:eastAsia="Calibri" w:hAnsi="Arial" w:cs="Arial"/>
          <w:b/>
          <w:bCs/>
          <w:color w:val="000000"/>
          <w:sz w:val="22"/>
          <w:szCs w:val="22"/>
        </w:rPr>
        <w:t>Obsahové náležitosti rozptylové studie</w:t>
      </w:r>
    </w:p>
    <w:p w14:paraId="272460BE" w14:textId="77777777" w:rsidR="008150D5" w:rsidRPr="0030358C" w:rsidRDefault="00000000" w:rsidP="008150D5">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Obecně:</w:t>
      </w:r>
    </w:p>
    <w:p w14:paraId="39A03111" w14:textId="77777777" w:rsidR="008150D5" w:rsidRPr="0030358C" w:rsidRDefault="00000000" w:rsidP="008150D5">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Rozptylová studie musí obsahovat všechny podklady, které umožní posoudit její správnost a provést kontrolní přepočet. Jedná se o parametry zdrojů vstupující do rozptylového modelu včetně popisu jejich odvození z podkladových materiálů. Tam, kde to z důvodu vysokého počtu zdrojů není možné (např. mobilní zdroje na dopravních komunikacích), musí být uveden podrobný postup výpočtu, který jej umožní zreprodukovat.</w:t>
      </w:r>
    </w:p>
    <w:p w14:paraId="51871D0F"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1. Zadání rozptylové studie</w:t>
      </w:r>
    </w:p>
    <w:p w14:paraId="4772B804"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2. Použitá metodika výpočtu</w:t>
      </w:r>
    </w:p>
    <w:p w14:paraId="170A5D0E"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3. Vstupní údaje</w:t>
      </w:r>
    </w:p>
    <w:p w14:paraId="03A08F46"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lastRenderedPageBreak/>
        <w:t>3.1. Umístění záměru</w:t>
      </w:r>
    </w:p>
    <w:p w14:paraId="41A511D9"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Popis řešeného území, popis a mapa umístění zdroje ve vztahu k obytné a jiné zástavbě a reliéfu území. Mapové podklady jsou opatřeny legendou, měřítkem, identifikací souřadného systému a použitého digitálního výškopisu.</w:t>
      </w:r>
    </w:p>
    <w:p w14:paraId="74AA8C1E"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3.2. Údaje o zdrojích</w:t>
      </w:r>
    </w:p>
    <w:p w14:paraId="4DCE5661"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a) Popis technologického vybavení zdroje a souvisejících technologií s ohledem na emise znečišťujících látek do ovzduší a počtu provozních hodin za rok.</w:t>
      </w:r>
    </w:p>
    <w:p w14:paraId="7FD4AE43"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b) Podkladové údaje o emisích a výduších, a to jak u posuzovaného zdroje, tak u technologicky propojených či navazujících záměrů (i jiných provozovatelů), pokud jsou situovány v bezprostředním sousedství posuzovaného záměru a dochází u nich z důvodu realizace posuzovaného záměru ke změně emisí, a to:</w:t>
      </w:r>
    </w:p>
    <w:p w14:paraId="1D2E372E"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i. emisní koncentrace nebo hmotnostní toky znečišťujících látek,</w:t>
      </w:r>
    </w:p>
    <w:p w14:paraId="1107967D"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ii. průtoky odpadních vzdušin, jejich teplota a rychlost ve vyústění,</w:t>
      </w:r>
      <w:r w:rsidR="00B4223D" w:rsidRPr="0030358C">
        <w:rPr>
          <w:rFonts w:ascii="Arial" w:eastAsia="Calibri" w:hAnsi="Arial" w:cs="Arial"/>
          <w:b/>
          <w:bCs/>
          <w:iCs/>
          <w:color w:val="000000"/>
          <w:sz w:val="22"/>
          <w:szCs w:val="22"/>
        </w:rPr>
        <w:t xml:space="preserve"> </w:t>
      </w:r>
      <w:r w:rsidRPr="0030358C">
        <w:rPr>
          <w:rFonts w:ascii="Arial" w:eastAsia="Calibri" w:hAnsi="Arial" w:cs="Arial"/>
          <w:b/>
          <w:bCs/>
          <w:iCs/>
          <w:color w:val="000000"/>
          <w:sz w:val="22"/>
          <w:szCs w:val="22"/>
        </w:rPr>
        <w:t>případně objemový tok</w:t>
      </w:r>
    </w:p>
    <w:p w14:paraId="6B24E46B"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iii. celkové roční emisní bilance látek; pro výpočet výchozího stavu se použijí emise vykázané v souhrnné provozní evidenci; pro roční emisní bilanci se použije pětiletý průměr vykázaných dat, pokud jsou tato data dostupná; pro výpočet emisí nového zdroje se použije příslušný emisní limit nebo emisní faktor; použít lze také nižší emisní koncentraci, pokud bude zajištěno plnění této emisní koncentrace technickými podmínkami provozu stacionárního zdroje uloženými v povolení provozu,</w:t>
      </w:r>
    </w:p>
    <w:p w14:paraId="015BC0C1"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iv. specifikace výduchů (konstrukce, výška, průměr).</w:t>
      </w:r>
    </w:p>
    <w:p w14:paraId="37FE6489"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Množství spalin nebo odpadních vzdušin je doloženo technickou dokumentací zdroje nebo přiloženým výpočtem včetně vysvětlení postupu výpočtu.</w:t>
      </w:r>
    </w:p>
    <w:p w14:paraId="3563ACFE"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c) V případě emisí z mobilních zdrojů jsou uvedeny rovněž údaje o intenzitě dopravy (denní a maximální hodinová intenzita; údaje o pojezdech vozidel),</w:t>
      </w:r>
      <w:r w:rsidR="005E2B56" w:rsidRPr="0030358C">
        <w:rPr>
          <w:rFonts w:ascii="Arial" w:eastAsia="Calibri" w:hAnsi="Arial" w:cs="Arial"/>
          <w:b/>
          <w:bCs/>
          <w:iCs/>
          <w:color w:val="000000"/>
          <w:sz w:val="22"/>
          <w:szCs w:val="22"/>
        </w:rPr>
        <w:t xml:space="preserve"> </w:t>
      </w:r>
      <w:r w:rsidRPr="0030358C">
        <w:rPr>
          <w:rFonts w:ascii="Arial" w:eastAsia="Calibri" w:hAnsi="Arial" w:cs="Arial"/>
          <w:b/>
          <w:bCs/>
          <w:iCs/>
          <w:color w:val="000000"/>
          <w:sz w:val="22"/>
          <w:szCs w:val="22"/>
        </w:rPr>
        <w:t>složení dle kategorií a emisních tříd vozidel, rychlosti a plynulosti dopravy.</w:t>
      </w:r>
    </w:p>
    <w:p w14:paraId="4BF06DAE"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3.3. Meteorologické podklady</w:t>
      </w:r>
    </w:p>
    <w:p w14:paraId="61AC8B25"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Meteorologická data musí být reprezentativní pro danou lokalitu a z důvodu postihnutí dlouhodobého charakteru meteorologických podmínek musí pokrývat nejméně 10 let z 15letého období předcházejícího zpracování rozptylové studie. Použitá meteorologická data jsou souhrnně prezentována ve formě stabilitně a rychlostně členěné větrné růžice, a to jak v grafické podobě, tak v tabelární podobě, přičemž tabelárně jsou uvedeny četnosti všech kombinací tříd stability a rychlosti větru, se kterými použitý model pracuje. Je nezbytné uvést, jaké výšce nad zemí tato větrná růžice odpovídá a zdroj (zpracovatele) meteorologických dat.</w:t>
      </w:r>
    </w:p>
    <w:p w14:paraId="3362E99A"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3.4. Popis referenčních bodů</w:t>
      </w:r>
    </w:p>
    <w:p w14:paraId="74A886A5"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 xml:space="preserve">Krok sítě výpočtových bodů je volen tak, aby byly vyhodnoceny maximální úrovně znečištění v místě dotyku kouřové vlečky s </w:t>
      </w:r>
      <w:r w:rsidR="00C504BB" w:rsidRPr="0030358C">
        <w:rPr>
          <w:rFonts w:ascii="Arial" w:eastAsia="Calibri" w:hAnsi="Arial" w:cs="Arial"/>
          <w:b/>
          <w:bCs/>
          <w:iCs/>
          <w:color w:val="000000"/>
          <w:sz w:val="22"/>
          <w:szCs w:val="22"/>
        </w:rPr>
        <w:t>terénem,</w:t>
      </w:r>
      <w:r w:rsidRPr="0030358C">
        <w:rPr>
          <w:rFonts w:ascii="Arial" w:eastAsia="Calibri" w:hAnsi="Arial" w:cs="Arial"/>
          <w:b/>
          <w:bCs/>
          <w:iCs/>
          <w:color w:val="000000"/>
          <w:sz w:val="22"/>
          <w:szCs w:val="22"/>
        </w:rPr>
        <w:t xml:space="preserve"> resp. v místě dosažení výpočtové (respirační) výšky. Volba velikosti modelovaného území zohledňuje i umístění zdroje a výškový profil území.</w:t>
      </w:r>
    </w:p>
    <w:p w14:paraId="00424FA5"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Zohledněna musí být místa s nejvyšší koncentrací obyvatel v zájmovém území v podobě vybraných specifických referenčních bodů</w:t>
      </w:r>
      <w:r w:rsidR="005E2B56" w:rsidRPr="0030358C">
        <w:rPr>
          <w:rFonts w:ascii="Arial" w:eastAsia="Calibri" w:hAnsi="Arial" w:cs="Arial"/>
          <w:b/>
          <w:bCs/>
          <w:iCs/>
          <w:color w:val="000000"/>
          <w:sz w:val="22"/>
          <w:szCs w:val="22"/>
        </w:rPr>
        <w:t>.</w:t>
      </w:r>
      <w:r w:rsidRPr="0030358C">
        <w:rPr>
          <w:rFonts w:ascii="Arial" w:eastAsia="Calibri" w:hAnsi="Arial" w:cs="Arial"/>
          <w:b/>
          <w:bCs/>
          <w:iCs/>
          <w:color w:val="000000"/>
          <w:sz w:val="22"/>
          <w:szCs w:val="22"/>
        </w:rPr>
        <w:t xml:space="preserve"> </w:t>
      </w:r>
      <w:r w:rsidR="005E2B56" w:rsidRPr="0030358C">
        <w:rPr>
          <w:rFonts w:ascii="Arial" w:eastAsia="Calibri" w:hAnsi="Arial" w:cs="Arial"/>
          <w:b/>
          <w:bCs/>
          <w:iCs/>
          <w:color w:val="000000"/>
          <w:sz w:val="22"/>
          <w:szCs w:val="22"/>
        </w:rPr>
        <w:t>J</w:t>
      </w:r>
      <w:r w:rsidRPr="0030358C">
        <w:rPr>
          <w:rFonts w:ascii="Arial" w:eastAsia="Calibri" w:hAnsi="Arial" w:cs="Arial"/>
          <w:b/>
          <w:bCs/>
          <w:iCs/>
          <w:color w:val="000000"/>
          <w:sz w:val="22"/>
          <w:szCs w:val="22"/>
        </w:rPr>
        <w:t>edná se zejména o nejbližší obytnou zástavbu, vzdělávací a zdravotnická zařízení apod.</w:t>
      </w:r>
    </w:p>
    <w:p w14:paraId="0AF62F68"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lastRenderedPageBreak/>
        <w:t>Výpočtová síť a vybrané specifické referenční body jsou zobrazeny v mapě tak, aby bylo zřejmé jejich rozložení s ohledem na obytnou zástavbu v okolí zdroje nebo v zájmovém území.</w:t>
      </w:r>
    </w:p>
    <w:p w14:paraId="218560AE"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3.5. Znečišťující látky a příslušné imisní limity</w:t>
      </w:r>
    </w:p>
    <w:p w14:paraId="14DAC866"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Seznam relevantních znečišťujících látek včetně typu počítaných koncentrací (hodinové, denní koncentrace, roční průměrná koncentrace apod.) a příslušných imisních limitů</w:t>
      </w:r>
      <w:r w:rsidRPr="0030358C">
        <w:rPr>
          <w:rFonts w:ascii="Arial" w:eastAsia="Calibri" w:hAnsi="Arial" w:cs="Arial"/>
          <w:b/>
          <w:bCs/>
          <w:iCs/>
          <w:color w:val="008080"/>
          <w:sz w:val="22"/>
          <w:szCs w:val="22"/>
        </w:rPr>
        <w:t xml:space="preserve"> </w:t>
      </w:r>
      <w:r w:rsidRPr="0030358C">
        <w:rPr>
          <w:rFonts w:ascii="Arial" w:eastAsia="Calibri" w:hAnsi="Arial" w:cs="Arial"/>
          <w:b/>
          <w:bCs/>
          <w:iCs/>
          <w:color w:val="000000"/>
          <w:sz w:val="22"/>
          <w:szCs w:val="22"/>
        </w:rPr>
        <w:t>látek uvedených v bodech 1 až 3 přílohy č. 1 zákona o ochraně ovzduší.</w:t>
      </w:r>
    </w:p>
    <w:p w14:paraId="2846A971"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3.6. Hodnocení úrovní znečištění v předmětné lokalitě</w:t>
      </w:r>
    </w:p>
    <w:p w14:paraId="39DF0E9C" w14:textId="77777777" w:rsidR="005E2B56"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Při hodnocení stávající úrovně znečištění v předmětné lokalitě se vychází z map úrovní znečištění konstruovaných v síti 1x1 km. Tyto mapy zveřejňuje ministerstvo na internetových stránkách. Tyto mapy obsahují v každém čtverci hodnotu klouzavého průměru koncentrace pro všechny znečišťující látky za předchozích 5 kalendářních let, které mají stanoven imisní limit. Dále jsou uvedeny koncentrace znečišťujících látek naměřených na nejbližších stanicích imisního monitoringu.</w:t>
      </w:r>
    </w:p>
    <w:p w14:paraId="3D403B7E"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4. Výsledky rozptylové studie</w:t>
      </w:r>
    </w:p>
    <w:p w14:paraId="64373793"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Výsledky rozptylové studie jsou uvedeny</w:t>
      </w:r>
    </w:p>
    <w:p w14:paraId="355BE456"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a) ve stručném komentáři hodnotícím budoucí úrovně znečištění ovzduší a předpoklad plnění imisních limitů,</w:t>
      </w:r>
    </w:p>
    <w:p w14:paraId="21537A3B" w14:textId="77777777" w:rsidR="005E2B56" w:rsidRPr="0030358C" w:rsidRDefault="00000000" w:rsidP="005B26C9">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b) v tabulkové formě pro vybrané specifické referenční body; pokud je výpočet prováděn v pravidelné síti referenčních bodů, lze výsledky dodat ve formě přílohy k rozptylové studii, přičemž v takovém případě je nutné číslo referenčního bodu doplnit jeho souřadnicemi,</w:t>
      </w:r>
    </w:p>
    <w:p w14:paraId="1A84EBBF"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c) kartograficky (s uvedením umístění zástavby, mapy jsou v definovaném měřítku).</w:t>
      </w:r>
    </w:p>
    <w:p w14:paraId="7854CEB5"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5. Návrh kompenzačních opatření</w:t>
      </w:r>
    </w:p>
    <w:p w14:paraId="688AEB2A"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Přesná identifikace stacionárního zdroje nebo pozemní komunikace, pro které budou prováděna kompenzační opatření.</w:t>
      </w:r>
    </w:p>
    <w:p w14:paraId="346C9C60"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Podrobný popis kompenzačních opatření s termínem jejich realizace, v případě opakovaně uplatňovaných opatření s časovým plánem. Jsou popsána rizika realizace kompenzačních opatření a způsoby minimalizace těchto rizik.</w:t>
      </w:r>
    </w:p>
    <w:p w14:paraId="45B7DADA"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Je proveden výpočet podle § 27 dokládající dostatečnost navržených kompenzačních opatření.</w:t>
      </w:r>
    </w:p>
    <w:p w14:paraId="3953BE14"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6. Závěrečné hodnocení</w:t>
      </w:r>
    </w:p>
    <w:p w14:paraId="5CAFD9C9" w14:textId="77777777" w:rsidR="005B26C9" w:rsidRPr="0030358C" w:rsidRDefault="00000000" w:rsidP="005B26C9">
      <w:pPr>
        <w:pBdr>
          <w:top w:val="nil"/>
          <w:left w:val="nil"/>
          <w:bottom w:val="nil"/>
          <w:right w:val="nil"/>
        </w:pBdr>
        <w:spacing w:after="160" w:line="276" w:lineRule="atLeast"/>
        <w:rPr>
          <w:rFonts w:ascii="Arial" w:eastAsia="Calibri" w:hAnsi="Arial" w:cs="Arial"/>
          <w:b/>
          <w:bCs/>
          <w:iCs/>
          <w:sz w:val="22"/>
          <w:szCs w:val="22"/>
        </w:rPr>
      </w:pPr>
      <w:r w:rsidRPr="0030358C">
        <w:rPr>
          <w:rFonts w:ascii="Arial" w:eastAsia="Calibri" w:hAnsi="Arial" w:cs="Arial"/>
          <w:b/>
          <w:bCs/>
          <w:iCs/>
          <w:color w:val="000000"/>
          <w:sz w:val="22"/>
          <w:szCs w:val="22"/>
        </w:rPr>
        <w:t>Kromě vyhodnocení vypočtených příspěvků k úrovni znečištění je komentováno také plnění imisních limitů při zohlednění stávající úrovně znečištění a příspěvku nového stacionárního zdroje. Zároveň jsou komentována navržená kompenzační opatření a jejich přínos ke kvalitě ovzduší v dané oblasti.</w:t>
      </w:r>
    </w:p>
    <w:p w14:paraId="6142C9A9" w14:textId="77777777" w:rsidR="00A77B3E" w:rsidRPr="0030358C" w:rsidRDefault="00000000" w:rsidP="00390E5F">
      <w:pPr>
        <w:pBdr>
          <w:top w:val="nil"/>
          <w:left w:val="nil"/>
          <w:bottom w:val="nil"/>
          <w:right w:val="nil"/>
        </w:pBdr>
        <w:spacing w:after="160" w:line="276" w:lineRule="atLeast"/>
        <w:rPr>
          <w:rFonts w:ascii="Arial" w:eastAsia="Calibri" w:hAnsi="Arial" w:cs="Arial"/>
          <w:b/>
          <w:bCs/>
          <w:iCs/>
          <w:color w:val="000000"/>
          <w:sz w:val="22"/>
          <w:szCs w:val="22"/>
        </w:rPr>
      </w:pPr>
      <w:r w:rsidRPr="0030358C">
        <w:rPr>
          <w:rFonts w:ascii="Arial" w:eastAsia="Calibri" w:hAnsi="Arial" w:cs="Arial"/>
          <w:b/>
          <w:bCs/>
          <w:iCs/>
          <w:color w:val="000000"/>
          <w:sz w:val="22"/>
          <w:szCs w:val="22"/>
        </w:rPr>
        <w:t>7. Seznam použitých podkladů</w:t>
      </w:r>
      <w:bookmarkEnd w:id="74"/>
    </w:p>
    <w:p w14:paraId="5A3F49D6" w14:textId="77777777" w:rsidR="00A77B3E" w:rsidRPr="0030358C" w:rsidRDefault="00000000">
      <w:pPr>
        <w:pStyle w:val="42"/>
        <w:rPr>
          <w:rFonts w:ascii="Arial" w:hAnsi="Arial" w:cs="Arial"/>
          <w:sz w:val="22"/>
          <w:szCs w:val="22"/>
        </w:rPr>
      </w:pPr>
      <w:r w:rsidRPr="0030358C">
        <w:rPr>
          <w:rFonts w:ascii="Arial" w:hAnsi="Arial" w:cs="Arial"/>
          <w:sz w:val="22"/>
          <w:szCs w:val="22"/>
        </w:rPr>
        <w:t>Příloha č. 16    k vyhlášce č. 415/2012 Sb.</w:t>
      </w:r>
    </w:p>
    <w:p w14:paraId="490070BB" w14:textId="77777777" w:rsidR="00A77B3E" w:rsidRPr="0030358C" w:rsidRDefault="00000000">
      <w:pPr>
        <w:pStyle w:val="43"/>
        <w:rPr>
          <w:rFonts w:ascii="Arial" w:hAnsi="Arial" w:cs="Arial"/>
          <w:sz w:val="22"/>
          <w:szCs w:val="22"/>
        </w:rPr>
      </w:pPr>
      <w:r w:rsidRPr="0030358C">
        <w:rPr>
          <w:rFonts w:ascii="Arial" w:hAnsi="Arial" w:cs="Arial"/>
          <w:sz w:val="22"/>
          <w:szCs w:val="22"/>
        </w:rPr>
        <w:lastRenderedPageBreak/>
        <w:t>Koeficienty významnosti pro výpočet kompenzačních opatření</w:t>
      </w:r>
    </w:p>
    <w:tbl>
      <w:tblPr>
        <w:tblStyle w:val="TABLE1"/>
        <w:tblW w:w="0" w:type="auto"/>
        <w:tblInd w:w="17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5E0" w:firstRow="1" w:lastRow="1" w:firstColumn="1" w:lastColumn="1" w:noHBand="0" w:noVBand="1"/>
      </w:tblPr>
      <w:tblGrid>
        <w:gridCol w:w="2130"/>
        <w:gridCol w:w="2304"/>
        <w:gridCol w:w="2130"/>
        <w:gridCol w:w="2304"/>
      </w:tblGrid>
      <w:tr w:rsidR="00E40657" w14:paraId="308420C3" w14:textId="77777777">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0F1958B"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Efektivní výška zdroje</w:t>
            </w:r>
            <w:hyperlink w:history="1">
              <w:r w:rsidR="00A77B3E" w:rsidRPr="0030358C">
                <w:rPr>
                  <w:rFonts w:ascii="Arial" w:hAnsi="Arial" w:cs="Arial"/>
                  <w:b/>
                  <w:bCs/>
                  <w:sz w:val="22"/>
                  <w:szCs w:val="22"/>
                </w:rPr>
                <w:t>*)</w:t>
              </w:r>
            </w:hyperlink>
            <w:r w:rsidRPr="0030358C">
              <w:rPr>
                <w:rFonts w:ascii="Arial" w:hAnsi="Arial" w:cs="Arial"/>
                <w:b/>
                <w:bCs/>
                <w:sz w:val="22"/>
                <w:szCs w:val="22"/>
              </w:rPr>
              <w:br/>
              <w:t>[m]</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3F02C6A5"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Koeficient významnosti</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688B76EA"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Efektivní výška zdroje</w:t>
            </w:r>
            <w:hyperlink w:history="1">
              <w:r w:rsidR="00A77B3E" w:rsidRPr="0030358C">
                <w:rPr>
                  <w:rFonts w:ascii="Arial" w:hAnsi="Arial" w:cs="Arial"/>
                  <w:b/>
                  <w:bCs/>
                  <w:sz w:val="22"/>
                  <w:szCs w:val="22"/>
                </w:rPr>
                <w:t>*)</w:t>
              </w:r>
            </w:hyperlink>
            <w:r w:rsidRPr="0030358C">
              <w:rPr>
                <w:rFonts w:ascii="Arial" w:hAnsi="Arial" w:cs="Arial"/>
                <w:b/>
                <w:bCs/>
                <w:sz w:val="22"/>
                <w:szCs w:val="22"/>
              </w:rPr>
              <w:br/>
              <w:t>[m]</w:t>
            </w:r>
          </w:p>
        </w:tc>
        <w:tc>
          <w:tcPr>
            <w:tcW w:w="0" w:type="auto"/>
            <w:tcBorders>
              <w:top w:val="single" w:sz="12" w:space="0" w:color="000000"/>
              <w:left w:val="single" w:sz="12" w:space="0" w:color="000000"/>
              <w:bottom w:val="single" w:sz="12" w:space="0" w:color="000000"/>
              <w:right w:val="single" w:sz="12" w:space="0" w:color="000000"/>
            </w:tcBorders>
            <w:tcMar>
              <w:top w:w="85" w:type="dxa"/>
              <w:left w:w="157" w:type="dxa"/>
              <w:bottom w:w="85" w:type="dxa"/>
              <w:right w:w="157" w:type="dxa"/>
            </w:tcMar>
            <w:vAlign w:val="center"/>
            <w:hideMark/>
          </w:tcPr>
          <w:p w14:paraId="495DDA15" w14:textId="77777777" w:rsidR="00A77B3E" w:rsidRPr="0030358C" w:rsidRDefault="00000000">
            <w:pPr>
              <w:pStyle w:val="16"/>
              <w:overflowPunct w:val="0"/>
              <w:jc w:val="center"/>
              <w:rPr>
                <w:rFonts w:ascii="Arial" w:hAnsi="Arial" w:cs="Arial"/>
                <w:b/>
                <w:bCs/>
                <w:sz w:val="22"/>
                <w:szCs w:val="22"/>
              </w:rPr>
            </w:pPr>
            <w:r w:rsidRPr="0030358C">
              <w:rPr>
                <w:rFonts w:ascii="Arial" w:hAnsi="Arial" w:cs="Arial"/>
                <w:b/>
                <w:bCs/>
                <w:sz w:val="22"/>
                <w:szCs w:val="22"/>
              </w:rPr>
              <w:t>Koeficient významnosti</w:t>
            </w:r>
          </w:p>
        </w:tc>
      </w:tr>
      <w:tr w:rsidR="00E40657" w14:paraId="628D98F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7E9971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0 - 1,5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756BE7A"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50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5D615B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28 - 31</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510C5E61"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23</w:t>
            </w:r>
          </w:p>
        </w:tc>
      </w:tr>
      <w:tr w:rsidR="00E40657" w14:paraId="2D9C5E94"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D31FA8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1,5 - 2,5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164A266"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48</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CB6F40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31 - 35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1BD7E20"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22</w:t>
            </w:r>
          </w:p>
        </w:tc>
      </w:tr>
      <w:tr w:rsidR="00E40657" w14:paraId="1343E245"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2E51C2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2,5 - 3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A75A31E"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46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DFF6A0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35 - 38</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A943862"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21</w:t>
            </w:r>
          </w:p>
        </w:tc>
      </w:tr>
      <w:tr w:rsidR="00E40657" w14:paraId="14F586B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E4C1C4D"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3 - 3,5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8E68865"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44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0B5D09"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38 - 43</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1FD1402"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20</w:t>
            </w:r>
          </w:p>
        </w:tc>
      </w:tr>
      <w:tr w:rsidR="00E40657" w14:paraId="1B33357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A3EDDC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3,5 - 4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8CFAC7B"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42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18CE9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43 - 47</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CB94905"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19</w:t>
            </w:r>
          </w:p>
        </w:tc>
      </w:tr>
      <w:tr w:rsidR="00E40657" w14:paraId="1473017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695BD77"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4 - 4,5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992456A"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41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B7DBC6A"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47 - 53</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1B1FE3C"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18</w:t>
            </w:r>
          </w:p>
        </w:tc>
      </w:tr>
      <w:tr w:rsidR="00E40657" w14:paraId="0749D417"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B0BF884"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4,5 - 5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549A1F7"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40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4D75B8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53 - 58</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4DFC308"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17</w:t>
            </w:r>
          </w:p>
        </w:tc>
      </w:tr>
      <w:tr w:rsidR="00E40657" w14:paraId="0F59716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65A2317"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5 - 6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B00EDB1"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39</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AB6BF4"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58 - 65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4594283"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16</w:t>
            </w:r>
          </w:p>
        </w:tc>
      </w:tr>
      <w:tr w:rsidR="00E40657" w14:paraId="2CE5A0A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55F959D"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6 - 6,5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EFBA025"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38</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63B8BE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65 - 72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571E185"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15</w:t>
            </w:r>
          </w:p>
        </w:tc>
      </w:tr>
      <w:tr w:rsidR="00E40657" w14:paraId="7ED51B9B"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005111E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6,5 - 7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1282EE5"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9BE394"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72 - 80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0768B92"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14</w:t>
            </w:r>
          </w:p>
        </w:tc>
      </w:tr>
      <w:tr w:rsidR="00E40657" w14:paraId="1C68D096"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090F2A8"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7 - 8</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3B9FFDB"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19952D1"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80 - 89</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20B0919"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13</w:t>
            </w:r>
          </w:p>
        </w:tc>
      </w:tr>
      <w:tr w:rsidR="00E40657" w14:paraId="06FE9D0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C16CF6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8 - 9</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22066A3"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00E2D32"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89 - 99</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AE8908F"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12</w:t>
            </w:r>
          </w:p>
        </w:tc>
      </w:tr>
      <w:tr w:rsidR="00E40657" w14:paraId="3468A58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70DB36A3"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9 - 10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4CBF949"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34</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02738EA"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99 - 110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BBF4937"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11</w:t>
            </w:r>
          </w:p>
        </w:tc>
      </w:tr>
      <w:tr w:rsidR="00E40657" w14:paraId="6C71AC90"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DA266F6"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10 - 11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4A54B313"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E66B339"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110 - 122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34F66AF3"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10</w:t>
            </w:r>
          </w:p>
        </w:tc>
      </w:tr>
      <w:tr w:rsidR="00E40657" w14:paraId="29A797E3"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5FF60AA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11 - 12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D0433C9"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32</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54394EA"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122 - 135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CB4A841"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9</w:t>
            </w:r>
          </w:p>
        </w:tc>
      </w:tr>
      <w:tr w:rsidR="00E40657" w14:paraId="4B235DD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1D7AA3E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12 - 13,5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04ED9C00"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31</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A865463"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135 - 150</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E603021"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8</w:t>
            </w:r>
          </w:p>
        </w:tc>
      </w:tr>
      <w:tr w:rsidR="00E40657" w14:paraId="36FD872A"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6D40B0D"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13,5 - 15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FB8B48F"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30</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BF3ACB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150 - 167</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2E34B481"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7</w:t>
            </w:r>
          </w:p>
        </w:tc>
      </w:tr>
      <w:tr w:rsidR="00E40657" w14:paraId="5AACB60D"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373728FB"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15 - 16,5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5A2BED0A"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29</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623179E3"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167 - 185</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1F1DF0D4"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6</w:t>
            </w:r>
          </w:p>
        </w:tc>
      </w:tr>
      <w:tr w:rsidR="00E40657" w14:paraId="4EE1C7B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2ED1040A"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16,5 - 18,5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394BC04"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28</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BFDAAC4"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185 - 206</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6D8CD55A"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5</w:t>
            </w:r>
          </w:p>
        </w:tc>
      </w:tr>
      <w:tr w:rsidR="00E40657" w14:paraId="4C22C5FF"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46B7B89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18,5 - 20,5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113104B3"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27</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08DEEF7"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206 - 229</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0154C75"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4</w:t>
            </w:r>
          </w:p>
        </w:tc>
      </w:tr>
      <w:tr w:rsidR="00E40657" w14:paraId="5E7FD17E"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D12A8E5"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20,5 - 23</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7FE637D3"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26</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3DF8836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229 - 254</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01D4DF1B"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3</w:t>
            </w:r>
          </w:p>
        </w:tc>
      </w:tr>
      <w:tr w:rsidR="00E40657" w14:paraId="2089AAD8" w14:textId="77777777">
        <w:tc>
          <w:tcPr>
            <w:tcW w:w="0" w:type="auto"/>
            <w:tcBorders>
              <w:top w:val="single" w:sz="3" w:space="0" w:color="000000"/>
              <w:bottom w:val="single" w:sz="3" w:space="0" w:color="000000"/>
              <w:right w:val="single" w:sz="3" w:space="0" w:color="000000"/>
            </w:tcBorders>
            <w:tcMar>
              <w:top w:w="85" w:type="dxa"/>
              <w:left w:w="157" w:type="dxa"/>
              <w:bottom w:w="85" w:type="dxa"/>
              <w:right w:w="146" w:type="dxa"/>
            </w:tcMar>
            <w:vAlign w:val="center"/>
            <w:hideMark/>
          </w:tcPr>
          <w:p w14:paraId="6894C1F0"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23 - 25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E10C00"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25</w:t>
            </w:r>
          </w:p>
        </w:tc>
        <w:tc>
          <w:tcPr>
            <w:tcW w:w="0" w:type="auto"/>
            <w:tcBorders>
              <w:top w:val="single" w:sz="3" w:space="0" w:color="000000"/>
              <w:left w:val="single" w:sz="3" w:space="0" w:color="000000"/>
              <w:bottom w:val="single" w:sz="3" w:space="0" w:color="000000"/>
              <w:right w:val="single" w:sz="3" w:space="0" w:color="000000"/>
            </w:tcBorders>
            <w:tcMar>
              <w:top w:w="85" w:type="dxa"/>
              <w:left w:w="146" w:type="dxa"/>
              <w:bottom w:w="85" w:type="dxa"/>
              <w:right w:w="146" w:type="dxa"/>
            </w:tcMar>
            <w:vAlign w:val="center"/>
            <w:hideMark/>
          </w:tcPr>
          <w:p w14:paraId="2D96207C"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254 - 282</w:t>
            </w:r>
          </w:p>
        </w:tc>
        <w:tc>
          <w:tcPr>
            <w:tcW w:w="0" w:type="auto"/>
            <w:tcBorders>
              <w:top w:val="single" w:sz="3" w:space="0" w:color="000000"/>
              <w:left w:val="single" w:sz="3" w:space="0" w:color="000000"/>
              <w:bottom w:val="single" w:sz="3" w:space="0" w:color="000000"/>
            </w:tcBorders>
            <w:tcMar>
              <w:top w:w="85" w:type="dxa"/>
              <w:left w:w="146" w:type="dxa"/>
              <w:bottom w:w="85" w:type="dxa"/>
              <w:right w:w="157" w:type="dxa"/>
            </w:tcMar>
            <w:vAlign w:val="center"/>
            <w:hideMark/>
          </w:tcPr>
          <w:p w14:paraId="73690FA2"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w:t>
            </w:r>
          </w:p>
        </w:tc>
      </w:tr>
      <w:tr w:rsidR="00E40657" w14:paraId="3BEC6DF5" w14:textId="77777777">
        <w:tc>
          <w:tcPr>
            <w:tcW w:w="0" w:type="auto"/>
            <w:tcBorders>
              <w:top w:val="single" w:sz="3" w:space="0" w:color="000000"/>
              <w:bottom w:val="single" w:sz="16" w:space="0" w:color="000000"/>
              <w:right w:val="single" w:sz="3" w:space="0" w:color="000000"/>
            </w:tcBorders>
            <w:tcMar>
              <w:top w:w="85" w:type="dxa"/>
              <w:left w:w="157" w:type="dxa"/>
              <w:bottom w:w="85" w:type="dxa"/>
              <w:right w:w="146" w:type="dxa"/>
            </w:tcMar>
            <w:vAlign w:val="center"/>
            <w:hideMark/>
          </w:tcPr>
          <w:p w14:paraId="5C6BF702"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25 - 28</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34F00010"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24</w:t>
            </w:r>
          </w:p>
        </w:tc>
        <w:tc>
          <w:tcPr>
            <w:tcW w:w="0" w:type="auto"/>
            <w:tcBorders>
              <w:top w:val="single" w:sz="3" w:space="0" w:color="000000"/>
              <w:left w:val="single" w:sz="3" w:space="0" w:color="000000"/>
              <w:bottom w:val="single" w:sz="16" w:space="0" w:color="000000"/>
              <w:right w:val="single" w:sz="3" w:space="0" w:color="000000"/>
            </w:tcBorders>
            <w:tcMar>
              <w:top w:w="85" w:type="dxa"/>
              <w:left w:w="146" w:type="dxa"/>
              <w:bottom w:w="85" w:type="dxa"/>
              <w:right w:w="146" w:type="dxa"/>
            </w:tcMar>
            <w:vAlign w:val="center"/>
            <w:hideMark/>
          </w:tcPr>
          <w:p w14:paraId="763F34B6" w14:textId="77777777" w:rsidR="00A77B3E" w:rsidRPr="0030358C" w:rsidRDefault="00000000">
            <w:pPr>
              <w:pStyle w:val="16"/>
              <w:overflowPunct w:val="0"/>
              <w:jc w:val="left"/>
              <w:rPr>
                <w:rFonts w:ascii="Arial" w:hAnsi="Arial" w:cs="Arial"/>
                <w:sz w:val="22"/>
                <w:szCs w:val="22"/>
              </w:rPr>
            </w:pPr>
            <w:r w:rsidRPr="0030358C">
              <w:rPr>
                <w:rFonts w:ascii="Arial" w:hAnsi="Arial" w:cs="Arial"/>
                <w:sz w:val="22"/>
                <w:szCs w:val="22"/>
              </w:rPr>
              <w:t>&gt; 282 a více</w:t>
            </w:r>
          </w:p>
        </w:tc>
        <w:tc>
          <w:tcPr>
            <w:tcW w:w="0" w:type="auto"/>
            <w:tcBorders>
              <w:top w:val="single" w:sz="3" w:space="0" w:color="000000"/>
              <w:left w:val="single" w:sz="3" w:space="0" w:color="000000"/>
              <w:bottom w:val="single" w:sz="16" w:space="0" w:color="000000"/>
            </w:tcBorders>
            <w:tcMar>
              <w:top w:w="85" w:type="dxa"/>
              <w:left w:w="146" w:type="dxa"/>
              <w:bottom w:w="85" w:type="dxa"/>
              <w:right w:w="157" w:type="dxa"/>
            </w:tcMar>
            <w:vAlign w:val="center"/>
            <w:hideMark/>
          </w:tcPr>
          <w:p w14:paraId="71D60E38" w14:textId="77777777" w:rsidR="00A77B3E" w:rsidRPr="0030358C" w:rsidRDefault="00000000">
            <w:pPr>
              <w:pStyle w:val="16"/>
              <w:overflowPunct w:val="0"/>
              <w:jc w:val="center"/>
              <w:rPr>
                <w:rFonts w:ascii="Arial" w:hAnsi="Arial" w:cs="Arial"/>
                <w:sz w:val="22"/>
                <w:szCs w:val="22"/>
              </w:rPr>
            </w:pPr>
            <w:r w:rsidRPr="0030358C">
              <w:rPr>
                <w:rFonts w:ascii="Arial" w:hAnsi="Arial" w:cs="Arial"/>
                <w:sz w:val="22"/>
                <w:szCs w:val="22"/>
              </w:rPr>
              <w:t>1</w:t>
            </w:r>
          </w:p>
        </w:tc>
      </w:tr>
    </w:tbl>
    <w:p w14:paraId="78433454" w14:textId="77777777" w:rsidR="00A77B3E" w:rsidRPr="0030358C" w:rsidRDefault="00A77B3E">
      <w:pPr>
        <w:pStyle w:val="16"/>
        <w:rPr>
          <w:rFonts w:ascii="Arial" w:hAnsi="Arial" w:cs="Arial"/>
          <w:sz w:val="22"/>
          <w:szCs w:val="22"/>
        </w:rPr>
      </w:pPr>
    </w:p>
    <w:p w14:paraId="453B8309" w14:textId="77777777" w:rsidR="00A77B3E" w:rsidRPr="0030358C" w:rsidRDefault="00000000">
      <w:pPr>
        <w:pStyle w:val="45"/>
        <w:rPr>
          <w:rFonts w:ascii="Arial" w:hAnsi="Arial" w:cs="Arial"/>
          <w:sz w:val="22"/>
          <w:szCs w:val="22"/>
        </w:rPr>
      </w:pPr>
      <w:r w:rsidRPr="0030358C">
        <w:rPr>
          <w:rFonts w:ascii="Arial" w:hAnsi="Arial" w:cs="Arial"/>
          <w:sz w:val="22"/>
          <w:szCs w:val="22"/>
          <w:vertAlign w:val="superscript"/>
        </w:rPr>
        <w:t>*</w:t>
      </w:r>
      <w:r w:rsidRPr="0030358C">
        <w:rPr>
          <w:rFonts w:ascii="Arial" w:hAnsi="Arial" w:cs="Arial"/>
          <w:sz w:val="22"/>
          <w:szCs w:val="22"/>
        </w:rPr>
        <w:t>)    Pro výpočet efektivní výšky zdroje se použije II. třída stability a rychlost větru 5 m.s</w:t>
      </w:r>
      <w:r w:rsidRPr="0030358C">
        <w:rPr>
          <w:rFonts w:ascii="Arial" w:hAnsi="Arial" w:cs="Arial"/>
          <w:sz w:val="22"/>
          <w:szCs w:val="22"/>
          <w:vertAlign w:val="superscript"/>
        </w:rPr>
        <w:t>-1</w:t>
      </w:r>
      <w:r w:rsidRPr="0030358C">
        <w:rPr>
          <w:rFonts w:ascii="Arial" w:hAnsi="Arial" w:cs="Arial"/>
          <w:sz w:val="22"/>
          <w:szCs w:val="22"/>
        </w:rPr>
        <w:t>.</w:t>
      </w:r>
    </w:p>
    <w:p w14:paraId="171EC850" w14:textId="77777777" w:rsidR="00A77B3E" w:rsidRPr="0030358C" w:rsidRDefault="00A77B3E">
      <w:pPr>
        <w:pStyle w:val="1"/>
        <w:rPr>
          <w:rFonts w:ascii="Arial" w:hAnsi="Arial" w:cs="Arial"/>
          <w:sz w:val="22"/>
          <w:szCs w:val="22"/>
        </w:rPr>
      </w:pPr>
    </w:p>
    <w:p w14:paraId="12F768F3" w14:textId="77777777" w:rsidR="00A77B3E" w:rsidRPr="0030358C" w:rsidRDefault="00000000">
      <w:pPr>
        <w:pStyle w:val="42"/>
        <w:rPr>
          <w:rFonts w:ascii="Arial" w:hAnsi="Arial" w:cs="Arial"/>
          <w:strike/>
          <w:sz w:val="22"/>
          <w:szCs w:val="22"/>
        </w:rPr>
      </w:pPr>
      <w:r w:rsidRPr="0030358C">
        <w:rPr>
          <w:rFonts w:ascii="Arial" w:hAnsi="Arial" w:cs="Arial"/>
          <w:strike/>
          <w:sz w:val="22"/>
          <w:szCs w:val="22"/>
        </w:rPr>
        <w:lastRenderedPageBreak/>
        <w:t>Příloha č. 17    k vyhlášce č. 415/2012 Sb.</w:t>
      </w:r>
    </w:p>
    <w:p w14:paraId="3881FB7C" w14:textId="77777777" w:rsidR="00A77B3E" w:rsidRPr="0030358C" w:rsidRDefault="00000000">
      <w:pPr>
        <w:pStyle w:val="43"/>
        <w:rPr>
          <w:rFonts w:ascii="Arial" w:hAnsi="Arial" w:cs="Arial"/>
          <w:strike/>
          <w:sz w:val="22"/>
          <w:szCs w:val="22"/>
        </w:rPr>
      </w:pPr>
      <w:r w:rsidRPr="0030358C">
        <w:rPr>
          <w:rFonts w:ascii="Arial" w:hAnsi="Arial" w:cs="Arial"/>
          <w:strike/>
          <w:sz w:val="22"/>
          <w:szCs w:val="22"/>
        </w:rPr>
        <w:t>ZPŮSOB STANOVENÍ SPECIFICKÉHO EMISNÍHO LIMITU PRO LÁTKY OBTĚŽUJÍCÍ ZÁPACHEM</w:t>
      </w:r>
    </w:p>
    <w:p w14:paraId="6D998947" w14:textId="77777777" w:rsidR="00A77B3E" w:rsidRPr="0030358C" w:rsidRDefault="00000000">
      <w:pPr>
        <w:pStyle w:val="16"/>
        <w:rPr>
          <w:rFonts w:ascii="Arial" w:hAnsi="Arial" w:cs="Arial"/>
          <w:strike/>
          <w:sz w:val="22"/>
          <w:szCs w:val="22"/>
        </w:rPr>
      </w:pPr>
      <w:r w:rsidRPr="0030358C">
        <w:rPr>
          <w:rFonts w:ascii="Arial" w:hAnsi="Arial" w:cs="Arial"/>
          <w:strike/>
          <w:sz w:val="22"/>
          <w:szCs w:val="22"/>
        </w:rPr>
        <w:t>Specifický emisní limit pro znečišťující látku nebo skupinu látek obtěžující zápachem se stanoví následujícím postupem:</w:t>
      </w:r>
    </w:p>
    <w:p w14:paraId="363462B4" w14:textId="77777777" w:rsidR="00A77B3E" w:rsidRPr="0030358C" w:rsidRDefault="00000000">
      <w:pPr>
        <w:pStyle w:val="21"/>
        <w:rPr>
          <w:rFonts w:ascii="Arial" w:hAnsi="Arial" w:cs="Arial"/>
          <w:strike/>
          <w:sz w:val="22"/>
          <w:szCs w:val="22"/>
        </w:rPr>
      </w:pPr>
      <w:r w:rsidRPr="0030358C">
        <w:rPr>
          <w:rFonts w:ascii="Arial" w:hAnsi="Arial" w:cs="Arial"/>
          <w:strike/>
          <w:sz w:val="22"/>
          <w:szCs w:val="22"/>
        </w:rPr>
        <w:t>a)    zjistí se množství znečišťující látky nebo skupiny znečišťujících látek obtěžujících zápachem,</w:t>
      </w:r>
    </w:p>
    <w:p w14:paraId="12BB5B40" w14:textId="77777777" w:rsidR="00A77B3E" w:rsidRPr="0030358C" w:rsidRDefault="00000000">
      <w:pPr>
        <w:pStyle w:val="22"/>
        <w:rPr>
          <w:rFonts w:ascii="Arial" w:hAnsi="Arial" w:cs="Arial"/>
          <w:strike/>
          <w:sz w:val="22"/>
          <w:szCs w:val="22"/>
        </w:rPr>
      </w:pPr>
      <w:r w:rsidRPr="0030358C">
        <w:rPr>
          <w:rFonts w:ascii="Arial" w:hAnsi="Arial" w:cs="Arial"/>
          <w:strike/>
          <w:sz w:val="22"/>
          <w:szCs w:val="22"/>
        </w:rPr>
        <w:t>b)    identifikují se vhodná primární i sekundární opatření k omezení znečišťujících látek obtěžujících zápachem s ohledem na technologii a jejich účinnost,</w:t>
      </w:r>
    </w:p>
    <w:p w14:paraId="38A86125" w14:textId="77777777" w:rsidR="00A77B3E" w:rsidRPr="0030358C" w:rsidRDefault="00000000">
      <w:pPr>
        <w:pStyle w:val="22"/>
        <w:rPr>
          <w:rFonts w:ascii="Arial" w:hAnsi="Arial" w:cs="Arial"/>
          <w:strike/>
          <w:sz w:val="22"/>
          <w:szCs w:val="22"/>
        </w:rPr>
      </w:pPr>
      <w:r w:rsidRPr="0030358C">
        <w:rPr>
          <w:rFonts w:ascii="Arial" w:hAnsi="Arial" w:cs="Arial"/>
          <w:strike/>
          <w:sz w:val="22"/>
          <w:szCs w:val="22"/>
        </w:rPr>
        <w:t>c)    v návaznosti na stanovené výchozí množství znečišťujících látek obtěžujících zápachem, vybraná opatření a jejich účinnost se stanoví výstupní množství znečišťujících látek obtěžujících zápachem v odpadním plynu,</w:t>
      </w:r>
    </w:p>
    <w:p w14:paraId="2EA39971" w14:textId="77777777" w:rsidR="00A77B3E" w:rsidRPr="0030358C" w:rsidRDefault="00000000">
      <w:pPr>
        <w:pStyle w:val="23"/>
        <w:rPr>
          <w:rFonts w:ascii="Arial" w:hAnsi="Arial" w:cs="Arial"/>
          <w:strike/>
          <w:sz w:val="22"/>
          <w:szCs w:val="22"/>
        </w:rPr>
      </w:pPr>
      <w:r w:rsidRPr="0030358C">
        <w:rPr>
          <w:rFonts w:ascii="Arial" w:hAnsi="Arial" w:cs="Arial"/>
          <w:strike/>
          <w:sz w:val="22"/>
          <w:szCs w:val="22"/>
        </w:rPr>
        <w:t>d)    specifický emisní limit pro znečišťující látky obtěžující zápachem se stanoví tak, aby s ohledem na způsob vyhodnocování plnění specifického emisního limitu a proměnlivost provozních podmínek zajišťoval provoz stacionárního zdroje na úrovni odpovídající stanovenému výstupnímu množství znečišťujících látek obtěžujících zápachem, a aby současně zajišťoval správnou funkci nebo provádění opatření ke snižování emisí.</w:t>
      </w:r>
    </w:p>
    <w:p w14:paraId="55424516" w14:textId="77777777" w:rsidR="00A77B3E" w:rsidRPr="0030358C" w:rsidRDefault="00000000">
      <w:pPr>
        <w:pStyle w:val="39"/>
        <w:rPr>
          <w:rFonts w:ascii="Arial" w:hAnsi="Arial" w:cs="Arial"/>
          <w:strike/>
          <w:sz w:val="22"/>
          <w:szCs w:val="22"/>
        </w:rPr>
      </w:pPr>
      <w:r w:rsidRPr="0030358C">
        <w:rPr>
          <w:rFonts w:ascii="Arial" w:hAnsi="Arial" w:cs="Arial"/>
          <w:strike/>
          <w:sz w:val="22"/>
          <w:szCs w:val="22"/>
        </w:rPr>
        <w:t>Výše uvedený postup je možné využít, pouze pokud lze znečišťující látky obtěžující zápachem u stacionárního zdroje odvádět definovaným výduchem.</w:t>
      </w:r>
    </w:p>
    <w:p w14:paraId="6A61504E" w14:textId="77777777" w:rsidR="006B3727" w:rsidRPr="0030358C" w:rsidRDefault="006B3727">
      <w:pPr>
        <w:pStyle w:val="39"/>
        <w:rPr>
          <w:rFonts w:ascii="Arial" w:hAnsi="Arial" w:cs="Arial"/>
          <w:strike/>
          <w:sz w:val="22"/>
          <w:szCs w:val="22"/>
        </w:rPr>
      </w:pPr>
    </w:p>
    <w:p w14:paraId="3252AF15" w14:textId="77777777" w:rsidR="006B3727" w:rsidRPr="0030358C" w:rsidRDefault="00000000" w:rsidP="006B3727">
      <w:pPr>
        <w:pStyle w:val="42"/>
        <w:rPr>
          <w:rFonts w:ascii="Arial" w:hAnsi="Arial" w:cs="Arial"/>
          <w:sz w:val="22"/>
          <w:szCs w:val="22"/>
        </w:rPr>
      </w:pPr>
      <w:bookmarkStart w:id="75" w:name="_Hlk181607450"/>
      <w:r w:rsidRPr="0030358C">
        <w:rPr>
          <w:rFonts w:ascii="Arial" w:hAnsi="Arial" w:cs="Arial"/>
          <w:sz w:val="22"/>
          <w:szCs w:val="22"/>
        </w:rPr>
        <w:t>Příloha č. 17 k vyhlášce č. 415/2012 Sb.</w:t>
      </w:r>
    </w:p>
    <w:p w14:paraId="29137DF0" w14:textId="77777777" w:rsidR="006B3727" w:rsidRPr="0030358C" w:rsidRDefault="006B3727" w:rsidP="006B3727">
      <w:pPr>
        <w:pStyle w:val="39"/>
        <w:rPr>
          <w:rFonts w:ascii="Arial" w:hAnsi="Arial" w:cs="Arial"/>
          <w:b/>
          <w:bCs/>
          <w:sz w:val="22"/>
          <w:szCs w:val="22"/>
        </w:rPr>
      </w:pPr>
    </w:p>
    <w:p w14:paraId="6BD33AB3" w14:textId="77777777" w:rsidR="006B3727" w:rsidRPr="0030358C" w:rsidRDefault="00000000" w:rsidP="006B3727">
      <w:pPr>
        <w:pStyle w:val="39"/>
        <w:jc w:val="center"/>
        <w:rPr>
          <w:rFonts w:ascii="Arial" w:hAnsi="Arial" w:cs="Arial"/>
          <w:b/>
          <w:bCs/>
          <w:sz w:val="22"/>
          <w:szCs w:val="22"/>
        </w:rPr>
      </w:pPr>
      <w:r w:rsidRPr="0030358C">
        <w:rPr>
          <w:rFonts w:ascii="Arial" w:hAnsi="Arial" w:cs="Arial"/>
          <w:b/>
          <w:bCs/>
          <w:sz w:val="22"/>
          <w:szCs w:val="22"/>
        </w:rPr>
        <w:t>Způsob stanovení specifického emisního limitu</w:t>
      </w:r>
    </w:p>
    <w:p w14:paraId="217FCF0E" w14:textId="77777777" w:rsidR="00640F3D" w:rsidRPr="0030358C" w:rsidRDefault="00640F3D" w:rsidP="008150D5">
      <w:pPr>
        <w:pStyle w:val="39"/>
        <w:rPr>
          <w:rFonts w:ascii="Arial" w:hAnsi="Arial" w:cs="Arial"/>
          <w:b/>
          <w:bCs/>
          <w:sz w:val="22"/>
          <w:szCs w:val="22"/>
        </w:rPr>
      </w:pPr>
    </w:p>
    <w:p w14:paraId="3F370076" w14:textId="77777777" w:rsidR="006B3727" w:rsidRPr="0030358C" w:rsidRDefault="00000000" w:rsidP="008150D5">
      <w:pPr>
        <w:pStyle w:val="39"/>
        <w:numPr>
          <w:ilvl w:val="0"/>
          <w:numId w:val="191"/>
        </w:numPr>
        <w:rPr>
          <w:rFonts w:ascii="Arial" w:hAnsi="Arial" w:cs="Arial"/>
          <w:b/>
          <w:bCs/>
          <w:sz w:val="22"/>
          <w:szCs w:val="22"/>
        </w:rPr>
      </w:pPr>
      <w:r w:rsidRPr="0030358C">
        <w:rPr>
          <w:rFonts w:ascii="Arial" w:hAnsi="Arial" w:cs="Arial"/>
          <w:b/>
          <w:bCs/>
          <w:sz w:val="22"/>
          <w:szCs w:val="22"/>
        </w:rPr>
        <w:t xml:space="preserve">Specifický emisní limit se stanovuje tak, aby zajišťoval řádnou funkci zařízení ke snižování emisí nebo řádné plnění jiného opatření ke snížení emisí znečišťujících látek, které jsou ze stacionárního zdroje emitovány definovaným komínem, průduchem </w:t>
      </w:r>
      <w:r w:rsidR="00445570" w:rsidRPr="0030358C">
        <w:rPr>
          <w:rFonts w:ascii="Arial" w:hAnsi="Arial" w:cs="Arial"/>
          <w:b/>
          <w:bCs/>
          <w:sz w:val="22"/>
          <w:szCs w:val="22"/>
        </w:rPr>
        <w:t>nebo</w:t>
      </w:r>
      <w:r w:rsidRPr="0030358C">
        <w:rPr>
          <w:rFonts w:ascii="Arial" w:hAnsi="Arial" w:cs="Arial"/>
          <w:b/>
          <w:bCs/>
          <w:sz w:val="22"/>
          <w:szCs w:val="22"/>
        </w:rPr>
        <w:t xml:space="preserve"> jiným obdobným místem, kde lze provést reprodukovatelné a opakovatelné měření emisí.</w:t>
      </w:r>
    </w:p>
    <w:p w14:paraId="3C19876F" w14:textId="77777777" w:rsidR="00445570" w:rsidRPr="0030358C" w:rsidRDefault="00000000" w:rsidP="00445570">
      <w:pPr>
        <w:pStyle w:val="39"/>
        <w:numPr>
          <w:ilvl w:val="0"/>
          <w:numId w:val="191"/>
        </w:numPr>
        <w:rPr>
          <w:rFonts w:ascii="Arial" w:hAnsi="Arial" w:cs="Arial"/>
          <w:b/>
          <w:bCs/>
          <w:sz w:val="22"/>
          <w:szCs w:val="22"/>
        </w:rPr>
      </w:pPr>
      <w:r w:rsidRPr="0030358C">
        <w:rPr>
          <w:rFonts w:ascii="Arial" w:hAnsi="Arial" w:cs="Arial"/>
          <w:b/>
          <w:bCs/>
          <w:sz w:val="22"/>
          <w:szCs w:val="22"/>
        </w:rPr>
        <w:t xml:space="preserve">Specifický emisní limit se stanovuje jako koncentrační specifický emisní limit znečišťující látky nebo skupiny znečišťujících látek jako jsou VOC, TOC nebo PAH.  </w:t>
      </w:r>
    </w:p>
    <w:p w14:paraId="3A6D7BA0" w14:textId="77777777" w:rsidR="00640F3D" w:rsidRPr="0030358C" w:rsidRDefault="00000000" w:rsidP="00445570">
      <w:pPr>
        <w:pStyle w:val="39"/>
        <w:numPr>
          <w:ilvl w:val="0"/>
          <w:numId w:val="191"/>
        </w:numPr>
        <w:rPr>
          <w:rFonts w:ascii="Arial" w:hAnsi="Arial" w:cs="Arial"/>
          <w:b/>
          <w:bCs/>
          <w:sz w:val="22"/>
          <w:szCs w:val="22"/>
        </w:rPr>
      </w:pPr>
      <w:r w:rsidRPr="0030358C">
        <w:rPr>
          <w:rFonts w:ascii="Arial" w:hAnsi="Arial" w:cs="Arial"/>
          <w:b/>
          <w:bCs/>
          <w:sz w:val="22"/>
          <w:szCs w:val="22"/>
        </w:rPr>
        <w:t xml:space="preserve">V případech, kdy nelze zajistit, aby specifický emisní limit stanovený jako koncentrace plnil regulační funkci, lze jej odchylně od bodu 2 stanovit jako měrnou výrobní emisi, tedy jako hmotnost znečišťující látky vztaženou na jednotku produkce. </w:t>
      </w:r>
    </w:p>
    <w:p w14:paraId="152C7BD9" w14:textId="77777777" w:rsidR="006B3727" w:rsidRPr="0030358C" w:rsidRDefault="00000000" w:rsidP="008150D5">
      <w:pPr>
        <w:pStyle w:val="39"/>
        <w:numPr>
          <w:ilvl w:val="0"/>
          <w:numId w:val="191"/>
        </w:numPr>
        <w:rPr>
          <w:rFonts w:ascii="Arial" w:hAnsi="Arial" w:cs="Arial"/>
          <w:b/>
          <w:bCs/>
          <w:sz w:val="22"/>
          <w:szCs w:val="22"/>
        </w:rPr>
      </w:pPr>
      <w:r w:rsidRPr="0030358C">
        <w:rPr>
          <w:rFonts w:ascii="Arial" w:hAnsi="Arial" w:cs="Arial"/>
          <w:b/>
          <w:bCs/>
          <w:sz w:val="22"/>
          <w:szCs w:val="22"/>
        </w:rPr>
        <w:t>V případě, kdy způsoby vyjádření specifického emisního limitu</w:t>
      </w:r>
      <w:r w:rsidR="00640F3D" w:rsidRPr="0030358C">
        <w:rPr>
          <w:rFonts w:ascii="Arial" w:hAnsi="Arial" w:cs="Arial"/>
          <w:b/>
          <w:bCs/>
          <w:sz w:val="22"/>
          <w:szCs w:val="22"/>
        </w:rPr>
        <w:t xml:space="preserve"> podle bodu 2 nebo 3</w:t>
      </w:r>
      <w:r w:rsidRPr="0030358C">
        <w:rPr>
          <w:rFonts w:ascii="Arial" w:hAnsi="Arial" w:cs="Arial"/>
          <w:b/>
          <w:bCs/>
          <w:sz w:val="22"/>
          <w:szCs w:val="22"/>
        </w:rPr>
        <w:t xml:space="preserve"> nemohou zajistit regulační funkci a specifický emisní limit je stanovován z důvodu kontroly zařízení nebo opatření ke snižování emisí znečišťujících látek, které mohou obtěžovat zápachem, přičemž žádný jiný specifický emisní limit nelze použít, lze použít i vyjádření specifického emisního limitu v pachových jednotkách.  </w:t>
      </w:r>
    </w:p>
    <w:p w14:paraId="6697FBB0" w14:textId="77777777" w:rsidR="006B3727" w:rsidRPr="0030358C" w:rsidRDefault="00000000" w:rsidP="008150D5">
      <w:pPr>
        <w:pStyle w:val="39"/>
        <w:numPr>
          <w:ilvl w:val="0"/>
          <w:numId w:val="191"/>
        </w:numPr>
        <w:rPr>
          <w:rFonts w:ascii="Arial" w:hAnsi="Arial" w:cs="Arial"/>
          <w:b/>
          <w:bCs/>
          <w:sz w:val="22"/>
          <w:szCs w:val="22"/>
        </w:rPr>
      </w:pPr>
      <w:r w:rsidRPr="0030358C">
        <w:rPr>
          <w:rFonts w:ascii="Arial" w:hAnsi="Arial" w:cs="Arial"/>
          <w:b/>
          <w:bCs/>
          <w:sz w:val="22"/>
          <w:szCs w:val="22"/>
        </w:rPr>
        <w:t xml:space="preserve">Znečišťující látka nebo skupina znečišťujících látek, pro kterou je specifický emisní limit stanovován, musí být ze stacionárního zdroje skutečně emitována nebo musí existovat předpoklad, že z něho bude emitována. Množství znečišťující látky (nebo skupiny znečišťujících látek), pro kterou je specifický emisní limit stanovován, musí mít souvislost s řádným provozem zařízení ke snižování emisí nebo s prováděním opatření, resp. se stanovenými podmínkami provozu. </w:t>
      </w:r>
    </w:p>
    <w:p w14:paraId="6F9F7031" w14:textId="77777777" w:rsidR="00D8113D"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 xml:space="preserve">V případě, že je pro danou znečišťující látku stanoven příspěvek k imisní koncentraci pomocí rozptylové studie, je zvolena taková hodnota specifického emisního limitu, </w:t>
      </w:r>
      <w:r w:rsidRPr="0030358C">
        <w:rPr>
          <w:rFonts w:ascii="Arial" w:hAnsi="Arial" w:cs="Arial"/>
          <w:b/>
          <w:bCs/>
          <w:sz w:val="22"/>
          <w:szCs w:val="22"/>
        </w:rPr>
        <w:lastRenderedPageBreak/>
        <w:t>která zajistí, že hodnoty emisního toku použitého jako emisní vstup do rozptylové studie, nebudou nikdy překročeny.</w:t>
      </w:r>
    </w:p>
    <w:p w14:paraId="529FFF29" w14:textId="77777777" w:rsidR="00D8113D"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V případě, že je v rozptylové studii nebo v odborném posudku vysloven předpoklad, že stacionární zdroj nebude mít významný příspěvek k imisní koncentraci nebo nebude obtěžovat prachem či zápachem, musí být specifický emisní limit stanoven v takové výši, která zajistí, že předpoklady, na nichž jsou založena tato tvrzení, budou splněny, tedy budou prováděna opatření, o něž se tato tvrzení opírají.</w:t>
      </w:r>
    </w:p>
    <w:p w14:paraId="5F0CAF5E" w14:textId="77777777" w:rsidR="00D8113D"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 xml:space="preserve">Specifický emisní limit musí být stanoven tak, aby byl splnitelný při řádném provozu zařízení k omezování emisí, při jeho řádné a pravidelné údržbě, případně při provádění jiných opatření ke snižování emisí. </w:t>
      </w:r>
    </w:p>
    <w:p w14:paraId="04B0A36F" w14:textId="77777777" w:rsidR="00D8113D"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Specifický emisní limit nesmí být stanoven v takové výši, aby byl splnitelný bez jakýchkoliv opatření nebo bez provozu zařízení ke snižování emisí.</w:t>
      </w:r>
    </w:p>
    <w:p w14:paraId="05FC492E" w14:textId="72FFB369" w:rsidR="006B3727"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V případě, kdy je snižován specifický emisní limit z důvodu obtěžování zápachem, zohledňuje se také, zda byl v území dříve stacionární zdroj daného kódu, případně stejný druh výroby nebo územním plánem bylo území vymezeno pro stejný druh výroby nebo zda byla v území dříve obytná zástavba. Dodatečný vznik obytné zástavby není důvodem pro snížení specifického emisního limitu.</w:t>
      </w:r>
    </w:p>
    <w:p w14:paraId="3A901A57" w14:textId="77777777" w:rsidR="006B3727" w:rsidRPr="0030358C" w:rsidRDefault="00000000" w:rsidP="00331797">
      <w:pPr>
        <w:pStyle w:val="39"/>
        <w:numPr>
          <w:ilvl w:val="0"/>
          <w:numId w:val="191"/>
        </w:numPr>
        <w:rPr>
          <w:rFonts w:ascii="Arial" w:hAnsi="Arial" w:cs="Arial"/>
          <w:b/>
          <w:bCs/>
          <w:sz w:val="22"/>
          <w:szCs w:val="22"/>
        </w:rPr>
      </w:pPr>
      <w:r w:rsidRPr="0030358C">
        <w:rPr>
          <w:rFonts w:ascii="Arial" w:hAnsi="Arial" w:cs="Arial"/>
          <w:b/>
          <w:bCs/>
          <w:sz w:val="22"/>
          <w:szCs w:val="22"/>
        </w:rPr>
        <w:t>Pro stanovení specifického emisního limitu není určující absence pachového vjemu v obytné zástavbě.</w:t>
      </w:r>
    </w:p>
    <w:p w14:paraId="454F5106" w14:textId="77777777" w:rsidR="00640F3D" w:rsidRPr="0030358C" w:rsidRDefault="00000000" w:rsidP="00640F3D">
      <w:pPr>
        <w:pStyle w:val="39"/>
        <w:numPr>
          <w:ilvl w:val="0"/>
          <w:numId w:val="191"/>
        </w:numPr>
        <w:rPr>
          <w:rFonts w:ascii="Arial" w:hAnsi="Arial" w:cs="Arial"/>
          <w:b/>
          <w:bCs/>
          <w:sz w:val="22"/>
          <w:szCs w:val="22"/>
        </w:rPr>
      </w:pPr>
      <w:r w:rsidRPr="0030358C">
        <w:rPr>
          <w:rFonts w:ascii="Arial" w:hAnsi="Arial" w:cs="Arial"/>
          <w:b/>
          <w:bCs/>
          <w:sz w:val="22"/>
          <w:szCs w:val="22"/>
        </w:rPr>
        <w:t>Specifický emisní limit musí být stanoven včetně nezbytných stavových a vztažných veličin.</w:t>
      </w:r>
    </w:p>
    <w:p w14:paraId="0EE42FB8" w14:textId="77777777" w:rsidR="00D8113D"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Je-li specifický emisní limit pouze zpřísňován oproti této vyhlášce, jsou uloženy vztažné podmínky stejné jako v této vyhlášce.</w:t>
      </w:r>
    </w:p>
    <w:p w14:paraId="630765D5" w14:textId="77777777" w:rsidR="00D8113D"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V případě stanovení specifického emisního limitu nad rámec této vyhlášky jsou přednostně aplikovány vztažné podmínky, které pro daný emisní limit stanovují Závěry o BAT, pakliže jsou pro daný typ stacionárního zdroje aplikovatelné.</w:t>
      </w:r>
    </w:p>
    <w:p w14:paraId="2DDA7ADD" w14:textId="77777777" w:rsidR="006B3727" w:rsidRPr="0030358C" w:rsidRDefault="00000000" w:rsidP="00D8113D">
      <w:pPr>
        <w:pStyle w:val="39"/>
        <w:numPr>
          <w:ilvl w:val="0"/>
          <w:numId w:val="191"/>
        </w:numPr>
        <w:rPr>
          <w:rFonts w:ascii="Arial" w:hAnsi="Arial" w:cs="Arial"/>
          <w:b/>
          <w:bCs/>
          <w:sz w:val="22"/>
          <w:szCs w:val="22"/>
        </w:rPr>
      </w:pPr>
      <w:r w:rsidRPr="0030358C">
        <w:rPr>
          <w:rFonts w:ascii="Arial" w:hAnsi="Arial" w:cs="Arial"/>
          <w:b/>
          <w:bCs/>
          <w:sz w:val="22"/>
          <w:szCs w:val="22"/>
        </w:rPr>
        <w:t>V ostatních případech se vztažné podmínky stanovují podle charakteru procesu. Probíhá-li proces za vyšší než běžné teploty (40 stupňů Celsia a výše), aplikují se vztažné podmínky B. Je-li součástí procesu spalování paliv, aplikují se vztažné podmínky A. Probíhá-li proces za běžné teploty, aplikují se vztažné podmínky C.</w:t>
      </w:r>
    </w:p>
    <w:bookmarkEnd w:id="75"/>
    <w:p w14:paraId="31A84C00" w14:textId="77777777" w:rsidR="00A77B3E" w:rsidRPr="0030358C" w:rsidRDefault="00A77B3E">
      <w:pPr>
        <w:pStyle w:val="1"/>
        <w:rPr>
          <w:rFonts w:ascii="Arial" w:hAnsi="Arial" w:cs="Arial"/>
          <w:sz w:val="22"/>
          <w:szCs w:val="22"/>
        </w:rPr>
      </w:pPr>
    </w:p>
    <w:p w14:paraId="20785C11" w14:textId="77777777" w:rsidR="00BE3B60" w:rsidRPr="0030358C" w:rsidRDefault="00000000">
      <w:pPr>
        <w:rPr>
          <w:rFonts w:ascii="Arial" w:hAnsi="Arial" w:cs="Arial"/>
          <w:b/>
          <w:sz w:val="22"/>
          <w:szCs w:val="22"/>
        </w:rPr>
      </w:pPr>
      <w:r w:rsidRPr="0030358C">
        <w:rPr>
          <w:rFonts w:ascii="Arial" w:hAnsi="Arial" w:cs="Arial"/>
          <w:sz w:val="22"/>
          <w:szCs w:val="22"/>
        </w:rPr>
        <w:br w:type="page"/>
      </w:r>
    </w:p>
    <w:p w14:paraId="4470B744" w14:textId="77777777" w:rsidR="00A77B3E" w:rsidRPr="0030358C" w:rsidRDefault="00000000">
      <w:pPr>
        <w:pStyle w:val="42"/>
        <w:rPr>
          <w:rFonts w:ascii="Arial" w:hAnsi="Arial" w:cs="Arial"/>
          <w:sz w:val="22"/>
          <w:szCs w:val="22"/>
        </w:rPr>
      </w:pPr>
      <w:r w:rsidRPr="0030358C">
        <w:rPr>
          <w:rFonts w:ascii="Arial" w:hAnsi="Arial" w:cs="Arial"/>
          <w:sz w:val="22"/>
          <w:szCs w:val="22"/>
        </w:rPr>
        <w:lastRenderedPageBreak/>
        <w:t>Příloha č. 18    k vyhlášce č. 415/2012 Sb.</w:t>
      </w:r>
    </w:p>
    <w:p w14:paraId="3333834C" w14:textId="77777777" w:rsidR="00A517F0" w:rsidRPr="0030358C" w:rsidRDefault="00A517F0" w:rsidP="00A517F0">
      <w:pPr>
        <w:widowControl w:val="0"/>
        <w:autoSpaceDE w:val="0"/>
        <w:autoSpaceDN w:val="0"/>
        <w:adjustRightInd w:val="0"/>
        <w:rPr>
          <w:rFonts w:ascii="Arial" w:hAnsi="Arial" w:cs="Arial"/>
          <w:b/>
          <w:bCs/>
          <w:sz w:val="22"/>
          <w:szCs w:val="22"/>
        </w:rPr>
      </w:pPr>
    </w:p>
    <w:p w14:paraId="5A40BB0C" w14:textId="77777777" w:rsidR="00A517F0" w:rsidRPr="0030358C" w:rsidRDefault="00A517F0" w:rsidP="00A517F0">
      <w:pPr>
        <w:widowControl w:val="0"/>
        <w:autoSpaceDE w:val="0"/>
        <w:autoSpaceDN w:val="0"/>
        <w:adjustRightInd w:val="0"/>
        <w:jc w:val="center"/>
        <w:rPr>
          <w:rFonts w:ascii="Arial" w:hAnsi="Arial" w:cs="Arial"/>
          <w:b/>
          <w:bCs/>
          <w:sz w:val="22"/>
          <w:szCs w:val="22"/>
        </w:rPr>
      </w:pPr>
    </w:p>
    <w:p w14:paraId="00549D4B" w14:textId="77777777" w:rsidR="00A517F0" w:rsidRPr="0030358C" w:rsidRDefault="00000000" w:rsidP="00A517F0">
      <w:pPr>
        <w:widowControl w:val="0"/>
        <w:autoSpaceDE w:val="0"/>
        <w:autoSpaceDN w:val="0"/>
        <w:adjustRightInd w:val="0"/>
        <w:jc w:val="center"/>
        <w:rPr>
          <w:rFonts w:ascii="Arial" w:hAnsi="Arial" w:cs="Arial"/>
          <w:sz w:val="22"/>
          <w:szCs w:val="22"/>
        </w:rPr>
      </w:pPr>
      <w:r w:rsidRPr="0030358C">
        <w:rPr>
          <w:rFonts w:ascii="Arial" w:hAnsi="Arial" w:cs="Arial"/>
          <w:sz w:val="22"/>
          <w:szCs w:val="22"/>
        </w:rPr>
        <w:t xml:space="preserve">A) Doklad o kontrole technického stavu a provozu spalovacího stacionárního zdroje </w:t>
      </w:r>
    </w:p>
    <w:p w14:paraId="4923093B" w14:textId="77777777" w:rsidR="00A517F0" w:rsidRPr="0030358C" w:rsidRDefault="00A517F0" w:rsidP="00A517F0">
      <w:pPr>
        <w:widowControl w:val="0"/>
        <w:autoSpaceDE w:val="0"/>
        <w:autoSpaceDN w:val="0"/>
        <w:adjustRightInd w:val="0"/>
        <w:jc w:val="both"/>
        <w:rPr>
          <w:rFonts w:ascii="Arial" w:hAnsi="Arial" w:cs="Arial"/>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747"/>
        <w:gridCol w:w="163"/>
        <w:gridCol w:w="402"/>
        <w:gridCol w:w="1242"/>
        <w:gridCol w:w="516"/>
        <w:gridCol w:w="392"/>
        <w:gridCol w:w="847"/>
        <w:gridCol w:w="1192"/>
      </w:tblGrid>
      <w:tr w:rsidR="00E40657" w14:paraId="434C655B" w14:textId="77777777" w:rsidTr="00212967">
        <w:trPr>
          <w:trHeight w:val="995"/>
        </w:trPr>
        <w:tc>
          <w:tcPr>
            <w:tcW w:w="5000" w:type="pct"/>
            <w:gridSpan w:val="9"/>
            <w:tcMar>
              <w:top w:w="0" w:type="dxa"/>
              <w:left w:w="108" w:type="dxa"/>
              <w:bottom w:w="0" w:type="dxa"/>
              <w:right w:w="108" w:type="dxa"/>
            </w:tcMar>
          </w:tcPr>
          <w:p w14:paraId="6026051C" w14:textId="77777777" w:rsidR="00A517F0" w:rsidRPr="0030358C" w:rsidRDefault="00000000" w:rsidP="00212967">
            <w:pPr>
              <w:spacing w:before="120"/>
              <w:jc w:val="center"/>
              <w:rPr>
                <w:rFonts w:ascii="Arial" w:hAnsi="Arial" w:cs="Arial"/>
                <w:sz w:val="22"/>
                <w:szCs w:val="22"/>
              </w:rPr>
            </w:pPr>
            <w:r w:rsidRPr="0030358C">
              <w:rPr>
                <w:rFonts w:ascii="Arial" w:hAnsi="Arial" w:cs="Arial"/>
                <w:sz w:val="22"/>
                <w:szCs w:val="22"/>
              </w:rPr>
              <w:t xml:space="preserve">DOKLAD </w:t>
            </w:r>
          </w:p>
          <w:p w14:paraId="2D9EE1E2" w14:textId="77777777" w:rsidR="00A517F0" w:rsidRPr="0030358C" w:rsidRDefault="00000000" w:rsidP="00212967">
            <w:pPr>
              <w:spacing w:after="120"/>
              <w:jc w:val="center"/>
              <w:rPr>
                <w:rFonts w:ascii="Arial" w:hAnsi="Arial" w:cs="Arial"/>
                <w:sz w:val="22"/>
                <w:szCs w:val="22"/>
              </w:rPr>
            </w:pPr>
            <w:r w:rsidRPr="0030358C">
              <w:rPr>
                <w:rFonts w:ascii="Arial" w:hAnsi="Arial" w:cs="Arial"/>
                <w:sz w:val="22"/>
                <w:szCs w:val="22"/>
              </w:rPr>
              <w:t>o kontrole technického stavu a provozu spalovacího stacionárního zdroje na pevná paliva o celkovém jmenovitém tepelném příkonu 10-300 kW včetně, sloužícího jako zdroj tepla pro teplovodní soustavu ústředního vytápění podle § 17 odst. 1 písm. h) zákona č. 201/2012 Sb.</w:t>
            </w:r>
          </w:p>
        </w:tc>
      </w:tr>
      <w:tr w:rsidR="00E40657" w14:paraId="7ACB41D6" w14:textId="77777777" w:rsidTr="00212967">
        <w:tc>
          <w:tcPr>
            <w:tcW w:w="5000" w:type="pct"/>
            <w:gridSpan w:val="9"/>
            <w:shd w:val="clear" w:color="auto" w:fill="D9D9D9"/>
            <w:tcMar>
              <w:top w:w="0" w:type="dxa"/>
              <w:left w:w="108" w:type="dxa"/>
              <w:bottom w:w="0" w:type="dxa"/>
              <w:right w:w="108" w:type="dxa"/>
            </w:tcMar>
          </w:tcPr>
          <w:p w14:paraId="64D92E1F"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Údaje o odborně způsobilé osobě</w:t>
            </w:r>
          </w:p>
        </w:tc>
      </w:tr>
      <w:tr w:rsidR="00E40657" w14:paraId="2ABCD794" w14:textId="77777777" w:rsidTr="00212967">
        <w:trPr>
          <w:trHeight w:val="384"/>
        </w:trPr>
        <w:tc>
          <w:tcPr>
            <w:tcW w:w="1433" w:type="pct"/>
            <w:tcMar>
              <w:top w:w="0" w:type="dxa"/>
              <w:left w:w="108" w:type="dxa"/>
              <w:bottom w:w="0" w:type="dxa"/>
              <w:right w:w="108" w:type="dxa"/>
            </w:tcMar>
          </w:tcPr>
          <w:p w14:paraId="62A9A221"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Název/jméno a příjmení</w:t>
            </w:r>
          </w:p>
        </w:tc>
        <w:tc>
          <w:tcPr>
            <w:tcW w:w="3567" w:type="pct"/>
            <w:gridSpan w:val="8"/>
            <w:tcMar>
              <w:top w:w="0" w:type="dxa"/>
              <w:left w:w="108" w:type="dxa"/>
              <w:bottom w:w="0" w:type="dxa"/>
              <w:right w:w="108" w:type="dxa"/>
            </w:tcMar>
          </w:tcPr>
          <w:p w14:paraId="20BDC1B4" w14:textId="77777777" w:rsidR="00A517F0" w:rsidRPr="0030358C" w:rsidRDefault="00A517F0" w:rsidP="00212967">
            <w:pPr>
              <w:spacing w:before="120"/>
              <w:rPr>
                <w:rFonts w:ascii="Arial" w:hAnsi="Arial" w:cs="Arial"/>
                <w:sz w:val="22"/>
                <w:szCs w:val="22"/>
              </w:rPr>
            </w:pPr>
          </w:p>
        </w:tc>
      </w:tr>
      <w:tr w:rsidR="00E40657" w14:paraId="4F19F20B" w14:textId="77777777" w:rsidTr="00212967">
        <w:trPr>
          <w:trHeight w:val="417"/>
        </w:trPr>
        <w:tc>
          <w:tcPr>
            <w:tcW w:w="1433" w:type="pct"/>
            <w:tcMar>
              <w:top w:w="0" w:type="dxa"/>
              <w:left w:w="108" w:type="dxa"/>
              <w:bottom w:w="0" w:type="dxa"/>
              <w:right w:w="108" w:type="dxa"/>
            </w:tcMar>
          </w:tcPr>
          <w:p w14:paraId="29A723A8"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IČ (bylo-li přiděleno)</w:t>
            </w:r>
          </w:p>
        </w:tc>
        <w:tc>
          <w:tcPr>
            <w:tcW w:w="3567" w:type="pct"/>
            <w:gridSpan w:val="8"/>
            <w:tcMar>
              <w:top w:w="0" w:type="dxa"/>
              <w:left w:w="108" w:type="dxa"/>
              <w:bottom w:w="0" w:type="dxa"/>
              <w:right w:w="108" w:type="dxa"/>
            </w:tcMar>
          </w:tcPr>
          <w:p w14:paraId="0C0FA42C" w14:textId="77777777" w:rsidR="00A517F0" w:rsidRPr="0030358C" w:rsidRDefault="00A517F0" w:rsidP="00212967">
            <w:pPr>
              <w:spacing w:before="120"/>
              <w:rPr>
                <w:rFonts w:ascii="Arial" w:hAnsi="Arial" w:cs="Arial"/>
                <w:sz w:val="22"/>
                <w:szCs w:val="22"/>
              </w:rPr>
            </w:pPr>
          </w:p>
        </w:tc>
      </w:tr>
      <w:tr w:rsidR="00E40657" w14:paraId="00727B32" w14:textId="77777777" w:rsidTr="00212967">
        <w:tc>
          <w:tcPr>
            <w:tcW w:w="1433" w:type="pct"/>
            <w:tcMar>
              <w:top w:w="0" w:type="dxa"/>
              <w:left w:w="108" w:type="dxa"/>
              <w:bottom w:w="0" w:type="dxa"/>
              <w:right w:w="108" w:type="dxa"/>
            </w:tcMar>
          </w:tcPr>
          <w:p w14:paraId="31676378"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Název výrobce spalovacího stacionárního zdroje, který oprávnění vydal</w:t>
            </w:r>
          </w:p>
        </w:tc>
        <w:tc>
          <w:tcPr>
            <w:tcW w:w="3567" w:type="pct"/>
            <w:gridSpan w:val="8"/>
            <w:tcMar>
              <w:top w:w="0" w:type="dxa"/>
              <w:left w:w="108" w:type="dxa"/>
              <w:bottom w:w="0" w:type="dxa"/>
              <w:right w:w="108" w:type="dxa"/>
            </w:tcMar>
          </w:tcPr>
          <w:p w14:paraId="665FB368" w14:textId="77777777" w:rsidR="00A517F0" w:rsidRPr="0030358C" w:rsidRDefault="00A517F0" w:rsidP="00212967">
            <w:pPr>
              <w:spacing w:before="120"/>
              <w:rPr>
                <w:rFonts w:ascii="Arial" w:hAnsi="Arial" w:cs="Arial"/>
                <w:sz w:val="22"/>
                <w:szCs w:val="22"/>
              </w:rPr>
            </w:pPr>
          </w:p>
        </w:tc>
      </w:tr>
      <w:tr w:rsidR="00E40657" w14:paraId="2CEC3D3B" w14:textId="77777777" w:rsidTr="00212967">
        <w:trPr>
          <w:trHeight w:val="427"/>
        </w:trPr>
        <w:tc>
          <w:tcPr>
            <w:tcW w:w="1433" w:type="pct"/>
            <w:tcMar>
              <w:top w:w="0" w:type="dxa"/>
              <w:left w:w="108" w:type="dxa"/>
              <w:bottom w:w="0" w:type="dxa"/>
              <w:right w:w="108" w:type="dxa"/>
            </w:tcMar>
          </w:tcPr>
          <w:p w14:paraId="42ECDB8B"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 xml:space="preserve">Rozsah oprávnění </w:t>
            </w:r>
          </w:p>
          <w:p w14:paraId="13AF4E0C" w14:textId="77777777" w:rsidR="00A517F0" w:rsidRPr="0030358C" w:rsidRDefault="00000000" w:rsidP="00212967">
            <w:pPr>
              <w:rPr>
                <w:rFonts w:ascii="Arial" w:hAnsi="Arial" w:cs="Arial"/>
                <w:sz w:val="22"/>
                <w:szCs w:val="22"/>
              </w:rPr>
            </w:pPr>
            <w:r w:rsidRPr="0030358C">
              <w:rPr>
                <w:rFonts w:ascii="Arial" w:hAnsi="Arial" w:cs="Arial"/>
                <w:sz w:val="22"/>
                <w:szCs w:val="22"/>
              </w:rPr>
              <w:t>(typy spalovacích zdrojů)</w:t>
            </w:r>
          </w:p>
        </w:tc>
        <w:tc>
          <w:tcPr>
            <w:tcW w:w="3567" w:type="pct"/>
            <w:gridSpan w:val="8"/>
            <w:tcMar>
              <w:top w:w="0" w:type="dxa"/>
              <w:left w:w="108" w:type="dxa"/>
              <w:bottom w:w="0" w:type="dxa"/>
              <w:right w:w="108" w:type="dxa"/>
            </w:tcMar>
          </w:tcPr>
          <w:p w14:paraId="4751EC8A" w14:textId="77777777" w:rsidR="00A517F0" w:rsidRPr="0030358C" w:rsidRDefault="00A517F0" w:rsidP="00212967">
            <w:pPr>
              <w:spacing w:before="120"/>
              <w:rPr>
                <w:rFonts w:ascii="Arial" w:hAnsi="Arial" w:cs="Arial"/>
                <w:sz w:val="22"/>
                <w:szCs w:val="22"/>
              </w:rPr>
            </w:pPr>
          </w:p>
        </w:tc>
      </w:tr>
      <w:tr w:rsidR="00E40657" w14:paraId="554BE54A" w14:textId="77777777" w:rsidTr="00212967">
        <w:trPr>
          <w:trHeight w:val="427"/>
        </w:trPr>
        <w:tc>
          <w:tcPr>
            <w:tcW w:w="1433" w:type="pct"/>
            <w:tcMar>
              <w:top w:w="0" w:type="dxa"/>
              <w:left w:w="108" w:type="dxa"/>
              <w:bottom w:w="0" w:type="dxa"/>
              <w:right w:w="108" w:type="dxa"/>
            </w:tcMar>
          </w:tcPr>
          <w:p w14:paraId="7DF5C4C4"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Platnost oprávnění</w:t>
            </w:r>
          </w:p>
        </w:tc>
        <w:tc>
          <w:tcPr>
            <w:tcW w:w="3567" w:type="pct"/>
            <w:gridSpan w:val="8"/>
            <w:tcMar>
              <w:top w:w="0" w:type="dxa"/>
              <w:left w:w="108" w:type="dxa"/>
              <w:bottom w:w="0" w:type="dxa"/>
              <w:right w:w="108" w:type="dxa"/>
            </w:tcMar>
          </w:tcPr>
          <w:p w14:paraId="588A8638" w14:textId="77777777" w:rsidR="00A517F0" w:rsidRPr="0030358C" w:rsidRDefault="00A517F0" w:rsidP="00212967">
            <w:pPr>
              <w:spacing w:before="120"/>
              <w:rPr>
                <w:rFonts w:ascii="Arial" w:hAnsi="Arial" w:cs="Arial"/>
                <w:sz w:val="22"/>
                <w:szCs w:val="22"/>
              </w:rPr>
            </w:pPr>
          </w:p>
        </w:tc>
      </w:tr>
      <w:tr w:rsidR="00E40657" w14:paraId="007DBDDE" w14:textId="77777777" w:rsidTr="00212967">
        <w:trPr>
          <w:trHeight w:val="427"/>
        </w:trPr>
        <w:tc>
          <w:tcPr>
            <w:tcW w:w="1433" w:type="pct"/>
            <w:tcMar>
              <w:top w:w="0" w:type="dxa"/>
              <w:left w:w="108" w:type="dxa"/>
              <w:bottom w:w="0" w:type="dxa"/>
              <w:right w:w="108" w:type="dxa"/>
            </w:tcMar>
          </w:tcPr>
          <w:p w14:paraId="5BA824A5"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Číslo oprávnění</w:t>
            </w:r>
          </w:p>
        </w:tc>
        <w:tc>
          <w:tcPr>
            <w:tcW w:w="3567" w:type="pct"/>
            <w:gridSpan w:val="8"/>
            <w:tcMar>
              <w:top w:w="0" w:type="dxa"/>
              <w:left w:w="108" w:type="dxa"/>
              <w:bottom w:w="0" w:type="dxa"/>
              <w:right w:w="108" w:type="dxa"/>
            </w:tcMar>
          </w:tcPr>
          <w:p w14:paraId="5C92A2D5" w14:textId="77777777" w:rsidR="00A517F0" w:rsidRPr="0030358C" w:rsidRDefault="00A517F0" w:rsidP="00212967">
            <w:pPr>
              <w:spacing w:before="120"/>
              <w:rPr>
                <w:rFonts w:ascii="Arial" w:hAnsi="Arial" w:cs="Arial"/>
                <w:sz w:val="22"/>
                <w:szCs w:val="22"/>
              </w:rPr>
            </w:pPr>
          </w:p>
        </w:tc>
      </w:tr>
      <w:tr w:rsidR="00E40657" w14:paraId="1D19462B" w14:textId="77777777" w:rsidTr="00212967">
        <w:trPr>
          <w:trHeight w:val="427"/>
        </w:trPr>
        <w:tc>
          <w:tcPr>
            <w:tcW w:w="1433" w:type="pct"/>
            <w:tcMar>
              <w:top w:w="0" w:type="dxa"/>
              <w:left w:w="108" w:type="dxa"/>
              <w:bottom w:w="0" w:type="dxa"/>
              <w:right w:w="108" w:type="dxa"/>
            </w:tcMar>
          </w:tcPr>
          <w:p w14:paraId="72E9A41E" w14:textId="77777777" w:rsidR="00A517F0" w:rsidRPr="0030358C" w:rsidRDefault="00000000" w:rsidP="00212967">
            <w:pPr>
              <w:spacing w:before="120"/>
              <w:rPr>
                <w:rFonts w:ascii="Arial" w:hAnsi="Arial" w:cs="Arial"/>
                <w:sz w:val="22"/>
                <w:szCs w:val="22"/>
                <w:vertAlign w:val="superscript"/>
              </w:rPr>
            </w:pPr>
            <w:r w:rsidRPr="0030358C">
              <w:rPr>
                <w:rFonts w:ascii="Arial" w:hAnsi="Arial" w:cs="Arial"/>
                <w:sz w:val="22"/>
                <w:szCs w:val="22"/>
              </w:rPr>
              <w:t>ID komunikace</w:t>
            </w:r>
            <w:r w:rsidR="00093CAC" w:rsidRPr="0030358C">
              <w:rPr>
                <w:rFonts w:ascii="Arial" w:hAnsi="Arial" w:cs="Arial"/>
                <w:sz w:val="22"/>
                <w:szCs w:val="22"/>
                <w:vertAlign w:val="superscript"/>
              </w:rPr>
              <w:t>1</w:t>
            </w:r>
          </w:p>
        </w:tc>
        <w:tc>
          <w:tcPr>
            <w:tcW w:w="3567" w:type="pct"/>
            <w:gridSpan w:val="8"/>
            <w:tcMar>
              <w:top w:w="0" w:type="dxa"/>
              <w:left w:w="108" w:type="dxa"/>
              <w:bottom w:w="0" w:type="dxa"/>
              <w:right w:w="108" w:type="dxa"/>
            </w:tcMar>
          </w:tcPr>
          <w:p w14:paraId="084A1521" w14:textId="77777777" w:rsidR="00A517F0" w:rsidRPr="0030358C" w:rsidRDefault="00A517F0" w:rsidP="00212967">
            <w:pPr>
              <w:spacing w:before="120"/>
              <w:rPr>
                <w:rFonts w:ascii="Arial" w:hAnsi="Arial" w:cs="Arial"/>
                <w:sz w:val="22"/>
                <w:szCs w:val="22"/>
              </w:rPr>
            </w:pPr>
          </w:p>
        </w:tc>
      </w:tr>
      <w:tr w:rsidR="00E40657" w14:paraId="046213C0" w14:textId="77777777" w:rsidTr="00212967">
        <w:tc>
          <w:tcPr>
            <w:tcW w:w="5000" w:type="pct"/>
            <w:gridSpan w:val="9"/>
            <w:shd w:val="clear" w:color="auto" w:fill="D9D9D9"/>
            <w:tcMar>
              <w:top w:w="0" w:type="dxa"/>
              <w:left w:w="108" w:type="dxa"/>
              <w:bottom w:w="0" w:type="dxa"/>
              <w:right w:w="108" w:type="dxa"/>
            </w:tcMar>
          </w:tcPr>
          <w:p w14:paraId="6DA5956B"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Údaje o provozovateli spalovacího stacionárního zdroje</w:t>
            </w:r>
          </w:p>
        </w:tc>
      </w:tr>
      <w:tr w:rsidR="00E40657" w14:paraId="4610F370" w14:textId="77777777" w:rsidTr="00212967">
        <w:trPr>
          <w:trHeight w:val="414"/>
        </w:trPr>
        <w:tc>
          <w:tcPr>
            <w:tcW w:w="1433" w:type="pct"/>
            <w:tcMar>
              <w:top w:w="0" w:type="dxa"/>
              <w:left w:w="108" w:type="dxa"/>
              <w:bottom w:w="0" w:type="dxa"/>
              <w:right w:w="108" w:type="dxa"/>
            </w:tcMar>
          </w:tcPr>
          <w:p w14:paraId="419C5330"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 xml:space="preserve">Název/jméno a příjmení </w:t>
            </w:r>
          </w:p>
        </w:tc>
        <w:tc>
          <w:tcPr>
            <w:tcW w:w="3567" w:type="pct"/>
            <w:gridSpan w:val="8"/>
            <w:tcMar>
              <w:top w:w="0" w:type="dxa"/>
              <w:left w:w="108" w:type="dxa"/>
              <w:bottom w:w="0" w:type="dxa"/>
              <w:right w:w="108" w:type="dxa"/>
            </w:tcMar>
          </w:tcPr>
          <w:p w14:paraId="2530393F" w14:textId="77777777" w:rsidR="00A517F0" w:rsidRPr="0030358C" w:rsidRDefault="00A517F0" w:rsidP="00212967">
            <w:pPr>
              <w:spacing w:before="120"/>
              <w:rPr>
                <w:rFonts w:ascii="Arial" w:hAnsi="Arial" w:cs="Arial"/>
                <w:sz w:val="22"/>
                <w:szCs w:val="22"/>
              </w:rPr>
            </w:pPr>
          </w:p>
        </w:tc>
      </w:tr>
      <w:tr w:rsidR="00E40657" w14:paraId="5DB628FA" w14:textId="77777777" w:rsidTr="00212967">
        <w:trPr>
          <w:trHeight w:val="689"/>
        </w:trPr>
        <w:tc>
          <w:tcPr>
            <w:tcW w:w="1433" w:type="pct"/>
            <w:tcMar>
              <w:top w:w="0" w:type="dxa"/>
              <w:left w:w="108" w:type="dxa"/>
              <w:bottom w:w="0" w:type="dxa"/>
              <w:right w:w="108" w:type="dxa"/>
            </w:tcMar>
          </w:tcPr>
          <w:p w14:paraId="1357E974"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Adresa sídla/bydliště</w:t>
            </w:r>
          </w:p>
        </w:tc>
        <w:tc>
          <w:tcPr>
            <w:tcW w:w="3567" w:type="pct"/>
            <w:gridSpan w:val="8"/>
            <w:tcMar>
              <w:top w:w="0" w:type="dxa"/>
              <w:left w:w="108" w:type="dxa"/>
              <w:bottom w:w="0" w:type="dxa"/>
              <w:right w:w="108" w:type="dxa"/>
            </w:tcMar>
          </w:tcPr>
          <w:p w14:paraId="2EA3D1D8" w14:textId="77777777" w:rsidR="00A517F0" w:rsidRPr="0030358C" w:rsidRDefault="00A517F0" w:rsidP="00212967">
            <w:pPr>
              <w:spacing w:before="120"/>
              <w:rPr>
                <w:rFonts w:ascii="Arial" w:hAnsi="Arial" w:cs="Arial"/>
                <w:sz w:val="22"/>
                <w:szCs w:val="22"/>
              </w:rPr>
            </w:pPr>
          </w:p>
        </w:tc>
      </w:tr>
      <w:tr w:rsidR="00E40657" w14:paraId="5FCE6F8B" w14:textId="77777777" w:rsidTr="00212967">
        <w:tc>
          <w:tcPr>
            <w:tcW w:w="5000" w:type="pct"/>
            <w:gridSpan w:val="9"/>
            <w:shd w:val="clear" w:color="auto" w:fill="D9D9D9"/>
            <w:tcMar>
              <w:top w:w="0" w:type="dxa"/>
              <w:left w:w="108" w:type="dxa"/>
              <w:bottom w:w="0" w:type="dxa"/>
              <w:right w:w="108" w:type="dxa"/>
            </w:tcMar>
          </w:tcPr>
          <w:p w14:paraId="304EF309"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Údaje o spalovacím stacionárním zdroji</w:t>
            </w:r>
          </w:p>
        </w:tc>
      </w:tr>
      <w:tr w:rsidR="00E40657" w14:paraId="28A7518F" w14:textId="77777777" w:rsidTr="00212967">
        <w:tc>
          <w:tcPr>
            <w:tcW w:w="1433" w:type="pct"/>
            <w:tcMar>
              <w:top w:w="0" w:type="dxa"/>
              <w:left w:w="108" w:type="dxa"/>
              <w:bottom w:w="0" w:type="dxa"/>
              <w:right w:w="108" w:type="dxa"/>
            </w:tcMar>
          </w:tcPr>
          <w:p w14:paraId="0D9A0815"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Adresa umístění (včetně čísla bytu, pokud je umístěn v bytě)</w:t>
            </w:r>
          </w:p>
        </w:tc>
        <w:tc>
          <w:tcPr>
            <w:tcW w:w="3567" w:type="pct"/>
            <w:gridSpan w:val="8"/>
            <w:tcMar>
              <w:top w:w="0" w:type="dxa"/>
              <w:left w:w="108" w:type="dxa"/>
              <w:bottom w:w="0" w:type="dxa"/>
              <w:right w:w="108" w:type="dxa"/>
            </w:tcMar>
          </w:tcPr>
          <w:p w14:paraId="6934C646" w14:textId="77777777" w:rsidR="00A517F0" w:rsidRPr="0030358C" w:rsidRDefault="00A517F0" w:rsidP="00212967">
            <w:pPr>
              <w:spacing w:before="120"/>
              <w:rPr>
                <w:rFonts w:ascii="Arial" w:hAnsi="Arial" w:cs="Arial"/>
                <w:sz w:val="22"/>
                <w:szCs w:val="22"/>
              </w:rPr>
            </w:pPr>
          </w:p>
        </w:tc>
      </w:tr>
      <w:tr w:rsidR="00E40657" w14:paraId="1FEC978C" w14:textId="77777777" w:rsidTr="00212967">
        <w:trPr>
          <w:trHeight w:val="418"/>
        </w:trPr>
        <w:tc>
          <w:tcPr>
            <w:tcW w:w="1433" w:type="pct"/>
            <w:tcMar>
              <w:top w:w="0" w:type="dxa"/>
              <w:left w:w="108" w:type="dxa"/>
              <w:bottom w:w="0" w:type="dxa"/>
              <w:right w:w="108" w:type="dxa"/>
            </w:tcMar>
          </w:tcPr>
          <w:p w14:paraId="35F0A488"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Obchodní název</w:t>
            </w:r>
          </w:p>
        </w:tc>
        <w:tc>
          <w:tcPr>
            <w:tcW w:w="3567" w:type="pct"/>
            <w:gridSpan w:val="8"/>
            <w:tcMar>
              <w:top w:w="0" w:type="dxa"/>
              <w:left w:w="108" w:type="dxa"/>
              <w:bottom w:w="0" w:type="dxa"/>
              <w:right w:w="108" w:type="dxa"/>
            </w:tcMar>
          </w:tcPr>
          <w:p w14:paraId="6BE4B71E" w14:textId="77777777" w:rsidR="00A517F0" w:rsidRPr="0030358C" w:rsidRDefault="00A517F0" w:rsidP="00212967">
            <w:pPr>
              <w:spacing w:before="120"/>
              <w:rPr>
                <w:rFonts w:ascii="Arial" w:hAnsi="Arial" w:cs="Arial"/>
                <w:sz w:val="22"/>
                <w:szCs w:val="22"/>
              </w:rPr>
            </w:pPr>
          </w:p>
          <w:p w14:paraId="4051DF34" w14:textId="77777777" w:rsidR="00A517F0" w:rsidRPr="0030358C" w:rsidRDefault="00A517F0" w:rsidP="00212967">
            <w:pPr>
              <w:spacing w:before="120"/>
              <w:rPr>
                <w:rFonts w:ascii="Arial" w:hAnsi="Arial" w:cs="Arial"/>
                <w:sz w:val="22"/>
                <w:szCs w:val="22"/>
              </w:rPr>
            </w:pPr>
          </w:p>
        </w:tc>
      </w:tr>
      <w:tr w:rsidR="00E40657" w14:paraId="1393EE75" w14:textId="77777777" w:rsidTr="00212967">
        <w:trPr>
          <w:trHeight w:val="424"/>
        </w:trPr>
        <w:tc>
          <w:tcPr>
            <w:tcW w:w="1433" w:type="pct"/>
            <w:tcMar>
              <w:top w:w="0" w:type="dxa"/>
              <w:left w:w="108" w:type="dxa"/>
              <w:bottom w:w="0" w:type="dxa"/>
              <w:right w:w="108" w:type="dxa"/>
            </w:tcMar>
          </w:tcPr>
          <w:p w14:paraId="527E9E8A"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Výrobce</w:t>
            </w:r>
          </w:p>
        </w:tc>
        <w:tc>
          <w:tcPr>
            <w:tcW w:w="3567" w:type="pct"/>
            <w:gridSpan w:val="8"/>
            <w:tcMar>
              <w:top w:w="0" w:type="dxa"/>
              <w:left w:w="108" w:type="dxa"/>
              <w:bottom w:w="0" w:type="dxa"/>
              <w:right w:w="108" w:type="dxa"/>
            </w:tcMar>
          </w:tcPr>
          <w:p w14:paraId="5E94F550" w14:textId="77777777" w:rsidR="00A517F0" w:rsidRPr="0030358C" w:rsidRDefault="00A517F0" w:rsidP="00212967">
            <w:pPr>
              <w:spacing w:before="120"/>
              <w:rPr>
                <w:rFonts w:ascii="Arial" w:hAnsi="Arial" w:cs="Arial"/>
                <w:sz w:val="22"/>
                <w:szCs w:val="22"/>
              </w:rPr>
            </w:pPr>
          </w:p>
        </w:tc>
      </w:tr>
      <w:tr w:rsidR="00E40657" w14:paraId="160724B4" w14:textId="77777777" w:rsidTr="00212967">
        <w:trPr>
          <w:trHeight w:val="207"/>
        </w:trPr>
        <w:tc>
          <w:tcPr>
            <w:tcW w:w="1433" w:type="pct"/>
            <w:vMerge w:val="restart"/>
            <w:tcMar>
              <w:top w:w="0" w:type="dxa"/>
              <w:left w:w="108" w:type="dxa"/>
              <w:bottom w:w="0" w:type="dxa"/>
              <w:right w:w="108" w:type="dxa"/>
            </w:tcMar>
          </w:tcPr>
          <w:p w14:paraId="2D2FC3AA"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Typ spalovacího stacionárního zdroje</w:t>
            </w:r>
          </w:p>
          <w:p w14:paraId="1C721D56" w14:textId="77777777" w:rsidR="00A517F0" w:rsidRPr="0030358C" w:rsidRDefault="00000000" w:rsidP="00212967">
            <w:pPr>
              <w:spacing w:before="120"/>
              <w:rPr>
                <w:rFonts w:ascii="Arial" w:hAnsi="Arial" w:cs="Arial"/>
                <w:sz w:val="22"/>
                <w:szCs w:val="22"/>
                <w:vertAlign w:val="superscript"/>
              </w:rPr>
            </w:pPr>
            <w:r w:rsidRPr="0030358C">
              <w:rPr>
                <w:rFonts w:ascii="Arial" w:hAnsi="Arial" w:cs="Arial"/>
                <w:sz w:val="22"/>
                <w:szCs w:val="22"/>
              </w:rPr>
              <w:t>(specifikace jednotlivých typů viz níže)</w:t>
            </w:r>
            <w:r w:rsidR="00FD2224" w:rsidRPr="0030358C">
              <w:rPr>
                <w:rFonts w:ascii="Arial" w:hAnsi="Arial" w:cs="Arial"/>
                <w:sz w:val="22"/>
                <w:szCs w:val="22"/>
                <w:vertAlign w:val="superscript"/>
              </w:rPr>
              <w:t>1</w:t>
            </w:r>
          </w:p>
        </w:tc>
        <w:tc>
          <w:tcPr>
            <w:tcW w:w="1338" w:type="pct"/>
            <w:gridSpan w:val="3"/>
            <w:tcMar>
              <w:top w:w="0" w:type="dxa"/>
              <w:left w:w="108" w:type="dxa"/>
              <w:bottom w:w="0" w:type="dxa"/>
              <w:right w:w="108" w:type="dxa"/>
            </w:tcMar>
          </w:tcPr>
          <w:p w14:paraId="60DC3825" w14:textId="77777777" w:rsidR="00A517F0" w:rsidRPr="0030358C" w:rsidRDefault="00000000" w:rsidP="00212967">
            <w:pPr>
              <w:spacing w:before="120"/>
              <w:rPr>
                <w:rFonts w:ascii="Arial" w:hAnsi="Arial" w:cs="Arial"/>
                <w:sz w:val="22"/>
                <w:szCs w:val="22"/>
              </w:rPr>
            </w:pPr>
            <w:r w:rsidRPr="0030358C">
              <w:rPr>
                <w:rFonts w:ascii="Segoe UI Symbol" w:eastAsia="MS Gothic" w:hAnsi="Segoe UI Symbol" w:cs="Segoe UI Symbol"/>
                <w:sz w:val="22"/>
                <w:szCs w:val="22"/>
              </w:rPr>
              <w:t>☐</w:t>
            </w:r>
            <w:r w:rsidRPr="0030358C">
              <w:rPr>
                <w:rFonts w:ascii="Arial" w:hAnsi="Arial" w:cs="Arial"/>
                <w:sz w:val="22"/>
                <w:szCs w:val="22"/>
              </w:rPr>
              <w:t xml:space="preserve"> kotel prohořívací</w:t>
            </w:r>
          </w:p>
        </w:tc>
        <w:tc>
          <w:tcPr>
            <w:tcW w:w="2229" w:type="pct"/>
            <w:gridSpan w:val="5"/>
            <w:tcMar>
              <w:top w:w="0" w:type="dxa"/>
              <w:left w:w="108" w:type="dxa"/>
              <w:bottom w:w="0" w:type="dxa"/>
              <w:right w:w="108" w:type="dxa"/>
            </w:tcMar>
          </w:tcPr>
          <w:p w14:paraId="7B62BD5A" w14:textId="77777777" w:rsidR="00A517F0" w:rsidRPr="0030358C" w:rsidRDefault="00000000" w:rsidP="00212967">
            <w:pPr>
              <w:spacing w:before="120"/>
              <w:rPr>
                <w:rFonts w:ascii="Arial" w:hAnsi="Arial" w:cs="Arial"/>
                <w:sz w:val="22"/>
                <w:szCs w:val="22"/>
              </w:rPr>
            </w:pPr>
            <w:r w:rsidRPr="0030358C">
              <w:rPr>
                <w:rFonts w:ascii="Segoe UI Symbol" w:eastAsia="MS Gothic" w:hAnsi="Segoe UI Symbol" w:cs="Segoe UI Symbol"/>
                <w:sz w:val="22"/>
                <w:szCs w:val="22"/>
              </w:rPr>
              <w:t>☐</w:t>
            </w:r>
            <w:r w:rsidRPr="0030358C">
              <w:rPr>
                <w:rFonts w:ascii="Arial" w:hAnsi="Arial" w:cs="Arial"/>
                <w:sz w:val="22"/>
                <w:szCs w:val="22"/>
              </w:rPr>
              <w:t xml:space="preserve"> kotel odhořívací</w:t>
            </w:r>
          </w:p>
        </w:tc>
      </w:tr>
      <w:tr w:rsidR="00E40657" w14:paraId="5568A3C5" w14:textId="77777777" w:rsidTr="00212967">
        <w:trPr>
          <w:trHeight w:val="134"/>
        </w:trPr>
        <w:tc>
          <w:tcPr>
            <w:tcW w:w="1433" w:type="pct"/>
            <w:vMerge/>
            <w:tcMar>
              <w:top w:w="0" w:type="dxa"/>
              <w:left w:w="108" w:type="dxa"/>
              <w:bottom w:w="0" w:type="dxa"/>
              <w:right w:w="108" w:type="dxa"/>
            </w:tcMar>
          </w:tcPr>
          <w:p w14:paraId="2B17BC5F"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48A25E14" w14:textId="77777777" w:rsidR="00A517F0" w:rsidRPr="0030358C" w:rsidRDefault="00000000" w:rsidP="00212967">
            <w:pPr>
              <w:autoSpaceDE w:val="0"/>
              <w:autoSpaceDN w:val="0"/>
              <w:adjustRightInd w:val="0"/>
              <w:jc w:val="both"/>
              <w:rPr>
                <w:rFonts w:ascii="Arial" w:hAnsi="Arial" w:cs="Arial"/>
                <w:color w:val="000000"/>
                <w:sz w:val="22"/>
                <w:szCs w:val="22"/>
              </w:rPr>
            </w:pPr>
            <w:r w:rsidRPr="0030358C">
              <w:rPr>
                <w:rFonts w:ascii="Segoe UI Symbol" w:eastAsia="MS Gothic" w:hAnsi="Segoe UI Symbol" w:cs="Segoe UI Symbol"/>
                <w:sz w:val="22"/>
                <w:szCs w:val="22"/>
              </w:rPr>
              <w:t>☐</w:t>
            </w:r>
            <w:r w:rsidRPr="0030358C">
              <w:rPr>
                <w:rFonts w:ascii="Arial" w:hAnsi="Arial" w:cs="Arial"/>
                <w:color w:val="000000"/>
                <w:sz w:val="22"/>
                <w:szCs w:val="22"/>
              </w:rPr>
              <w:t xml:space="preserve"> kotel zplyňovací</w:t>
            </w:r>
          </w:p>
        </w:tc>
        <w:tc>
          <w:tcPr>
            <w:tcW w:w="2229" w:type="pct"/>
            <w:gridSpan w:val="5"/>
            <w:tcMar>
              <w:top w:w="0" w:type="dxa"/>
              <w:left w:w="108" w:type="dxa"/>
              <w:bottom w:w="0" w:type="dxa"/>
              <w:right w:w="108" w:type="dxa"/>
            </w:tcMar>
          </w:tcPr>
          <w:p w14:paraId="18000FBE" w14:textId="77777777" w:rsidR="00A517F0" w:rsidRPr="0030358C" w:rsidRDefault="00000000" w:rsidP="00212967">
            <w:pPr>
              <w:autoSpaceDE w:val="0"/>
              <w:autoSpaceDN w:val="0"/>
              <w:adjustRightInd w:val="0"/>
              <w:jc w:val="both"/>
              <w:rPr>
                <w:rFonts w:ascii="Arial" w:hAnsi="Arial" w:cs="Arial"/>
                <w:color w:val="000000"/>
                <w:sz w:val="22"/>
                <w:szCs w:val="22"/>
              </w:rPr>
            </w:pPr>
            <w:r w:rsidRPr="0030358C">
              <w:rPr>
                <w:rFonts w:ascii="Segoe UI Symbol" w:eastAsia="MS Gothic" w:hAnsi="Segoe UI Symbol" w:cs="Segoe UI Symbol"/>
                <w:sz w:val="22"/>
                <w:szCs w:val="22"/>
              </w:rPr>
              <w:t>☐</w:t>
            </w:r>
            <w:r w:rsidRPr="0030358C">
              <w:rPr>
                <w:rFonts w:ascii="Arial" w:hAnsi="Arial" w:cs="Arial"/>
                <w:color w:val="000000"/>
                <w:sz w:val="22"/>
                <w:szCs w:val="22"/>
              </w:rPr>
              <w:t>kotel automatický se šnekovým dopravníkem</w:t>
            </w:r>
          </w:p>
        </w:tc>
      </w:tr>
      <w:tr w:rsidR="00E40657" w14:paraId="1CBAFA3C" w14:textId="77777777" w:rsidTr="00212967">
        <w:trPr>
          <w:trHeight w:val="134"/>
        </w:trPr>
        <w:tc>
          <w:tcPr>
            <w:tcW w:w="1433" w:type="pct"/>
            <w:vMerge/>
            <w:tcMar>
              <w:top w:w="0" w:type="dxa"/>
              <w:left w:w="108" w:type="dxa"/>
              <w:bottom w:w="0" w:type="dxa"/>
              <w:right w:w="108" w:type="dxa"/>
            </w:tcMar>
          </w:tcPr>
          <w:p w14:paraId="2A5F9BCD"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30E8DC25" w14:textId="77777777" w:rsidR="00A517F0" w:rsidRPr="0030358C" w:rsidRDefault="00000000" w:rsidP="00212967">
            <w:pPr>
              <w:autoSpaceDE w:val="0"/>
              <w:autoSpaceDN w:val="0"/>
              <w:adjustRightInd w:val="0"/>
              <w:jc w:val="both"/>
              <w:rPr>
                <w:rFonts w:ascii="Arial" w:hAnsi="Arial" w:cs="Arial"/>
                <w:color w:val="000000"/>
                <w:sz w:val="22"/>
                <w:szCs w:val="22"/>
              </w:rPr>
            </w:pPr>
            <w:r w:rsidRPr="0030358C">
              <w:rPr>
                <w:rFonts w:ascii="Segoe UI Symbol" w:eastAsia="MS Gothic" w:hAnsi="Segoe UI Symbol" w:cs="Segoe UI Symbol"/>
                <w:sz w:val="22"/>
                <w:szCs w:val="22"/>
              </w:rPr>
              <w:t>☐</w:t>
            </w:r>
            <w:r w:rsidRPr="0030358C">
              <w:rPr>
                <w:rFonts w:ascii="Arial" w:hAnsi="Arial" w:cs="Arial"/>
                <w:color w:val="000000"/>
                <w:sz w:val="22"/>
                <w:szCs w:val="22"/>
              </w:rPr>
              <w:t>kotel automatický s rotačním roštem</w:t>
            </w:r>
          </w:p>
        </w:tc>
        <w:tc>
          <w:tcPr>
            <w:tcW w:w="2229" w:type="pct"/>
            <w:gridSpan w:val="5"/>
            <w:tcMar>
              <w:top w:w="0" w:type="dxa"/>
              <w:left w:w="108" w:type="dxa"/>
              <w:bottom w:w="0" w:type="dxa"/>
              <w:right w:w="108" w:type="dxa"/>
            </w:tcMar>
          </w:tcPr>
          <w:p w14:paraId="705234A8" w14:textId="77777777" w:rsidR="00A517F0" w:rsidRPr="0030358C" w:rsidRDefault="00000000" w:rsidP="00212967">
            <w:pPr>
              <w:autoSpaceDE w:val="0"/>
              <w:autoSpaceDN w:val="0"/>
              <w:adjustRightInd w:val="0"/>
              <w:jc w:val="both"/>
              <w:rPr>
                <w:rFonts w:ascii="Arial" w:hAnsi="Arial" w:cs="Arial"/>
                <w:color w:val="000000"/>
                <w:sz w:val="22"/>
                <w:szCs w:val="22"/>
              </w:rPr>
            </w:pPr>
            <w:r w:rsidRPr="0030358C">
              <w:rPr>
                <w:rFonts w:ascii="Segoe UI Symbol" w:eastAsia="MS Gothic" w:hAnsi="Segoe UI Symbol" w:cs="Segoe UI Symbol"/>
                <w:sz w:val="22"/>
                <w:szCs w:val="22"/>
              </w:rPr>
              <w:t>☐</w:t>
            </w:r>
            <w:r w:rsidRPr="0030358C">
              <w:rPr>
                <w:rFonts w:ascii="Arial" w:hAnsi="Arial" w:cs="Arial"/>
                <w:color w:val="000000"/>
                <w:sz w:val="22"/>
                <w:szCs w:val="22"/>
              </w:rPr>
              <w:t xml:space="preserve"> kotel automatický přestavěný</w:t>
            </w:r>
          </w:p>
        </w:tc>
      </w:tr>
      <w:tr w:rsidR="00E40657" w14:paraId="4B9A3E66" w14:textId="77777777" w:rsidTr="00212967">
        <w:trPr>
          <w:trHeight w:val="134"/>
        </w:trPr>
        <w:tc>
          <w:tcPr>
            <w:tcW w:w="1433" w:type="pct"/>
            <w:vMerge/>
            <w:tcMar>
              <w:top w:w="0" w:type="dxa"/>
              <w:left w:w="108" w:type="dxa"/>
              <w:bottom w:w="0" w:type="dxa"/>
              <w:right w:w="108" w:type="dxa"/>
            </w:tcMar>
          </w:tcPr>
          <w:p w14:paraId="4C1E842C"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49C1648D" w14:textId="77777777" w:rsidR="00A517F0" w:rsidRPr="0030358C" w:rsidRDefault="00000000" w:rsidP="00212967">
            <w:pPr>
              <w:autoSpaceDE w:val="0"/>
              <w:autoSpaceDN w:val="0"/>
              <w:adjustRightInd w:val="0"/>
              <w:jc w:val="both"/>
              <w:rPr>
                <w:rFonts w:ascii="Arial" w:hAnsi="Arial" w:cs="Arial"/>
                <w:color w:val="000000"/>
                <w:sz w:val="22"/>
                <w:szCs w:val="22"/>
              </w:rPr>
            </w:pPr>
            <w:r w:rsidRPr="0030358C">
              <w:rPr>
                <w:rFonts w:ascii="Segoe UI Symbol" w:eastAsia="MS Gothic" w:hAnsi="Segoe UI Symbol" w:cs="Segoe UI Symbol"/>
                <w:sz w:val="22"/>
                <w:szCs w:val="22"/>
              </w:rPr>
              <w:t>☐</w:t>
            </w:r>
            <w:r w:rsidRPr="0030358C">
              <w:rPr>
                <w:rFonts w:ascii="Arial" w:hAnsi="Arial" w:cs="Arial"/>
                <w:color w:val="000000"/>
                <w:sz w:val="22"/>
                <w:szCs w:val="22"/>
              </w:rPr>
              <w:t>kotel automatický speciální</w:t>
            </w:r>
          </w:p>
        </w:tc>
        <w:tc>
          <w:tcPr>
            <w:tcW w:w="2229" w:type="pct"/>
            <w:gridSpan w:val="5"/>
            <w:tcMar>
              <w:top w:w="0" w:type="dxa"/>
              <w:left w:w="108" w:type="dxa"/>
              <w:bottom w:w="0" w:type="dxa"/>
              <w:right w:w="108" w:type="dxa"/>
            </w:tcMar>
          </w:tcPr>
          <w:p w14:paraId="1B3B4386" w14:textId="77777777" w:rsidR="00A517F0" w:rsidRPr="0030358C" w:rsidRDefault="00000000" w:rsidP="00212967">
            <w:pPr>
              <w:autoSpaceDE w:val="0"/>
              <w:autoSpaceDN w:val="0"/>
              <w:adjustRightInd w:val="0"/>
              <w:jc w:val="both"/>
              <w:rPr>
                <w:rFonts w:ascii="Arial" w:hAnsi="Arial" w:cs="Arial"/>
                <w:color w:val="000000"/>
                <w:sz w:val="22"/>
                <w:szCs w:val="22"/>
              </w:rPr>
            </w:pPr>
            <w:r w:rsidRPr="0030358C">
              <w:rPr>
                <w:rFonts w:ascii="Segoe UI Symbol" w:eastAsia="MS Gothic" w:hAnsi="Segoe UI Symbol" w:cs="Segoe UI Symbol"/>
                <w:sz w:val="22"/>
                <w:szCs w:val="22"/>
              </w:rPr>
              <w:t>☐</w:t>
            </w:r>
            <w:r w:rsidRPr="0030358C">
              <w:rPr>
                <w:rFonts w:ascii="Arial" w:hAnsi="Arial" w:cs="Arial"/>
                <w:color w:val="000000"/>
                <w:sz w:val="22"/>
                <w:szCs w:val="22"/>
              </w:rPr>
              <w:t xml:space="preserve"> lokální topidlo s výměníkem</w:t>
            </w:r>
          </w:p>
        </w:tc>
      </w:tr>
      <w:tr w:rsidR="00E40657" w14:paraId="25CDBC16" w14:textId="77777777" w:rsidTr="00212967">
        <w:trPr>
          <w:trHeight w:val="134"/>
        </w:trPr>
        <w:tc>
          <w:tcPr>
            <w:tcW w:w="1433" w:type="pct"/>
            <w:vMerge/>
            <w:tcMar>
              <w:top w:w="0" w:type="dxa"/>
              <w:left w:w="108" w:type="dxa"/>
              <w:bottom w:w="0" w:type="dxa"/>
              <w:right w:w="108" w:type="dxa"/>
            </w:tcMar>
          </w:tcPr>
          <w:p w14:paraId="7758BD45" w14:textId="77777777" w:rsidR="00A517F0" w:rsidRPr="0030358C" w:rsidRDefault="00A517F0" w:rsidP="00212967">
            <w:pPr>
              <w:spacing w:before="120"/>
              <w:rPr>
                <w:rFonts w:ascii="Arial" w:hAnsi="Arial" w:cs="Arial"/>
                <w:sz w:val="22"/>
                <w:szCs w:val="22"/>
              </w:rPr>
            </w:pPr>
          </w:p>
        </w:tc>
        <w:tc>
          <w:tcPr>
            <w:tcW w:w="3567" w:type="pct"/>
            <w:gridSpan w:val="8"/>
            <w:tcMar>
              <w:top w:w="0" w:type="dxa"/>
              <w:left w:w="108" w:type="dxa"/>
              <w:bottom w:w="0" w:type="dxa"/>
              <w:right w:w="108" w:type="dxa"/>
            </w:tcMar>
          </w:tcPr>
          <w:p w14:paraId="226207B0" w14:textId="77777777" w:rsidR="00A517F0" w:rsidRPr="0030358C" w:rsidRDefault="00000000" w:rsidP="00212967">
            <w:pPr>
              <w:autoSpaceDE w:val="0"/>
              <w:autoSpaceDN w:val="0"/>
              <w:adjustRightInd w:val="0"/>
              <w:jc w:val="both"/>
              <w:rPr>
                <w:rFonts w:ascii="Arial" w:hAnsi="Arial" w:cs="Arial"/>
                <w:color w:val="000000"/>
                <w:sz w:val="22"/>
                <w:szCs w:val="22"/>
              </w:rPr>
            </w:pPr>
            <w:r w:rsidRPr="0030358C">
              <w:rPr>
                <w:rFonts w:ascii="Segoe UI Symbol" w:eastAsia="MS Gothic" w:hAnsi="Segoe UI Symbol" w:cs="Segoe UI Symbol"/>
                <w:sz w:val="22"/>
                <w:szCs w:val="22"/>
              </w:rPr>
              <w:t>☐</w:t>
            </w:r>
            <w:r w:rsidRPr="0030358C">
              <w:rPr>
                <w:rFonts w:ascii="Arial" w:hAnsi="Arial" w:cs="Arial"/>
                <w:color w:val="000000"/>
                <w:sz w:val="22"/>
                <w:szCs w:val="22"/>
              </w:rPr>
              <w:t xml:space="preserve"> jiný (specifikovat)</w:t>
            </w:r>
          </w:p>
        </w:tc>
      </w:tr>
      <w:tr w:rsidR="00E40657" w14:paraId="5A5E33F7" w14:textId="77777777" w:rsidTr="00212967">
        <w:trPr>
          <w:trHeight w:val="414"/>
        </w:trPr>
        <w:tc>
          <w:tcPr>
            <w:tcW w:w="1433" w:type="pct"/>
            <w:tcBorders>
              <w:bottom w:val="single" w:sz="2" w:space="0" w:color="auto"/>
            </w:tcBorders>
            <w:tcMar>
              <w:top w:w="0" w:type="dxa"/>
              <w:left w:w="108" w:type="dxa"/>
              <w:bottom w:w="0" w:type="dxa"/>
              <w:right w:w="108" w:type="dxa"/>
            </w:tcMar>
          </w:tcPr>
          <w:p w14:paraId="60B566F7"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lastRenderedPageBreak/>
              <w:t>Rok výroby</w:t>
            </w:r>
          </w:p>
        </w:tc>
        <w:tc>
          <w:tcPr>
            <w:tcW w:w="3567" w:type="pct"/>
            <w:gridSpan w:val="8"/>
            <w:tcBorders>
              <w:bottom w:val="single" w:sz="2" w:space="0" w:color="auto"/>
            </w:tcBorders>
            <w:tcMar>
              <w:top w:w="0" w:type="dxa"/>
              <w:left w:w="108" w:type="dxa"/>
              <w:bottom w:w="0" w:type="dxa"/>
              <w:right w:w="108" w:type="dxa"/>
            </w:tcMar>
          </w:tcPr>
          <w:p w14:paraId="2A3BFCCE" w14:textId="77777777" w:rsidR="00A517F0" w:rsidRPr="0030358C" w:rsidRDefault="00A517F0" w:rsidP="00212967">
            <w:pPr>
              <w:spacing w:before="120"/>
              <w:rPr>
                <w:rFonts w:ascii="Arial" w:hAnsi="Arial" w:cs="Arial"/>
                <w:sz w:val="22"/>
                <w:szCs w:val="22"/>
              </w:rPr>
            </w:pPr>
          </w:p>
        </w:tc>
      </w:tr>
      <w:tr w:rsidR="00E40657" w14:paraId="16C8DDEA" w14:textId="77777777" w:rsidTr="00212967">
        <w:trPr>
          <w:trHeight w:val="414"/>
        </w:trPr>
        <w:tc>
          <w:tcPr>
            <w:tcW w:w="1433"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6AFC6F5B" w14:textId="77777777" w:rsidR="00A517F0" w:rsidRPr="0030358C" w:rsidRDefault="00000000" w:rsidP="00212967">
            <w:pPr>
              <w:spacing w:before="120"/>
              <w:rPr>
                <w:rFonts w:ascii="Arial" w:hAnsi="Arial" w:cs="Arial"/>
                <w:sz w:val="22"/>
                <w:szCs w:val="22"/>
                <w:vertAlign w:val="superscript"/>
              </w:rPr>
            </w:pPr>
            <w:r w:rsidRPr="0030358C">
              <w:rPr>
                <w:rFonts w:ascii="Arial" w:hAnsi="Arial" w:cs="Arial"/>
                <w:sz w:val="22"/>
                <w:szCs w:val="22"/>
              </w:rPr>
              <w:t>Datum instalace (MM/RR)</w:t>
            </w:r>
            <w:r w:rsidR="00FD2224" w:rsidRPr="0030358C">
              <w:rPr>
                <w:rFonts w:ascii="Arial" w:hAnsi="Arial" w:cs="Arial"/>
                <w:sz w:val="22"/>
                <w:szCs w:val="22"/>
                <w:vertAlign w:val="superscript"/>
              </w:rPr>
              <w:t>2</w:t>
            </w:r>
          </w:p>
        </w:tc>
        <w:tc>
          <w:tcPr>
            <w:tcW w:w="3567" w:type="pct"/>
            <w:gridSpan w:val="8"/>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7148F416" w14:textId="77777777" w:rsidR="00A517F0" w:rsidRPr="0030358C" w:rsidRDefault="00A517F0" w:rsidP="00212967">
            <w:pPr>
              <w:spacing w:before="120"/>
              <w:rPr>
                <w:rFonts w:ascii="Arial" w:hAnsi="Arial" w:cs="Arial"/>
                <w:sz w:val="22"/>
                <w:szCs w:val="22"/>
              </w:rPr>
            </w:pPr>
          </w:p>
        </w:tc>
      </w:tr>
      <w:tr w:rsidR="00E40657" w14:paraId="5E80F4FE" w14:textId="77777777" w:rsidTr="00212967">
        <w:trPr>
          <w:trHeight w:val="420"/>
        </w:trPr>
        <w:tc>
          <w:tcPr>
            <w:tcW w:w="1433" w:type="pct"/>
            <w:tcBorders>
              <w:top w:val="single" w:sz="2" w:space="0" w:color="auto"/>
            </w:tcBorders>
            <w:tcMar>
              <w:top w:w="0" w:type="dxa"/>
              <w:left w:w="108" w:type="dxa"/>
              <w:bottom w:w="0" w:type="dxa"/>
              <w:right w:w="108" w:type="dxa"/>
            </w:tcMar>
          </w:tcPr>
          <w:p w14:paraId="32F61F78"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Výrobní číslo</w:t>
            </w:r>
          </w:p>
        </w:tc>
        <w:tc>
          <w:tcPr>
            <w:tcW w:w="3567" w:type="pct"/>
            <w:gridSpan w:val="8"/>
            <w:tcBorders>
              <w:top w:val="single" w:sz="2" w:space="0" w:color="auto"/>
            </w:tcBorders>
            <w:tcMar>
              <w:top w:w="0" w:type="dxa"/>
              <w:left w:w="108" w:type="dxa"/>
              <w:bottom w:w="0" w:type="dxa"/>
              <w:right w:w="108" w:type="dxa"/>
            </w:tcMar>
          </w:tcPr>
          <w:p w14:paraId="272200AF" w14:textId="77777777" w:rsidR="00A517F0" w:rsidRPr="0030358C" w:rsidRDefault="00A517F0" w:rsidP="00212967">
            <w:pPr>
              <w:spacing w:before="120"/>
              <w:rPr>
                <w:rFonts w:ascii="Arial" w:hAnsi="Arial" w:cs="Arial"/>
                <w:sz w:val="22"/>
                <w:szCs w:val="22"/>
              </w:rPr>
            </w:pPr>
          </w:p>
        </w:tc>
      </w:tr>
      <w:tr w:rsidR="00E40657" w14:paraId="43343A59" w14:textId="77777777" w:rsidTr="00212967">
        <w:trPr>
          <w:trHeight w:val="412"/>
        </w:trPr>
        <w:tc>
          <w:tcPr>
            <w:tcW w:w="1433" w:type="pct"/>
            <w:tcMar>
              <w:top w:w="0" w:type="dxa"/>
              <w:left w:w="108" w:type="dxa"/>
              <w:bottom w:w="0" w:type="dxa"/>
              <w:right w:w="108" w:type="dxa"/>
            </w:tcMar>
          </w:tcPr>
          <w:p w14:paraId="14438FB0"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Určující technická norma dle výrobního štítku</w:t>
            </w:r>
          </w:p>
        </w:tc>
        <w:tc>
          <w:tcPr>
            <w:tcW w:w="3567" w:type="pct"/>
            <w:gridSpan w:val="8"/>
            <w:tcMar>
              <w:top w:w="0" w:type="dxa"/>
              <w:left w:w="108" w:type="dxa"/>
              <w:bottom w:w="0" w:type="dxa"/>
              <w:right w:w="108" w:type="dxa"/>
            </w:tcMar>
          </w:tcPr>
          <w:p w14:paraId="7EEC1D7D" w14:textId="77777777" w:rsidR="00A517F0" w:rsidRPr="0030358C" w:rsidRDefault="00A517F0" w:rsidP="00212967">
            <w:pPr>
              <w:spacing w:before="120"/>
              <w:rPr>
                <w:rFonts w:ascii="Arial" w:hAnsi="Arial" w:cs="Arial"/>
                <w:sz w:val="22"/>
                <w:szCs w:val="22"/>
              </w:rPr>
            </w:pPr>
          </w:p>
        </w:tc>
      </w:tr>
      <w:tr w:rsidR="00E40657" w14:paraId="7DEA22AA" w14:textId="77777777" w:rsidTr="00212967">
        <w:trPr>
          <w:cantSplit/>
        </w:trPr>
        <w:tc>
          <w:tcPr>
            <w:tcW w:w="1433" w:type="pct"/>
            <w:tcMar>
              <w:top w:w="0" w:type="dxa"/>
              <w:left w:w="108" w:type="dxa"/>
              <w:bottom w:w="0" w:type="dxa"/>
              <w:right w:w="108" w:type="dxa"/>
            </w:tcMar>
          </w:tcPr>
          <w:p w14:paraId="45AF3E93"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Palivo nejčastěji spalované provozovatelem ve spalovacím stacionárním zdroji</w:t>
            </w:r>
          </w:p>
        </w:tc>
        <w:tc>
          <w:tcPr>
            <w:tcW w:w="3567" w:type="pct"/>
            <w:gridSpan w:val="8"/>
            <w:tcMar>
              <w:top w:w="0" w:type="dxa"/>
              <w:left w:w="108" w:type="dxa"/>
              <w:bottom w:w="0" w:type="dxa"/>
              <w:right w:w="108" w:type="dxa"/>
            </w:tcMar>
          </w:tcPr>
          <w:p w14:paraId="6F0069DC" w14:textId="77777777" w:rsidR="00A517F0" w:rsidRPr="0030358C" w:rsidRDefault="00A517F0" w:rsidP="00212967">
            <w:pPr>
              <w:spacing w:before="120"/>
              <w:jc w:val="center"/>
              <w:rPr>
                <w:rFonts w:ascii="Arial" w:hAnsi="Arial" w:cs="Arial"/>
                <w:sz w:val="22"/>
                <w:szCs w:val="22"/>
              </w:rPr>
            </w:pPr>
          </w:p>
        </w:tc>
      </w:tr>
      <w:tr w:rsidR="00E40657" w14:paraId="3FB8EA47" w14:textId="77777777" w:rsidTr="00212967">
        <w:trPr>
          <w:cantSplit/>
        </w:trPr>
        <w:tc>
          <w:tcPr>
            <w:tcW w:w="1433" w:type="pct"/>
            <w:vMerge w:val="restart"/>
            <w:tcMar>
              <w:top w:w="0" w:type="dxa"/>
              <w:left w:w="108" w:type="dxa"/>
              <w:bottom w:w="0" w:type="dxa"/>
              <w:right w:w="108" w:type="dxa"/>
            </w:tcMar>
          </w:tcPr>
          <w:p w14:paraId="1A40DCCE"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Paliva určená výrobcem spalovacího stacionárního zdroje</w:t>
            </w:r>
          </w:p>
        </w:tc>
        <w:tc>
          <w:tcPr>
            <w:tcW w:w="1096" w:type="pct"/>
            <w:gridSpan w:val="2"/>
            <w:tcMar>
              <w:top w:w="0" w:type="dxa"/>
              <w:left w:w="108" w:type="dxa"/>
              <w:bottom w:w="0" w:type="dxa"/>
              <w:right w:w="108" w:type="dxa"/>
            </w:tcMar>
          </w:tcPr>
          <w:p w14:paraId="456386DA" w14:textId="77777777" w:rsidR="00A517F0" w:rsidRPr="0030358C" w:rsidRDefault="00000000" w:rsidP="00212967">
            <w:pPr>
              <w:spacing w:before="120"/>
              <w:jc w:val="center"/>
              <w:rPr>
                <w:rFonts w:ascii="Arial" w:hAnsi="Arial" w:cs="Arial"/>
                <w:sz w:val="22"/>
                <w:szCs w:val="22"/>
              </w:rPr>
            </w:pPr>
            <w:r w:rsidRPr="0030358C">
              <w:rPr>
                <w:rFonts w:ascii="Arial" w:hAnsi="Arial" w:cs="Arial"/>
                <w:sz w:val="22"/>
                <w:szCs w:val="22"/>
              </w:rPr>
              <w:t>Palivo 1</w:t>
            </w:r>
          </w:p>
        </w:tc>
        <w:tc>
          <w:tcPr>
            <w:tcW w:w="1196" w:type="pct"/>
            <w:gridSpan w:val="3"/>
            <w:tcMar>
              <w:top w:w="0" w:type="dxa"/>
              <w:left w:w="108" w:type="dxa"/>
              <w:bottom w:w="0" w:type="dxa"/>
              <w:right w:w="108" w:type="dxa"/>
            </w:tcMar>
          </w:tcPr>
          <w:p w14:paraId="163945FE" w14:textId="77777777" w:rsidR="00A517F0" w:rsidRPr="0030358C" w:rsidRDefault="00000000" w:rsidP="00212967">
            <w:pPr>
              <w:spacing w:before="120"/>
              <w:jc w:val="center"/>
              <w:rPr>
                <w:rFonts w:ascii="Arial" w:hAnsi="Arial" w:cs="Arial"/>
                <w:sz w:val="22"/>
                <w:szCs w:val="22"/>
              </w:rPr>
            </w:pPr>
            <w:r w:rsidRPr="0030358C">
              <w:rPr>
                <w:rFonts w:ascii="Arial" w:hAnsi="Arial" w:cs="Arial"/>
                <w:sz w:val="22"/>
                <w:szCs w:val="22"/>
              </w:rPr>
              <w:t>Palivo 2</w:t>
            </w:r>
          </w:p>
        </w:tc>
        <w:tc>
          <w:tcPr>
            <w:tcW w:w="1275" w:type="pct"/>
            <w:gridSpan w:val="3"/>
            <w:tcMar>
              <w:top w:w="0" w:type="dxa"/>
              <w:left w:w="108" w:type="dxa"/>
              <w:bottom w:w="0" w:type="dxa"/>
              <w:right w:w="108" w:type="dxa"/>
            </w:tcMar>
          </w:tcPr>
          <w:p w14:paraId="2E3EF139" w14:textId="77777777" w:rsidR="00A517F0" w:rsidRPr="0030358C" w:rsidRDefault="00000000" w:rsidP="00212967">
            <w:pPr>
              <w:spacing w:before="120"/>
              <w:jc w:val="center"/>
              <w:rPr>
                <w:rFonts w:ascii="Arial" w:hAnsi="Arial" w:cs="Arial"/>
                <w:sz w:val="22"/>
                <w:szCs w:val="22"/>
              </w:rPr>
            </w:pPr>
            <w:r w:rsidRPr="0030358C">
              <w:rPr>
                <w:rFonts w:ascii="Arial" w:hAnsi="Arial" w:cs="Arial"/>
                <w:sz w:val="22"/>
                <w:szCs w:val="22"/>
              </w:rPr>
              <w:t>Palivo 3</w:t>
            </w:r>
          </w:p>
        </w:tc>
      </w:tr>
      <w:tr w:rsidR="00E40657" w14:paraId="775F09D6" w14:textId="77777777" w:rsidTr="00212967">
        <w:trPr>
          <w:cantSplit/>
          <w:trHeight w:val="408"/>
        </w:trPr>
        <w:tc>
          <w:tcPr>
            <w:tcW w:w="1433" w:type="pct"/>
            <w:vMerge/>
            <w:tcMar>
              <w:top w:w="0" w:type="dxa"/>
              <w:left w:w="108" w:type="dxa"/>
              <w:bottom w:w="0" w:type="dxa"/>
              <w:right w:w="108" w:type="dxa"/>
            </w:tcMar>
          </w:tcPr>
          <w:p w14:paraId="34008614" w14:textId="77777777" w:rsidR="00A517F0" w:rsidRPr="0030358C" w:rsidRDefault="00A517F0" w:rsidP="00212967">
            <w:pPr>
              <w:spacing w:before="120"/>
              <w:rPr>
                <w:rFonts w:ascii="Arial" w:hAnsi="Arial" w:cs="Arial"/>
                <w:sz w:val="22"/>
                <w:szCs w:val="22"/>
              </w:rPr>
            </w:pPr>
          </w:p>
        </w:tc>
        <w:tc>
          <w:tcPr>
            <w:tcW w:w="1096" w:type="pct"/>
            <w:gridSpan w:val="2"/>
            <w:tcMar>
              <w:top w:w="0" w:type="dxa"/>
              <w:left w:w="108" w:type="dxa"/>
              <w:bottom w:w="0" w:type="dxa"/>
              <w:right w:w="108" w:type="dxa"/>
            </w:tcMar>
          </w:tcPr>
          <w:p w14:paraId="13247068" w14:textId="77777777" w:rsidR="00A517F0" w:rsidRPr="0030358C" w:rsidRDefault="00A517F0" w:rsidP="00212967">
            <w:pPr>
              <w:spacing w:before="120"/>
              <w:rPr>
                <w:rFonts w:ascii="Arial" w:hAnsi="Arial" w:cs="Arial"/>
                <w:sz w:val="22"/>
                <w:szCs w:val="22"/>
              </w:rPr>
            </w:pPr>
          </w:p>
        </w:tc>
        <w:tc>
          <w:tcPr>
            <w:tcW w:w="1196" w:type="pct"/>
            <w:gridSpan w:val="3"/>
            <w:tcMar>
              <w:top w:w="0" w:type="dxa"/>
              <w:left w:w="108" w:type="dxa"/>
              <w:bottom w:w="0" w:type="dxa"/>
              <w:right w:w="108" w:type="dxa"/>
            </w:tcMar>
          </w:tcPr>
          <w:p w14:paraId="77F8EFAA" w14:textId="77777777" w:rsidR="00A517F0" w:rsidRPr="0030358C" w:rsidRDefault="00A517F0" w:rsidP="00212967">
            <w:pPr>
              <w:spacing w:before="120"/>
              <w:rPr>
                <w:rFonts w:ascii="Arial" w:hAnsi="Arial" w:cs="Arial"/>
                <w:sz w:val="22"/>
                <w:szCs w:val="22"/>
              </w:rPr>
            </w:pPr>
          </w:p>
        </w:tc>
        <w:tc>
          <w:tcPr>
            <w:tcW w:w="1275" w:type="pct"/>
            <w:gridSpan w:val="3"/>
            <w:tcMar>
              <w:top w:w="0" w:type="dxa"/>
              <w:left w:w="108" w:type="dxa"/>
              <w:bottom w:w="0" w:type="dxa"/>
              <w:right w:w="108" w:type="dxa"/>
            </w:tcMar>
          </w:tcPr>
          <w:p w14:paraId="240F3B34" w14:textId="77777777" w:rsidR="00A517F0" w:rsidRPr="0030358C" w:rsidRDefault="00A517F0" w:rsidP="00212967">
            <w:pPr>
              <w:spacing w:before="120"/>
              <w:rPr>
                <w:rFonts w:ascii="Arial" w:hAnsi="Arial" w:cs="Arial"/>
                <w:sz w:val="22"/>
                <w:szCs w:val="22"/>
              </w:rPr>
            </w:pPr>
          </w:p>
        </w:tc>
      </w:tr>
      <w:tr w:rsidR="00E40657" w14:paraId="48D6ADE2" w14:textId="77777777" w:rsidTr="00212967">
        <w:trPr>
          <w:trHeight w:val="413"/>
        </w:trPr>
        <w:tc>
          <w:tcPr>
            <w:tcW w:w="1433" w:type="pct"/>
            <w:tcMar>
              <w:top w:w="0" w:type="dxa"/>
              <w:left w:w="108" w:type="dxa"/>
              <w:bottom w:w="0" w:type="dxa"/>
              <w:right w:w="108" w:type="dxa"/>
            </w:tcMar>
          </w:tcPr>
          <w:p w14:paraId="14094FAE"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Jmenovitý tepelný příkon, je-li stanoven [kW]</w:t>
            </w:r>
          </w:p>
        </w:tc>
        <w:tc>
          <w:tcPr>
            <w:tcW w:w="1096" w:type="pct"/>
            <w:gridSpan w:val="2"/>
            <w:tcMar>
              <w:top w:w="0" w:type="dxa"/>
              <w:left w:w="108" w:type="dxa"/>
              <w:bottom w:w="0" w:type="dxa"/>
              <w:right w:w="108" w:type="dxa"/>
            </w:tcMar>
          </w:tcPr>
          <w:p w14:paraId="44428048" w14:textId="77777777" w:rsidR="00A517F0" w:rsidRPr="0030358C" w:rsidRDefault="00A517F0" w:rsidP="00212967">
            <w:pPr>
              <w:spacing w:before="120"/>
              <w:rPr>
                <w:rFonts w:ascii="Arial" w:hAnsi="Arial" w:cs="Arial"/>
                <w:sz w:val="22"/>
                <w:szCs w:val="22"/>
              </w:rPr>
            </w:pPr>
          </w:p>
        </w:tc>
        <w:tc>
          <w:tcPr>
            <w:tcW w:w="1196" w:type="pct"/>
            <w:gridSpan w:val="3"/>
            <w:tcMar>
              <w:top w:w="0" w:type="dxa"/>
              <w:left w:w="108" w:type="dxa"/>
              <w:bottom w:w="0" w:type="dxa"/>
              <w:right w:w="108" w:type="dxa"/>
            </w:tcMar>
          </w:tcPr>
          <w:p w14:paraId="46401B3B" w14:textId="77777777" w:rsidR="00A517F0" w:rsidRPr="0030358C" w:rsidRDefault="00A517F0" w:rsidP="00212967">
            <w:pPr>
              <w:spacing w:before="120"/>
              <w:rPr>
                <w:rFonts w:ascii="Arial" w:hAnsi="Arial" w:cs="Arial"/>
                <w:sz w:val="22"/>
                <w:szCs w:val="22"/>
              </w:rPr>
            </w:pPr>
          </w:p>
        </w:tc>
        <w:tc>
          <w:tcPr>
            <w:tcW w:w="1275" w:type="pct"/>
            <w:gridSpan w:val="3"/>
            <w:tcMar>
              <w:top w:w="0" w:type="dxa"/>
              <w:left w:w="108" w:type="dxa"/>
              <w:bottom w:w="0" w:type="dxa"/>
              <w:right w:w="108" w:type="dxa"/>
            </w:tcMar>
          </w:tcPr>
          <w:p w14:paraId="24616E71" w14:textId="77777777" w:rsidR="00A517F0" w:rsidRPr="0030358C" w:rsidRDefault="00A517F0" w:rsidP="00212967">
            <w:pPr>
              <w:spacing w:before="120"/>
              <w:rPr>
                <w:rFonts w:ascii="Arial" w:hAnsi="Arial" w:cs="Arial"/>
                <w:sz w:val="22"/>
                <w:szCs w:val="22"/>
              </w:rPr>
            </w:pPr>
          </w:p>
        </w:tc>
      </w:tr>
      <w:tr w:rsidR="00E40657" w14:paraId="4D319E1A" w14:textId="77777777" w:rsidTr="00212967">
        <w:trPr>
          <w:trHeight w:val="420"/>
        </w:trPr>
        <w:tc>
          <w:tcPr>
            <w:tcW w:w="1433" w:type="pct"/>
            <w:tcMar>
              <w:top w:w="0" w:type="dxa"/>
              <w:left w:w="108" w:type="dxa"/>
              <w:bottom w:w="0" w:type="dxa"/>
              <w:right w:w="108" w:type="dxa"/>
            </w:tcMar>
          </w:tcPr>
          <w:p w14:paraId="6ED97FDB"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Jmenovitý tepelný výkon [kW]</w:t>
            </w:r>
          </w:p>
        </w:tc>
        <w:tc>
          <w:tcPr>
            <w:tcW w:w="1096" w:type="pct"/>
            <w:gridSpan w:val="2"/>
            <w:tcMar>
              <w:top w:w="0" w:type="dxa"/>
              <w:left w:w="108" w:type="dxa"/>
              <w:bottom w:w="0" w:type="dxa"/>
              <w:right w:w="108" w:type="dxa"/>
            </w:tcMar>
          </w:tcPr>
          <w:p w14:paraId="290ADCB6" w14:textId="77777777" w:rsidR="00A517F0" w:rsidRPr="0030358C" w:rsidRDefault="00A517F0" w:rsidP="00212967">
            <w:pPr>
              <w:spacing w:before="120"/>
              <w:rPr>
                <w:rFonts w:ascii="Arial" w:hAnsi="Arial" w:cs="Arial"/>
                <w:sz w:val="22"/>
                <w:szCs w:val="22"/>
              </w:rPr>
            </w:pPr>
          </w:p>
        </w:tc>
        <w:tc>
          <w:tcPr>
            <w:tcW w:w="1196" w:type="pct"/>
            <w:gridSpan w:val="3"/>
            <w:tcMar>
              <w:top w:w="0" w:type="dxa"/>
              <w:left w:w="108" w:type="dxa"/>
              <w:bottom w:w="0" w:type="dxa"/>
              <w:right w:w="108" w:type="dxa"/>
            </w:tcMar>
          </w:tcPr>
          <w:p w14:paraId="20C1F82D" w14:textId="77777777" w:rsidR="00A517F0" w:rsidRPr="0030358C" w:rsidRDefault="00A517F0" w:rsidP="00212967">
            <w:pPr>
              <w:spacing w:before="120"/>
              <w:rPr>
                <w:rFonts w:ascii="Arial" w:hAnsi="Arial" w:cs="Arial"/>
                <w:sz w:val="22"/>
                <w:szCs w:val="22"/>
              </w:rPr>
            </w:pPr>
          </w:p>
        </w:tc>
        <w:tc>
          <w:tcPr>
            <w:tcW w:w="1275" w:type="pct"/>
            <w:gridSpan w:val="3"/>
            <w:tcMar>
              <w:top w:w="0" w:type="dxa"/>
              <w:left w:w="108" w:type="dxa"/>
              <w:bottom w:w="0" w:type="dxa"/>
              <w:right w:w="108" w:type="dxa"/>
            </w:tcMar>
          </w:tcPr>
          <w:p w14:paraId="4C5AA9D1" w14:textId="77777777" w:rsidR="00A517F0" w:rsidRPr="0030358C" w:rsidRDefault="00A517F0" w:rsidP="00212967">
            <w:pPr>
              <w:spacing w:before="120"/>
              <w:rPr>
                <w:rFonts w:ascii="Arial" w:hAnsi="Arial" w:cs="Arial"/>
                <w:sz w:val="22"/>
                <w:szCs w:val="22"/>
              </w:rPr>
            </w:pPr>
          </w:p>
        </w:tc>
      </w:tr>
      <w:tr w:rsidR="00E40657" w14:paraId="3AE16FCE" w14:textId="77777777" w:rsidTr="00212967">
        <w:trPr>
          <w:trHeight w:val="412"/>
        </w:trPr>
        <w:tc>
          <w:tcPr>
            <w:tcW w:w="1433" w:type="pct"/>
            <w:tcMar>
              <w:top w:w="0" w:type="dxa"/>
              <w:left w:w="108" w:type="dxa"/>
              <w:bottom w:w="0" w:type="dxa"/>
              <w:right w:w="108" w:type="dxa"/>
            </w:tcMar>
          </w:tcPr>
          <w:p w14:paraId="038B29DC"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Minimální tepelný výkon, je-li stanoven [kW]</w:t>
            </w:r>
          </w:p>
        </w:tc>
        <w:tc>
          <w:tcPr>
            <w:tcW w:w="1096" w:type="pct"/>
            <w:gridSpan w:val="2"/>
            <w:tcMar>
              <w:top w:w="0" w:type="dxa"/>
              <w:left w:w="108" w:type="dxa"/>
              <w:bottom w:w="0" w:type="dxa"/>
              <w:right w:w="108" w:type="dxa"/>
            </w:tcMar>
          </w:tcPr>
          <w:p w14:paraId="0CD18B4E" w14:textId="77777777" w:rsidR="00A517F0" w:rsidRPr="0030358C" w:rsidRDefault="00A517F0" w:rsidP="00212967">
            <w:pPr>
              <w:spacing w:before="120"/>
              <w:rPr>
                <w:rFonts w:ascii="Arial" w:hAnsi="Arial" w:cs="Arial"/>
                <w:sz w:val="22"/>
                <w:szCs w:val="22"/>
              </w:rPr>
            </w:pPr>
          </w:p>
        </w:tc>
        <w:tc>
          <w:tcPr>
            <w:tcW w:w="1196" w:type="pct"/>
            <w:gridSpan w:val="3"/>
            <w:tcMar>
              <w:top w:w="0" w:type="dxa"/>
              <w:left w:w="108" w:type="dxa"/>
              <w:bottom w:w="0" w:type="dxa"/>
              <w:right w:w="108" w:type="dxa"/>
            </w:tcMar>
          </w:tcPr>
          <w:p w14:paraId="5DD9F385" w14:textId="77777777" w:rsidR="00A517F0" w:rsidRPr="0030358C" w:rsidRDefault="00A517F0" w:rsidP="00212967">
            <w:pPr>
              <w:spacing w:before="120"/>
              <w:rPr>
                <w:rFonts w:ascii="Arial" w:hAnsi="Arial" w:cs="Arial"/>
                <w:sz w:val="22"/>
                <w:szCs w:val="22"/>
              </w:rPr>
            </w:pPr>
          </w:p>
        </w:tc>
        <w:tc>
          <w:tcPr>
            <w:tcW w:w="1275" w:type="pct"/>
            <w:gridSpan w:val="3"/>
            <w:tcMar>
              <w:top w:w="0" w:type="dxa"/>
              <w:left w:w="108" w:type="dxa"/>
              <w:bottom w:w="0" w:type="dxa"/>
              <w:right w:w="108" w:type="dxa"/>
            </w:tcMar>
          </w:tcPr>
          <w:p w14:paraId="0D601A66" w14:textId="77777777" w:rsidR="00A517F0" w:rsidRPr="0030358C" w:rsidRDefault="00A517F0" w:rsidP="00212967">
            <w:pPr>
              <w:spacing w:before="120"/>
              <w:rPr>
                <w:rFonts w:ascii="Arial" w:hAnsi="Arial" w:cs="Arial"/>
                <w:sz w:val="22"/>
                <w:szCs w:val="22"/>
              </w:rPr>
            </w:pPr>
          </w:p>
        </w:tc>
      </w:tr>
      <w:tr w:rsidR="00E40657" w14:paraId="41054DF9" w14:textId="77777777" w:rsidTr="00212967">
        <w:tc>
          <w:tcPr>
            <w:tcW w:w="1433" w:type="pct"/>
            <w:tcMar>
              <w:top w:w="0" w:type="dxa"/>
              <w:left w:w="108" w:type="dxa"/>
              <w:bottom w:w="0" w:type="dxa"/>
              <w:right w:w="108" w:type="dxa"/>
            </w:tcMar>
          </w:tcPr>
          <w:p w14:paraId="758B06E0" w14:textId="77777777" w:rsidR="00A517F0" w:rsidRPr="0030358C" w:rsidRDefault="00000000" w:rsidP="00212967">
            <w:pPr>
              <w:spacing w:before="120"/>
              <w:rPr>
                <w:rFonts w:ascii="Arial" w:hAnsi="Arial" w:cs="Arial"/>
                <w:sz w:val="22"/>
                <w:szCs w:val="22"/>
                <w:vertAlign w:val="superscript"/>
              </w:rPr>
            </w:pPr>
            <w:r w:rsidRPr="0030358C">
              <w:rPr>
                <w:rFonts w:ascii="Arial" w:hAnsi="Arial" w:cs="Arial"/>
                <w:sz w:val="22"/>
                <w:szCs w:val="22"/>
              </w:rPr>
              <w:t>Třída kotle</w:t>
            </w:r>
            <w:r w:rsidR="00FD2224" w:rsidRPr="0030358C">
              <w:rPr>
                <w:rFonts w:ascii="Arial" w:hAnsi="Arial" w:cs="Arial"/>
                <w:sz w:val="22"/>
                <w:szCs w:val="22"/>
                <w:vertAlign w:val="superscript"/>
              </w:rPr>
              <w:t>3</w:t>
            </w:r>
          </w:p>
        </w:tc>
        <w:tc>
          <w:tcPr>
            <w:tcW w:w="1096" w:type="pct"/>
            <w:gridSpan w:val="2"/>
            <w:tcMar>
              <w:top w:w="0" w:type="dxa"/>
              <w:left w:w="108" w:type="dxa"/>
              <w:bottom w:w="0" w:type="dxa"/>
              <w:right w:w="108" w:type="dxa"/>
            </w:tcMar>
          </w:tcPr>
          <w:p w14:paraId="7193C5CB" w14:textId="77777777" w:rsidR="00A517F0" w:rsidRPr="0030358C" w:rsidRDefault="00A517F0" w:rsidP="00212967">
            <w:pPr>
              <w:spacing w:before="120"/>
              <w:rPr>
                <w:rFonts w:ascii="Arial" w:hAnsi="Arial" w:cs="Arial"/>
                <w:sz w:val="22"/>
                <w:szCs w:val="22"/>
              </w:rPr>
            </w:pPr>
          </w:p>
        </w:tc>
        <w:tc>
          <w:tcPr>
            <w:tcW w:w="1196" w:type="pct"/>
            <w:gridSpan w:val="3"/>
            <w:tcMar>
              <w:top w:w="0" w:type="dxa"/>
              <w:left w:w="108" w:type="dxa"/>
              <w:bottom w:w="0" w:type="dxa"/>
              <w:right w:w="108" w:type="dxa"/>
            </w:tcMar>
          </w:tcPr>
          <w:p w14:paraId="4D17F7DA" w14:textId="77777777" w:rsidR="00A517F0" w:rsidRPr="0030358C" w:rsidRDefault="00A517F0" w:rsidP="00212967">
            <w:pPr>
              <w:spacing w:before="120"/>
              <w:rPr>
                <w:rFonts w:ascii="Arial" w:hAnsi="Arial" w:cs="Arial"/>
                <w:sz w:val="22"/>
                <w:szCs w:val="22"/>
              </w:rPr>
            </w:pPr>
          </w:p>
        </w:tc>
        <w:tc>
          <w:tcPr>
            <w:tcW w:w="1275" w:type="pct"/>
            <w:gridSpan w:val="3"/>
            <w:tcMar>
              <w:top w:w="0" w:type="dxa"/>
              <w:left w:w="108" w:type="dxa"/>
              <w:bottom w:w="0" w:type="dxa"/>
              <w:right w:w="108" w:type="dxa"/>
            </w:tcMar>
          </w:tcPr>
          <w:p w14:paraId="2B8C50D2" w14:textId="77777777" w:rsidR="00A517F0" w:rsidRPr="0030358C" w:rsidRDefault="00A517F0" w:rsidP="00212967">
            <w:pPr>
              <w:spacing w:before="120"/>
              <w:rPr>
                <w:rFonts w:ascii="Arial" w:hAnsi="Arial" w:cs="Arial"/>
                <w:sz w:val="22"/>
                <w:szCs w:val="22"/>
              </w:rPr>
            </w:pPr>
          </w:p>
        </w:tc>
      </w:tr>
      <w:tr w:rsidR="00E40657" w14:paraId="5822B132" w14:textId="77777777" w:rsidTr="00212967">
        <w:tc>
          <w:tcPr>
            <w:tcW w:w="5000" w:type="pct"/>
            <w:gridSpan w:val="9"/>
            <w:shd w:val="clear" w:color="auto" w:fill="D9D9D9"/>
            <w:tcMar>
              <w:top w:w="0" w:type="dxa"/>
              <w:left w:w="108" w:type="dxa"/>
              <w:bottom w:w="0" w:type="dxa"/>
              <w:right w:w="108" w:type="dxa"/>
            </w:tcMar>
          </w:tcPr>
          <w:p w14:paraId="038D2074"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Údaje o kontrole</w:t>
            </w:r>
          </w:p>
        </w:tc>
      </w:tr>
      <w:tr w:rsidR="00E40657" w14:paraId="52B0B4CC" w14:textId="77777777" w:rsidTr="00212967">
        <w:tc>
          <w:tcPr>
            <w:tcW w:w="2771" w:type="pct"/>
            <w:gridSpan w:val="4"/>
            <w:tcMar>
              <w:top w:w="0" w:type="dxa"/>
              <w:left w:w="108" w:type="dxa"/>
              <w:bottom w:w="0" w:type="dxa"/>
              <w:right w:w="108" w:type="dxa"/>
            </w:tcMar>
          </w:tcPr>
          <w:p w14:paraId="45F4A7B3" w14:textId="77777777" w:rsidR="00A517F0" w:rsidRPr="0030358C" w:rsidRDefault="00A517F0" w:rsidP="00212967">
            <w:pPr>
              <w:spacing w:before="120"/>
              <w:rPr>
                <w:rFonts w:ascii="Arial" w:hAnsi="Arial" w:cs="Arial"/>
                <w:sz w:val="22"/>
                <w:szCs w:val="22"/>
              </w:rPr>
            </w:pPr>
          </w:p>
        </w:tc>
        <w:tc>
          <w:tcPr>
            <w:tcW w:w="706" w:type="pct"/>
            <w:tcMar>
              <w:top w:w="0" w:type="dxa"/>
              <w:left w:w="108" w:type="dxa"/>
              <w:bottom w:w="0" w:type="dxa"/>
              <w:right w:w="108" w:type="dxa"/>
            </w:tcMar>
          </w:tcPr>
          <w:p w14:paraId="55D26461" w14:textId="77777777" w:rsidR="00A517F0" w:rsidRPr="0030358C" w:rsidRDefault="00000000" w:rsidP="00212967">
            <w:pPr>
              <w:spacing w:before="120"/>
              <w:jc w:val="center"/>
              <w:rPr>
                <w:rFonts w:ascii="Arial" w:hAnsi="Arial" w:cs="Arial"/>
                <w:sz w:val="22"/>
                <w:szCs w:val="22"/>
                <w:vertAlign w:val="superscript"/>
              </w:rPr>
            </w:pPr>
            <w:r w:rsidRPr="0030358C">
              <w:rPr>
                <w:rFonts w:ascii="Arial" w:hAnsi="Arial" w:cs="Arial"/>
                <w:sz w:val="22"/>
                <w:szCs w:val="22"/>
              </w:rPr>
              <w:t>Vyhovuje</w:t>
            </w:r>
            <w:r w:rsidR="00FD2224" w:rsidRPr="0030358C">
              <w:rPr>
                <w:rFonts w:ascii="Arial" w:hAnsi="Arial" w:cs="Arial"/>
                <w:sz w:val="22"/>
                <w:szCs w:val="22"/>
                <w:vertAlign w:val="superscript"/>
              </w:rPr>
              <w:t>4</w:t>
            </w:r>
          </w:p>
        </w:tc>
        <w:tc>
          <w:tcPr>
            <w:tcW w:w="845" w:type="pct"/>
            <w:gridSpan w:val="3"/>
            <w:tcMar>
              <w:top w:w="0" w:type="dxa"/>
              <w:left w:w="108" w:type="dxa"/>
              <w:bottom w:w="0" w:type="dxa"/>
              <w:right w:w="108" w:type="dxa"/>
            </w:tcMar>
          </w:tcPr>
          <w:p w14:paraId="0361BBBA" w14:textId="77777777" w:rsidR="00A517F0" w:rsidRPr="0030358C" w:rsidRDefault="00000000" w:rsidP="00212967">
            <w:pPr>
              <w:spacing w:before="120"/>
              <w:jc w:val="center"/>
              <w:rPr>
                <w:rFonts w:ascii="Arial" w:hAnsi="Arial" w:cs="Arial"/>
                <w:sz w:val="22"/>
                <w:szCs w:val="22"/>
                <w:vertAlign w:val="superscript"/>
              </w:rPr>
            </w:pPr>
            <w:r w:rsidRPr="0030358C">
              <w:rPr>
                <w:rFonts w:ascii="Arial" w:hAnsi="Arial" w:cs="Arial"/>
                <w:sz w:val="22"/>
                <w:szCs w:val="22"/>
              </w:rPr>
              <w:t>Nevyhovuje</w:t>
            </w:r>
            <w:r w:rsidRPr="0030358C">
              <w:rPr>
                <w:rFonts w:ascii="Arial" w:hAnsi="Arial" w:cs="Arial"/>
                <w:sz w:val="22"/>
                <w:szCs w:val="22"/>
                <w:vertAlign w:val="superscript"/>
              </w:rPr>
              <w:fldChar w:fldCharType="begin"/>
            </w:r>
            <w:r w:rsidRPr="0030358C">
              <w:rPr>
                <w:rFonts w:ascii="Arial" w:hAnsi="Arial" w:cs="Arial"/>
                <w:sz w:val="22"/>
                <w:szCs w:val="22"/>
                <w:vertAlign w:val="superscript"/>
              </w:rPr>
              <w:instrText xml:space="preserve"> NOTEREF _Ref11854460 \h  \* MERGEFORMAT </w:instrText>
            </w:r>
            <w:r w:rsidRPr="0030358C">
              <w:rPr>
                <w:rFonts w:ascii="Arial" w:hAnsi="Arial" w:cs="Arial"/>
                <w:sz w:val="22"/>
                <w:szCs w:val="22"/>
                <w:vertAlign w:val="superscript"/>
              </w:rPr>
            </w:r>
            <w:r w:rsidRPr="0030358C">
              <w:rPr>
                <w:rFonts w:ascii="Arial" w:hAnsi="Arial" w:cs="Arial"/>
                <w:sz w:val="22"/>
                <w:szCs w:val="22"/>
                <w:vertAlign w:val="superscript"/>
              </w:rPr>
              <w:fldChar w:fldCharType="separate"/>
            </w:r>
            <w:r w:rsidRPr="0030358C">
              <w:rPr>
                <w:rFonts w:ascii="Arial" w:hAnsi="Arial" w:cs="Arial"/>
                <w:b/>
                <w:sz w:val="22"/>
                <w:szCs w:val="22"/>
                <w:vertAlign w:val="superscript"/>
              </w:rPr>
              <w:t>Error! Bookmark not defined.</w:t>
            </w:r>
            <w:r w:rsidRPr="0030358C">
              <w:rPr>
                <w:rFonts w:ascii="Arial" w:hAnsi="Arial" w:cs="Arial"/>
                <w:sz w:val="22"/>
                <w:szCs w:val="22"/>
                <w:vertAlign w:val="superscript"/>
              </w:rPr>
              <w:fldChar w:fldCharType="end"/>
            </w:r>
          </w:p>
        </w:tc>
        <w:tc>
          <w:tcPr>
            <w:tcW w:w="678" w:type="pct"/>
            <w:tcMar>
              <w:top w:w="0" w:type="dxa"/>
              <w:left w:w="108" w:type="dxa"/>
              <w:bottom w:w="0" w:type="dxa"/>
              <w:right w:w="108" w:type="dxa"/>
            </w:tcMar>
          </w:tcPr>
          <w:p w14:paraId="576B83EB" w14:textId="77777777" w:rsidR="00A517F0" w:rsidRPr="0030358C" w:rsidRDefault="00000000" w:rsidP="00212967">
            <w:pPr>
              <w:spacing w:before="120"/>
              <w:jc w:val="center"/>
              <w:rPr>
                <w:rFonts w:ascii="Arial" w:hAnsi="Arial" w:cs="Arial"/>
                <w:sz w:val="22"/>
                <w:szCs w:val="22"/>
              </w:rPr>
            </w:pPr>
            <w:r w:rsidRPr="0030358C">
              <w:rPr>
                <w:rFonts w:ascii="Arial" w:hAnsi="Arial" w:cs="Arial"/>
                <w:sz w:val="22"/>
                <w:szCs w:val="22"/>
              </w:rPr>
              <w:t>Není</w:t>
            </w:r>
            <w:r w:rsidRPr="0030358C">
              <w:rPr>
                <w:rFonts w:ascii="Arial" w:hAnsi="Arial" w:cs="Arial"/>
                <w:sz w:val="22"/>
                <w:szCs w:val="22"/>
                <w:vertAlign w:val="superscript"/>
              </w:rPr>
              <w:fldChar w:fldCharType="begin"/>
            </w:r>
            <w:r w:rsidRPr="0030358C">
              <w:rPr>
                <w:rFonts w:ascii="Arial" w:hAnsi="Arial" w:cs="Arial"/>
                <w:sz w:val="22"/>
                <w:szCs w:val="22"/>
                <w:vertAlign w:val="superscript"/>
              </w:rPr>
              <w:instrText xml:space="preserve"> NOTEREF _Ref11854460 \h  \* MERGEFORMAT </w:instrText>
            </w:r>
            <w:r w:rsidRPr="0030358C">
              <w:rPr>
                <w:rFonts w:ascii="Arial" w:hAnsi="Arial" w:cs="Arial"/>
                <w:sz w:val="22"/>
                <w:szCs w:val="22"/>
                <w:vertAlign w:val="superscript"/>
              </w:rPr>
            </w:r>
            <w:r w:rsidRPr="0030358C">
              <w:rPr>
                <w:rFonts w:ascii="Arial" w:hAnsi="Arial" w:cs="Arial"/>
                <w:sz w:val="22"/>
                <w:szCs w:val="22"/>
                <w:vertAlign w:val="superscript"/>
              </w:rPr>
              <w:fldChar w:fldCharType="separate"/>
            </w:r>
            <w:r w:rsidRPr="0030358C">
              <w:rPr>
                <w:rFonts w:ascii="Arial" w:hAnsi="Arial" w:cs="Arial"/>
                <w:b/>
                <w:sz w:val="22"/>
                <w:szCs w:val="22"/>
                <w:vertAlign w:val="superscript"/>
              </w:rPr>
              <w:t>Error! Bookmark not defined.</w:t>
            </w:r>
            <w:r w:rsidRPr="0030358C">
              <w:rPr>
                <w:rFonts w:ascii="Arial" w:hAnsi="Arial" w:cs="Arial"/>
                <w:sz w:val="22"/>
                <w:szCs w:val="22"/>
                <w:vertAlign w:val="superscript"/>
              </w:rPr>
              <w:fldChar w:fldCharType="end"/>
            </w:r>
          </w:p>
        </w:tc>
      </w:tr>
      <w:tr w:rsidR="00E40657" w14:paraId="796B6F77" w14:textId="77777777" w:rsidTr="00212967">
        <w:trPr>
          <w:cantSplit/>
          <w:trHeight w:val="405"/>
        </w:trPr>
        <w:tc>
          <w:tcPr>
            <w:tcW w:w="1433" w:type="pct"/>
            <w:vMerge w:val="restart"/>
            <w:tcMar>
              <w:top w:w="0" w:type="dxa"/>
              <w:left w:w="108" w:type="dxa"/>
              <w:bottom w:w="0" w:type="dxa"/>
              <w:right w:w="108" w:type="dxa"/>
            </w:tcMar>
          </w:tcPr>
          <w:p w14:paraId="6014DB90"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Základní konstrukční prvky spalovacího stacionárního zdroje</w:t>
            </w:r>
          </w:p>
        </w:tc>
        <w:tc>
          <w:tcPr>
            <w:tcW w:w="1338" w:type="pct"/>
            <w:gridSpan w:val="3"/>
            <w:tcMar>
              <w:top w:w="0" w:type="dxa"/>
              <w:left w:w="108" w:type="dxa"/>
              <w:bottom w:w="0" w:type="dxa"/>
              <w:right w:w="108" w:type="dxa"/>
            </w:tcMar>
          </w:tcPr>
          <w:p w14:paraId="1B37FAE8"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Přívod spalovacího vzduchu</w:t>
            </w:r>
          </w:p>
        </w:tc>
        <w:tc>
          <w:tcPr>
            <w:tcW w:w="706" w:type="pct"/>
            <w:tcMar>
              <w:top w:w="0" w:type="dxa"/>
              <w:left w:w="108" w:type="dxa"/>
              <w:bottom w:w="0" w:type="dxa"/>
              <w:right w:w="108" w:type="dxa"/>
            </w:tcMar>
          </w:tcPr>
          <w:p w14:paraId="4DA156B8"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4188B2C6"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343F3F48"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20968A6F" w14:textId="77777777" w:rsidTr="00212967">
        <w:trPr>
          <w:cantSplit/>
          <w:trHeight w:val="420"/>
        </w:trPr>
        <w:tc>
          <w:tcPr>
            <w:tcW w:w="1433" w:type="pct"/>
            <w:vMerge/>
            <w:tcMar>
              <w:top w:w="0" w:type="dxa"/>
              <w:left w:w="108" w:type="dxa"/>
              <w:bottom w:w="0" w:type="dxa"/>
              <w:right w:w="108" w:type="dxa"/>
            </w:tcMar>
          </w:tcPr>
          <w:p w14:paraId="29A01EEB"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7ECEEC6B"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Roštová soustava</w:t>
            </w:r>
          </w:p>
        </w:tc>
        <w:tc>
          <w:tcPr>
            <w:tcW w:w="706" w:type="pct"/>
            <w:tcMar>
              <w:top w:w="0" w:type="dxa"/>
              <w:left w:w="108" w:type="dxa"/>
              <w:bottom w:w="0" w:type="dxa"/>
              <w:right w:w="108" w:type="dxa"/>
            </w:tcMar>
          </w:tcPr>
          <w:p w14:paraId="6350B6E9"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2A85F42B"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6FF4E232"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10C3597F" w14:textId="77777777" w:rsidTr="00212967">
        <w:trPr>
          <w:cantSplit/>
          <w:trHeight w:val="398"/>
        </w:trPr>
        <w:tc>
          <w:tcPr>
            <w:tcW w:w="1433" w:type="pct"/>
            <w:vMerge/>
            <w:tcMar>
              <w:top w:w="0" w:type="dxa"/>
              <w:left w:w="108" w:type="dxa"/>
              <w:bottom w:w="0" w:type="dxa"/>
              <w:right w:w="108" w:type="dxa"/>
            </w:tcMar>
          </w:tcPr>
          <w:p w14:paraId="4A4977F3"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7F8B84E2"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Spalovací komora</w:t>
            </w:r>
          </w:p>
        </w:tc>
        <w:tc>
          <w:tcPr>
            <w:tcW w:w="706" w:type="pct"/>
            <w:tcMar>
              <w:top w:w="0" w:type="dxa"/>
              <w:left w:w="108" w:type="dxa"/>
              <w:bottom w:w="0" w:type="dxa"/>
              <w:right w:w="108" w:type="dxa"/>
            </w:tcMar>
          </w:tcPr>
          <w:p w14:paraId="2675C99D"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0FC45B16"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7AE726AB" w14:textId="77777777" w:rsidR="00A517F0" w:rsidRPr="0030358C" w:rsidRDefault="00A517F0" w:rsidP="00212967">
            <w:pPr>
              <w:spacing w:before="120"/>
              <w:jc w:val="center"/>
              <w:rPr>
                <w:rFonts w:ascii="Arial" w:hAnsi="Arial" w:cs="Arial"/>
                <w:sz w:val="22"/>
                <w:szCs w:val="22"/>
              </w:rPr>
            </w:pPr>
          </w:p>
        </w:tc>
      </w:tr>
      <w:tr w:rsidR="00E40657" w14:paraId="1BCF405D" w14:textId="77777777" w:rsidTr="00212967">
        <w:trPr>
          <w:cantSplit/>
          <w:trHeight w:val="417"/>
        </w:trPr>
        <w:tc>
          <w:tcPr>
            <w:tcW w:w="1433" w:type="pct"/>
            <w:vMerge/>
            <w:tcMar>
              <w:top w:w="0" w:type="dxa"/>
              <w:left w:w="108" w:type="dxa"/>
              <w:bottom w:w="0" w:type="dxa"/>
              <w:right w:w="108" w:type="dxa"/>
            </w:tcMar>
          </w:tcPr>
          <w:p w14:paraId="314D1BDA"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7632554E"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Zatápěcí klapka</w:t>
            </w:r>
          </w:p>
        </w:tc>
        <w:tc>
          <w:tcPr>
            <w:tcW w:w="706" w:type="pct"/>
            <w:tcMar>
              <w:top w:w="0" w:type="dxa"/>
              <w:left w:w="108" w:type="dxa"/>
              <w:bottom w:w="0" w:type="dxa"/>
              <w:right w:w="108" w:type="dxa"/>
            </w:tcMar>
          </w:tcPr>
          <w:p w14:paraId="03FF8CBF"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7DC73527"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5E4F1B18"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0BE656D6" w14:textId="77777777" w:rsidTr="00212967">
        <w:trPr>
          <w:cantSplit/>
          <w:trHeight w:val="410"/>
        </w:trPr>
        <w:tc>
          <w:tcPr>
            <w:tcW w:w="1433" w:type="pct"/>
            <w:vMerge/>
            <w:tcMar>
              <w:top w:w="0" w:type="dxa"/>
              <w:left w:w="108" w:type="dxa"/>
              <w:bottom w:w="0" w:type="dxa"/>
              <w:right w:w="108" w:type="dxa"/>
            </w:tcMar>
          </w:tcPr>
          <w:p w14:paraId="78E4DEB0"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7F3FFAE6"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Vstupní a čistící otvory</w:t>
            </w:r>
          </w:p>
        </w:tc>
        <w:tc>
          <w:tcPr>
            <w:tcW w:w="706" w:type="pct"/>
            <w:tcMar>
              <w:top w:w="0" w:type="dxa"/>
              <w:left w:w="108" w:type="dxa"/>
              <w:bottom w:w="0" w:type="dxa"/>
              <w:right w:w="108" w:type="dxa"/>
            </w:tcMar>
          </w:tcPr>
          <w:p w14:paraId="54893839"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2F3EC77D"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1677C5A7"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793C871A" w14:textId="77777777" w:rsidTr="00212967">
        <w:trPr>
          <w:cantSplit/>
          <w:trHeight w:val="416"/>
        </w:trPr>
        <w:tc>
          <w:tcPr>
            <w:tcW w:w="1433" w:type="pct"/>
            <w:vMerge/>
            <w:tcMar>
              <w:top w:w="0" w:type="dxa"/>
              <w:left w:w="108" w:type="dxa"/>
              <w:bottom w:w="0" w:type="dxa"/>
              <w:right w:w="108" w:type="dxa"/>
            </w:tcMar>
          </w:tcPr>
          <w:p w14:paraId="1E9E07F1"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2FA364DF"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Přívod paliva</w:t>
            </w:r>
          </w:p>
        </w:tc>
        <w:tc>
          <w:tcPr>
            <w:tcW w:w="706" w:type="pct"/>
            <w:tcMar>
              <w:top w:w="0" w:type="dxa"/>
              <w:left w:w="108" w:type="dxa"/>
              <w:bottom w:w="0" w:type="dxa"/>
              <w:right w:w="108" w:type="dxa"/>
            </w:tcMar>
          </w:tcPr>
          <w:p w14:paraId="2A617AF5"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78B6C877"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173577AB" w14:textId="77777777" w:rsidR="00A517F0" w:rsidRPr="0030358C" w:rsidRDefault="00A517F0" w:rsidP="00212967">
            <w:pPr>
              <w:spacing w:before="120"/>
              <w:jc w:val="center"/>
              <w:rPr>
                <w:rFonts w:ascii="Arial" w:hAnsi="Arial" w:cs="Arial"/>
                <w:sz w:val="22"/>
                <w:szCs w:val="22"/>
              </w:rPr>
            </w:pPr>
          </w:p>
        </w:tc>
      </w:tr>
      <w:tr w:rsidR="00E40657" w14:paraId="313FC45A" w14:textId="77777777" w:rsidTr="00212967">
        <w:trPr>
          <w:cantSplit/>
          <w:trHeight w:val="422"/>
        </w:trPr>
        <w:tc>
          <w:tcPr>
            <w:tcW w:w="1433" w:type="pct"/>
            <w:vMerge/>
            <w:tcMar>
              <w:top w:w="0" w:type="dxa"/>
              <w:left w:w="108" w:type="dxa"/>
              <w:bottom w:w="0" w:type="dxa"/>
              <w:right w:w="108" w:type="dxa"/>
            </w:tcMar>
          </w:tcPr>
          <w:p w14:paraId="2217E230"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094D1B17"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Vnější izolace</w:t>
            </w:r>
          </w:p>
        </w:tc>
        <w:tc>
          <w:tcPr>
            <w:tcW w:w="706" w:type="pct"/>
            <w:tcMar>
              <w:top w:w="0" w:type="dxa"/>
              <w:left w:w="108" w:type="dxa"/>
              <w:bottom w:w="0" w:type="dxa"/>
              <w:right w:w="108" w:type="dxa"/>
            </w:tcMar>
          </w:tcPr>
          <w:p w14:paraId="6E14F80D"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357CFB7E"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16C8D27D"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4932FE73" w14:textId="77777777" w:rsidTr="00212967">
        <w:trPr>
          <w:cantSplit/>
          <w:trHeight w:val="414"/>
        </w:trPr>
        <w:tc>
          <w:tcPr>
            <w:tcW w:w="1433" w:type="pct"/>
            <w:vMerge w:val="restart"/>
            <w:tcMar>
              <w:top w:w="0" w:type="dxa"/>
              <w:left w:w="108" w:type="dxa"/>
              <w:bottom w:w="0" w:type="dxa"/>
              <w:right w:w="108" w:type="dxa"/>
            </w:tcMar>
          </w:tcPr>
          <w:p w14:paraId="765C7A59"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Řídicí, regulační, měřicí a zabezpečovací prvky spalovacího stacionárního zdroje</w:t>
            </w:r>
          </w:p>
        </w:tc>
        <w:tc>
          <w:tcPr>
            <w:tcW w:w="1338" w:type="pct"/>
            <w:gridSpan w:val="3"/>
            <w:tcMar>
              <w:top w:w="0" w:type="dxa"/>
              <w:left w:w="108" w:type="dxa"/>
              <w:bottom w:w="0" w:type="dxa"/>
              <w:right w:w="108" w:type="dxa"/>
            </w:tcMar>
          </w:tcPr>
          <w:p w14:paraId="54CE9760"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Řídicí jednotka</w:t>
            </w:r>
          </w:p>
        </w:tc>
        <w:tc>
          <w:tcPr>
            <w:tcW w:w="706" w:type="pct"/>
            <w:tcMar>
              <w:top w:w="0" w:type="dxa"/>
              <w:left w:w="108" w:type="dxa"/>
              <w:bottom w:w="0" w:type="dxa"/>
              <w:right w:w="108" w:type="dxa"/>
            </w:tcMar>
          </w:tcPr>
          <w:p w14:paraId="14921F36"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44C40C38"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3015A3A0"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06817093" w14:textId="77777777" w:rsidTr="00212967">
        <w:trPr>
          <w:cantSplit/>
        </w:trPr>
        <w:tc>
          <w:tcPr>
            <w:tcW w:w="1433" w:type="pct"/>
            <w:vMerge/>
            <w:tcMar>
              <w:top w:w="0" w:type="dxa"/>
              <w:left w:w="108" w:type="dxa"/>
              <w:bottom w:w="0" w:type="dxa"/>
              <w:right w:w="108" w:type="dxa"/>
            </w:tcMar>
          </w:tcPr>
          <w:p w14:paraId="44586D00"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0F5A7012"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Regulátor množství spalovacího vzduchu</w:t>
            </w:r>
          </w:p>
        </w:tc>
        <w:tc>
          <w:tcPr>
            <w:tcW w:w="706" w:type="pct"/>
            <w:tcMar>
              <w:top w:w="0" w:type="dxa"/>
              <w:left w:w="108" w:type="dxa"/>
              <w:bottom w:w="0" w:type="dxa"/>
              <w:right w:w="108" w:type="dxa"/>
            </w:tcMar>
          </w:tcPr>
          <w:p w14:paraId="1B8A1891"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1BDD24BB"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0DD6DA4D"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39FA9CCB" w14:textId="77777777" w:rsidTr="00212967">
        <w:trPr>
          <w:cantSplit/>
          <w:trHeight w:val="428"/>
        </w:trPr>
        <w:tc>
          <w:tcPr>
            <w:tcW w:w="1433" w:type="pct"/>
            <w:vMerge/>
            <w:tcMar>
              <w:top w:w="0" w:type="dxa"/>
              <w:left w:w="108" w:type="dxa"/>
              <w:bottom w:w="0" w:type="dxa"/>
              <w:right w:w="108" w:type="dxa"/>
            </w:tcMar>
          </w:tcPr>
          <w:p w14:paraId="2EC87E83"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5CAA2986"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Havarijní termostat</w:t>
            </w:r>
          </w:p>
        </w:tc>
        <w:tc>
          <w:tcPr>
            <w:tcW w:w="706" w:type="pct"/>
            <w:tcMar>
              <w:top w:w="0" w:type="dxa"/>
              <w:left w:w="108" w:type="dxa"/>
              <w:bottom w:w="0" w:type="dxa"/>
              <w:right w:w="108" w:type="dxa"/>
            </w:tcMar>
          </w:tcPr>
          <w:p w14:paraId="0707F3E4"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57242F1E"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22308211"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1CE7A1FF" w14:textId="77777777" w:rsidTr="00212967">
        <w:trPr>
          <w:cantSplit/>
          <w:trHeight w:val="428"/>
        </w:trPr>
        <w:tc>
          <w:tcPr>
            <w:tcW w:w="1433" w:type="pct"/>
            <w:vMerge/>
            <w:tcMar>
              <w:top w:w="0" w:type="dxa"/>
              <w:left w:w="108" w:type="dxa"/>
              <w:bottom w:w="0" w:type="dxa"/>
              <w:right w:w="108" w:type="dxa"/>
            </w:tcMar>
          </w:tcPr>
          <w:p w14:paraId="5E5DF0AF"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54E75AB7"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Zařízení proti přetopení</w:t>
            </w:r>
          </w:p>
        </w:tc>
        <w:tc>
          <w:tcPr>
            <w:tcW w:w="706" w:type="pct"/>
            <w:tcMar>
              <w:top w:w="0" w:type="dxa"/>
              <w:left w:w="108" w:type="dxa"/>
              <w:bottom w:w="0" w:type="dxa"/>
              <w:right w:w="108" w:type="dxa"/>
            </w:tcMar>
          </w:tcPr>
          <w:p w14:paraId="4A9002F6"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11CE611A"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356FCBBB"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20CCB03A" w14:textId="77777777" w:rsidTr="00212967">
        <w:trPr>
          <w:cantSplit/>
        </w:trPr>
        <w:tc>
          <w:tcPr>
            <w:tcW w:w="1433" w:type="pct"/>
            <w:vMerge/>
            <w:tcMar>
              <w:top w:w="0" w:type="dxa"/>
              <w:left w:w="108" w:type="dxa"/>
              <w:bottom w:w="0" w:type="dxa"/>
              <w:right w:w="108" w:type="dxa"/>
            </w:tcMar>
          </w:tcPr>
          <w:p w14:paraId="7D3E7E09"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61762DA2"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Zařízení zabraňující prohoření paliva do násypky</w:t>
            </w:r>
          </w:p>
        </w:tc>
        <w:tc>
          <w:tcPr>
            <w:tcW w:w="706" w:type="pct"/>
            <w:tcMar>
              <w:top w:w="0" w:type="dxa"/>
              <w:left w:w="108" w:type="dxa"/>
              <w:bottom w:w="0" w:type="dxa"/>
              <w:right w:w="108" w:type="dxa"/>
            </w:tcMar>
          </w:tcPr>
          <w:p w14:paraId="0DC17E31"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5312C536"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1224974A"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15B6C4B4" w14:textId="77777777" w:rsidTr="00212967">
        <w:trPr>
          <w:cantSplit/>
          <w:trHeight w:val="438"/>
        </w:trPr>
        <w:tc>
          <w:tcPr>
            <w:tcW w:w="1433" w:type="pct"/>
            <w:vMerge w:val="restart"/>
            <w:tcMar>
              <w:top w:w="0" w:type="dxa"/>
              <w:left w:w="108" w:type="dxa"/>
              <w:bottom w:w="0" w:type="dxa"/>
              <w:right w:w="108" w:type="dxa"/>
            </w:tcMar>
          </w:tcPr>
          <w:p w14:paraId="67915957"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Palivové hospodářství</w:t>
            </w:r>
          </w:p>
        </w:tc>
        <w:tc>
          <w:tcPr>
            <w:tcW w:w="1338" w:type="pct"/>
            <w:gridSpan w:val="3"/>
            <w:tcMar>
              <w:top w:w="0" w:type="dxa"/>
              <w:left w:w="108" w:type="dxa"/>
              <w:bottom w:w="0" w:type="dxa"/>
              <w:right w:w="108" w:type="dxa"/>
            </w:tcMar>
          </w:tcPr>
          <w:p w14:paraId="4E1D4841"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Používané palivo</w:t>
            </w:r>
          </w:p>
        </w:tc>
        <w:tc>
          <w:tcPr>
            <w:tcW w:w="706" w:type="pct"/>
            <w:tcMar>
              <w:top w:w="0" w:type="dxa"/>
              <w:left w:w="108" w:type="dxa"/>
              <w:bottom w:w="0" w:type="dxa"/>
              <w:right w:w="108" w:type="dxa"/>
            </w:tcMar>
          </w:tcPr>
          <w:p w14:paraId="5469C3CC"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78894F4F"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46B4809C"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6F4AC40B" w14:textId="77777777" w:rsidTr="00212967">
        <w:trPr>
          <w:cantSplit/>
          <w:trHeight w:val="416"/>
        </w:trPr>
        <w:tc>
          <w:tcPr>
            <w:tcW w:w="1433" w:type="pct"/>
            <w:vMerge/>
            <w:tcMar>
              <w:top w:w="0" w:type="dxa"/>
              <w:left w:w="108" w:type="dxa"/>
              <w:bottom w:w="0" w:type="dxa"/>
              <w:right w:w="108" w:type="dxa"/>
            </w:tcMar>
          </w:tcPr>
          <w:p w14:paraId="1FA4F3AD"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1624F5DD"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Způsob skladování paliva</w:t>
            </w:r>
          </w:p>
        </w:tc>
        <w:tc>
          <w:tcPr>
            <w:tcW w:w="706" w:type="pct"/>
            <w:tcMar>
              <w:top w:w="0" w:type="dxa"/>
              <w:left w:w="108" w:type="dxa"/>
              <w:bottom w:w="0" w:type="dxa"/>
              <w:right w:w="108" w:type="dxa"/>
            </w:tcMar>
          </w:tcPr>
          <w:p w14:paraId="22F8D3BD"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3EDFB2D5"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26DC5F8F" w14:textId="77777777" w:rsidR="00A517F0" w:rsidRPr="0030358C" w:rsidRDefault="00A517F0" w:rsidP="00212967">
            <w:pPr>
              <w:spacing w:before="120"/>
              <w:jc w:val="center"/>
              <w:rPr>
                <w:rFonts w:ascii="Arial" w:hAnsi="Arial" w:cs="Arial"/>
                <w:sz w:val="22"/>
                <w:szCs w:val="22"/>
              </w:rPr>
            </w:pPr>
          </w:p>
        </w:tc>
      </w:tr>
      <w:tr w:rsidR="00E40657" w14:paraId="5C8B6812" w14:textId="77777777" w:rsidTr="00212967">
        <w:trPr>
          <w:cantSplit/>
          <w:trHeight w:val="408"/>
        </w:trPr>
        <w:tc>
          <w:tcPr>
            <w:tcW w:w="1433" w:type="pct"/>
            <w:vMerge w:val="restart"/>
            <w:tcMar>
              <w:top w:w="0" w:type="dxa"/>
              <w:left w:w="108" w:type="dxa"/>
              <w:bottom w:w="0" w:type="dxa"/>
              <w:right w:w="108" w:type="dxa"/>
            </w:tcMar>
          </w:tcPr>
          <w:p w14:paraId="224FC4B2"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Teplovodní soustava</w:t>
            </w:r>
          </w:p>
        </w:tc>
        <w:tc>
          <w:tcPr>
            <w:tcW w:w="1338" w:type="pct"/>
            <w:gridSpan w:val="3"/>
            <w:tcMar>
              <w:top w:w="0" w:type="dxa"/>
              <w:left w:w="108" w:type="dxa"/>
              <w:bottom w:w="0" w:type="dxa"/>
              <w:right w:w="108" w:type="dxa"/>
            </w:tcMar>
          </w:tcPr>
          <w:p w14:paraId="6939AD50"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Zajištění teploty vratné vody</w:t>
            </w:r>
          </w:p>
        </w:tc>
        <w:tc>
          <w:tcPr>
            <w:tcW w:w="706" w:type="pct"/>
            <w:tcMar>
              <w:top w:w="0" w:type="dxa"/>
              <w:left w:w="108" w:type="dxa"/>
              <w:bottom w:w="0" w:type="dxa"/>
              <w:right w:w="108" w:type="dxa"/>
            </w:tcMar>
          </w:tcPr>
          <w:p w14:paraId="64BACF4B"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6DAF6C66"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7DDE846E"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0EE958DF" w14:textId="77777777" w:rsidTr="00212967">
        <w:trPr>
          <w:cantSplit/>
          <w:trHeight w:val="408"/>
        </w:trPr>
        <w:tc>
          <w:tcPr>
            <w:tcW w:w="1433" w:type="pct"/>
            <w:vMerge/>
            <w:tcMar>
              <w:top w:w="0" w:type="dxa"/>
              <w:left w:w="108" w:type="dxa"/>
              <w:bottom w:w="0" w:type="dxa"/>
              <w:right w:w="108" w:type="dxa"/>
            </w:tcMar>
          </w:tcPr>
          <w:p w14:paraId="6B245AF8"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6CC2D387"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Akumulační nádoba</w:t>
            </w:r>
          </w:p>
        </w:tc>
        <w:tc>
          <w:tcPr>
            <w:tcW w:w="706" w:type="pct"/>
            <w:tcMar>
              <w:top w:w="0" w:type="dxa"/>
              <w:left w:w="108" w:type="dxa"/>
              <w:bottom w:w="0" w:type="dxa"/>
              <w:right w:w="108" w:type="dxa"/>
            </w:tcMar>
          </w:tcPr>
          <w:p w14:paraId="0939D091"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0A02FB28"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2F69F504"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r>
      <w:tr w:rsidR="00E40657" w14:paraId="30AFCA6C" w14:textId="77777777" w:rsidTr="00212967">
        <w:trPr>
          <w:cantSplit/>
          <w:trHeight w:val="408"/>
        </w:trPr>
        <w:tc>
          <w:tcPr>
            <w:tcW w:w="1433" w:type="pct"/>
            <w:vMerge/>
            <w:tcMar>
              <w:top w:w="0" w:type="dxa"/>
              <w:left w:w="108" w:type="dxa"/>
              <w:bottom w:w="0" w:type="dxa"/>
              <w:right w:w="108" w:type="dxa"/>
            </w:tcMar>
          </w:tcPr>
          <w:p w14:paraId="29032241"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7845D6C6"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Typ soustavy</w:t>
            </w:r>
          </w:p>
        </w:tc>
        <w:tc>
          <w:tcPr>
            <w:tcW w:w="1143" w:type="pct"/>
            <w:gridSpan w:val="3"/>
            <w:tcMar>
              <w:top w:w="0" w:type="dxa"/>
              <w:left w:w="108" w:type="dxa"/>
              <w:bottom w:w="0" w:type="dxa"/>
              <w:right w:w="108" w:type="dxa"/>
            </w:tcMar>
          </w:tcPr>
          <w:p w14:paraId="2A4D6EDB"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r w:rsidRPr="0030358C">
              <w:rPr>
                <w:rFonts w:ascii="Arial" w:hAnsi="Arial" w:cs="Arial"/>
                <w:sz w:val="22"/>
                <w:szCs w:val="22"/>
              </w:rPr>
              <w:t xml:space="preserve"> otevřená</w:t>
            </w:r>
          </w:p>
        </w:tc>
        <w:tc>
          <w:tcPr>
            <w:tcW w:w="1086" w:type="pct"/>
            <w:gridSpan w:val="2"/>
            <w:tcMar>
              <w:top w:w="0" w:type="dxa"/>
              <w:left w:w="108" w:type="dxa"/>
              <w:bottom w:w="0" w:type="dxa"/>
              <w:right w:w="108" w:type="dxa"/>
            </w:tcMar>
          </w:tcPr>
          <w:p w14:paraId="77A28406"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r w:rsidRPr="0030358C">
              <w:rPr>
                <w:rFonts w:ascii="Arial" w:hAnsi="Arial" w:cs="Arial"/>
                <w:sz w:val="22"/>
                <w:szCs w:val="22"/>
              </w:rPr>
              <w:t xml:space="preserve"> uzavřená</w:t>
            </w:r>
          </w:p>
        </w:tc>
      </w:tr>
      <w:tr w:rsidR="00E40657" w14:paraId="72280A9E" w14:textId="77777777" w:rsidTr="00212967">
        <w:trPr>
          <w:cantSplit/>
        </w:trPr>
        <w:tc>
          <w:tcPr>
            <w:tcW w:w="1433" w:type="pct"/>
            <w:vMerge w:val="restart"/>
            <w:tcMar>
              <w:top w:w="0" w:type="dxa"/>
              <w:left w:w="108" w:type="dxa"/>
              <w:bottom w:w="0" w:type="dxa"/>
              <w:right w:w="108" w:type="dxa"/>
            </w:tcMar>
          </w:tcPr>
          <w:p w14:paraId="62F56EF8"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Odvod spalin a spalinové cesty</w:t>
            </w:r>
          </w:p>
        </w:tc>
        <w:tc>
          <w:tcPr>
            <w:tcW w:w="1338" w:type="pct"/>
            <w:gridSpan w:val="3"/>
            <w:tcMar>
              <w:top w:w="0" w:type="dxa"/>
              <w:left w:w="108" w:type="dxa"/>
              <w:bottom w:w="0" w:type="dxa"/>
              <w:right w:w="108" w:type="dxa"/>
            </w:tcMar>
          </w:tcPr>
          <w:p w14:paraId="7CAF02D9"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Napojení na spalinové cesty</w:t>
            </w:r>
          </w:p>
        </w:tc>
        <w:tc>
          <w:tcPr>
            <w:tcW w:w="706" w:type="pct"/>
            <w:tcMar>
              <w:top w:w="0" w:type="dxa"/>
              <w:left w:w="108" w:type="dxa"/>
              <w:bottom w:w="0" w:type="dxa"/>
              <w:right w:w="108" w:type="dxa"/>
            </w:tcMar>
          </w:tcPr>
          <w:p w14:paraId="610D281B"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845" w:type="pct"/>
            <w:gridSpan w:val="3"/>
            <w:tcMar>
              <w:top w:w="0" w:type="dxa"/>
              <w:left w:w="108" w:type="dxa"/>
              <w:bottom w:w="0" w:type="dxa"/>
              <w:right w:w="108" w:type="dxa"/>
            </w:tcMar>
          </w:tcPr>
          <w:p w14:paraId="50C87597" w14:textId="77777777" w:rsidR="00A517F0" w:rsidRPr="0030358C" w:rsidRDefault="00000000" w:rsidP="00212967">
            <w:pPr>
              <w:spacing w:before="120"/>
              <w:jc w:val="center"/>
              <w:rPr>
                <w:rFonts w:ascii="Arial" w:hAnsi="Arial" w:cs="Arial"/>
                <w:sz w:val="22"/>
                <w:szCs w:val="22"/>
              </w:rPr>
            </w:pPr>
            <w:r w:rsidRPr="0030358C">
              <w:rPr>
                <w:rFonts w:ascii="Segoe UI Symbol" w:eastAsia="MS Gothic" w:hAnsi="Segoe UI Symbol" w:cs="Segoe UI Symbol"/>
                <w:sz w:val="22"/>
                <w:szCs w:val="22"/>
              </w:rPr>
              <w:t>☐</w:t>
            </w:r>
          </w:p>
        </w:tc>
        <w:tc>
          <w:tcPr>
            <w:tcW w:w="678" w:type="pct"/>
            <w:tcMar>
              <w:top w:w="0" w:type="dxa"/>
              <w:left w:w="108" w:type="dxa"/>
              <w:bottom w:w="0" w:type="dxa"/>
              <w:right w:w="108" w:type="dxa"/>
            </w:tcMar>
          </w:tcPr>
          <w:p w14:paraId="3553FD45" w14:textId="77777777" w:rsidR="00A517F0" w:rsidRPr="0030358C" w:rsidRDefault="00A517F0" w:rsidP="00212967">
            <w:pPr>
              <w:spacing w:before="120"/>
              <w:jc w:val="center"/>
              <w:rPr>
                <w:rFonts w:ascii="Arial" w:hAnsi="Arial" w:cs="Arial"/>
                <w:sz w:val="22"/>
                <w:szCs w:val="22"/>
              </w:rPr>
            </w:pPr>
          </w:p>
        </w:tc>
      </w:tr>
      <w:tr w:rsidR="00E40657" w14:paraId="7ADF019B" w14:textId="77777777" w:rsidTr="00212967">
        <w:trPr>
          <w:cantSplit/>
        </w:trPr>
        <w:tc>
          <w:tcPr>
            <w:tcW w:w="1433" w:type="pct"/>
            <w:vMerge/>
            <w:tcMar>
              <w:top w:w="0" w:type="dxa"/>
              <w:left w:w="108" w:type="dxa"/>
              <w:bottom w:w="0" w:type="dxa"/>
              <w:right w:w="108" w:type="dxa"/>
            </w:tcMar>
          </w:tcPr>
          <w:p w14:paraId="052C4557" w14:textId="77777777" w:rsidR="00A517F0" w:rsidRPr="0030358C" w:rsidRDefault="00A517F0" w:rsidP="00212967">
            <w:pPr>
              <w:spacing w:before="120"/>
              <w:rPr>
                <w:rFonts w:ascii="Arial" w:hAnsi="Arial" w:cs="Arial"/>
                <w:sz w:val="22"/>
                <w:szCs w:val="22"/>
              </w:rPr>
            </w:pPr>
          </w:p>
        </w:tc>
        <w:tc>
          <w:tcPr>
            <w:tcW w:w="1338" w:type="pct"/>
            <w:gridSpan w:val="3"/>
            <w:tcMar>
              <w:top w:w="0" w:type="dxa"/>
              <w:left w:w="108" w:type="dxa"/>
              <w:bottom w:w="0" w:type="dxa"/>
              <w:right w:w="108" w:type="dxa"/>
            </w:tcMar>
          </w:tcPr>
          <w:p w14:paraId="0E6CCA7D"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Revize spalinových cest provedena dne</w:t>
            </w:r>
          </w:p>
        </w:tc>
        <w:tc>
          <w:tcPr>
            <w:tcW w:w="2229" w:type="pct"/>
            <w:gridSpan w:val="5"/>
            <w:tcMar>
              <w:top w:w="0" w:type="dxa"/>
              <w:left w:w="108" w:type="dxa"/>
              <w:bottom w:w="0" w:type="dxa"/>
              <w:right w:w="108" w:type="dxa"/>
            </w:tcMar>
          </w:tcPr>
          <w:p w14:paraId="7EA0D381" w14:textId="77777777" w:rsidR="00A517F0" w:rsidRPr="0030358C" w:rsidRDefault="00A517F0" w:rsidP="00212967">
            <w:pPr>
              <w:spacing w:before="120"/>
              <w:rPr>
                <w:rFonts w:ascii="Arial" w:hAnsi="Arial" w:cs="Arial"/>
                <w:sz w:val="22"/>
                <w:szCs w:val="22"/>
              </w:rPr>
            </w:pPr>
          </w:p>
        </w:tc>
      </w:tr>
      <w:tr w:rsidR="00E40657" w14:paraId="267BEAFA" w14:textId="77777777" w:rsidTr="00212967">
        <w:trPr>
          <w:cantSplit/>
        </w:trPr>
        <w:tc>
          <w:tcPr>
            <w:tcW w:w="1433" w:type="pct"/>
            <w:vMerge w:val="restart"/>
            <w:tcBorders>
              <w:right w:val="single" w:sz="2" w:space="0" w:color="auto"/>
            </w:tcBorders>
            <w:tcMar>
              <w:top w:w="0" w:type="dxa"/>
              <w:left w:w="108" w:type="dxa"/>
              <w:bottom w:w="0" w:type="dxa"/>
              <w:right w:w="108" w:type="dxa"/>
            </w:tcMar>
          </w:tcPr>
          <w:p w14:paraId="584DA05A"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Řádné údržby spalinových cest a spalovacího stacionárního zdroje</w:t>
            </w:r>
          </w:p>
        </w:tc>
        <w:tc>
          <w:tcPr>
            <w:tcW w:w="1338" w:type="pct"/>
            <w:gridSpan w:val="3"/>
            <w:tcBorders>
              <w:left w:val="single" w:sz="2" w:space="0" w:color="auto"/>
              <w:bottom w:val="single" w:sz="2" w:space="0" w:color="auto"/>
            </w:tcBorders>
            <w:tcMar>
              <w:top w:w="0" w:type="dxa"/>
              <w:left w:w="108" w:type="dxa"/>
              <w:bottom w:w="0" w:type="dxa"/>
              <w:right w:w="108" w:type="dxa"/>
            </w:tcMar>
          </w:tcPr>
          <w:p w14:paraId="350D7F14" w14:textId="77777777" w:rsidR="00A517F0" w:rsidRPr="0030358C" w:rsidRDefault="00000000" w:rsidP="00212967">
            <w:pPr>
              <w:rPr>
                <w:rFonts w:ascii="Arial" w:hAnsi="Arial" w:cs="Arial"/>
                <w:sz w:val="22"/>
                <w:szCs w:val="22"/>
              </w:rPr>
            </w:pPr>
            <w:r w:rsidRPr="0030358C">
              <w:rPr>
                <w:rFonts w:ascii="Arial" w:hAnsi="Arial" w:cs="Arial"/>
                <w:sz w:val="22"/>
                <w:szCs w:val="22"/>
              </w:rPr>
              <w:t>Kontrola spalinových cest provedena dne</w:t>
            </w:r>
          </w:p>
        </w:tc>
        <w:tc>
          <w:tcPr>
            <w:tcW w:w="2229" w:type="pct"/>
            <w:gridSpan w:val="5"/>
            <w:tcBorders>
              <w:bottom w:val="single" w:sz="2" w:space="0" w:color="auto"/>
            </w:tcBorders>
            <w:tcMar>
              <w:top w:w="0" w:type="dxa"/>
              <w:left w:w="108" w:type="dxa"/>
              <w:bottom w:w="0" w:type="dxa"/>
              <w:right w:w="108" w:type="dxa"/>
            </w:tcMar>
          </w:tcPr>
          <w:p w14:paraId="61D0E8B2" w14:textId="77777777" w:rsidR="00A517F0" w:rsidRPr="0030358C" w:rsidRDefault="00A517F0" w:rsidP="00212967">
            <w:pPr>
              <w:spacing w:before="120"/>
              <w:rPr>
                <w:rFonts w:ascii="Arial" w:hAnsi="Arial" w:cs="Arial"/>
                <w:sz w:val="22"/>
                <w:szCs w:val="22"/>
              </w:rPr>
            </w:pPr>
          </w:p>
        </w:tc>
      </w:tr>
      <w:tr w:rsidR="00E40657" w14:paraId="5AE05D1A" w14:textId="77777777" w:rsidTr="00212967">
        <w:trPr>
          <w:cantSplit/>
        </w:trPr>
        <w:tc>
          <w:tcPr>
            <w:tcW w:w="1433" w:type="pct"/>
            <w:vMerge/>
            <w:tcBorders>
              <w:right w:val="single" w:sz="2" w:space="0" w:color="auto"/>
            </w:tcBorders>
            <w:tcMar>
              <w:top w:w="0" w:type="dxa"/>
              <w:left w:w="108" w:type="dxa"/>
              <w:bottom w:w="0" w:type="dxa"/>
              <w:right w:w="108" w:type="dxa"/>
            </w:tcMar>
          </w:tcPr>
          <w:p w14:paraId="7AF24B63" w14:textId="77777777" w:rsidR="00A517F0" w:rsidRPr="0030358C" w:rsidRDefault="00A517F0" w:rsidP="00212967">
            <w:pPr>
              <w:spacing w:before="120"/>
              <w:rPr>
                <w:rFonts w:ascii="Arial" w:hAnsi="Arial" w:cs="Arial"/>
                <w:sz w:val="22"/>
                <w:szCs w:val="22"/>
              </w:rPr>
            </w:pPr>
          </w:p>
        </w:tc>
        <w:tc>
          <w:tcPr>
            <w:tcW w:w="1338" w:type="pct"/>
            <w:gridSpan w:val="3"/>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3C431B9D"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Čištění spalinových cest provedeno dne</w:t>
            </w:r>
          </w:p>
        </w:tc>
        <w:tc>
          <w:tcPr>
            <w:tcW w:w="2229" w:type="pct"/>
            <w:gridSpan w:val="5"/>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14:paraId="7587193E" w14:textId="77777777" w:rsidR="00A517F0" w:rsidRPr="0030358C" w:rsidRDefault="00A517F0" w:rsidP="00212967">
            <w:pPr>
              <w:spacing w:before="120"/>
              <w:rPr>
                <w:rFonts w:ascii="Arial" w:hAnsi="Arial" w:cs="Arial"/>
                <w:sz w:val="22"/>
                <w:szCs w:val="22"/>
              </w:rPr>
            </w:pPr>
          </w:p>
        </w:tc>
      </w:tr>
      <w:tr w:rsidR="00E40657" w14:paraId="744E995F" w14:textId="77777777" w:rsidTr="00212967">
        <w:trPr>
          <w:cantSplit/>
        </w:trPr>
        <w:tc>
          <w:tcPr>
            <w:tcW w:w="1433" w:type="pct"/>
            <w:vMerge/>
            <w:tcBorders>
              <w:right w:val="single" w:sz="2" w:space="0" w:color="auto"/>
            </w:tcBorders>
            <w:tcMar>
              <w:top w:w="0" w:type="dxa"/>
              <w:left w:w="108" w:type="dxa"/>
              <w:bottom w:w="0" w:type="dxa"/>
              <w:right w:w="108" w:type="dxa"/>
            </w:tcMar>
          </w:tcPr>
          <w:p w14:paraId="6C6098C4" w14:textId="77777777" w:rsidR="00A517F0" w:rsidRPr="0030358C" w:rsidRDefault="00A517F0" w:rsidP="00212967">
            <w:pPr>
              <w:spacing w:before="120"/>
              <w:rPr>
                <w:rFonts w:ascii="Arial" w:hAnsi="Arial" w:cs="Arial"/>
                <w:sz w:val="22"/>
                <w:szCs w:val="22"/>
              </w:rPr>
            </w:pPr>
          </w:p>
        </w:tc>
        <w:tc>
          <w:tcPr>
            <w:tcW w:w="1338" w:type="pct"/>
            <w:gridSpan w:val="3"/>
            <w:tcBorders>
              <w:top w:val="single" w:sz="2" w:space="0" w:color="auto"/>
              <w:left w:val="single" w:sz="2" w:space="0" w:color="auto"/>
            </w:tcBorders>
            <w:tcMar>
              <w:top w:w="0" w:type="dxa"/>
              <w:left w:w="108" w:type="dxa"/>
              <w:bottom w:w="0" w:type="dxa"/>
              <w:right w:w="108" w:type="dxa"/>
            </w:tcMar>
          </w:tcPr>
          <w:p w14:paraId="50D18DBD"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Pravidelné čištění spalovacího zdroje provedeno dne</w:t>
            </w:r>
          </w:p>
        </w:tc>
        <w:tc>
          <w:tcPr>
            <w:tcW w:w="2229" w:type="pct"/>
            <w:gridSpan w:val="5"/>
            <w:tcBorders>
              <w:top w:val="single" w:sz="2" w:space="0" w:color="auto"/>
            </w:tcBorders>
            <w:tcMar>
              <w:top w:w="0" w:type="dxa"/>
              <w:left w:w="108" w:type="dxa"/>
              <w:bottom w:w="0" w:type="dxa"/>
              <w:right w:w="108" w:type="dxa"/>
            </w:tcMar>
          </w:tcPr>
          <w:p w14:paraId="1237734A" w14:textId="77777777" w:rsidR="00A517F0" w:rsidRPr="0030358C" w:rsidRDefault="00A517F0" w:rsidP="00212967">
            <w:pPr>
              <w:spacing w:before="120"/>
              <w:rPr>
                <w:rFonts w:ascii="Arial" w:hAnsi="Arial" w:cs="Arial"/>
                <w:sz w:val="22"/>
                <w:szCs w:val="22"/>
              </w:rPr>
            </w:pPr>
          </w:p>
        </w:tc>
      </w:tr>
      <w:tr w:rsidR="00E40657" w14:paraId="7FE7DC7B" w14:textId="77777777" w:rsidTr="00212967">
        <w:tc>
          <w:tcPr>
            <w:tcW w:w="5000" w:type="pct"/>
            <w:gridSpan w:val="9"/>
            <w:shd w:val="clear" w:color="auto" w:fill="D9D9D9"/>
            <w:tcMar>
              <w:top w:w="0" w:type="dxa"/>
              <w:left w:w="108" w:type="dxa"/>
              <w:bottom w:w="0" w:type="dxa"/>
              <w:right w:w="108" w:type="dxa"/>
            </w:tcMar>
          </w:tcPr>
          <w:p w14:paraId="065EDA42" w14:textId="77777777" w:rsidR="00A517F0" w:rsidRPr="0030358C" w:rsidRDefault="00000000" w:rsidP="00212967">
            <w:pPr>
              <w:spacing w:before="120"/>
              <w:rPr>
                <w:rFonts w:ascii="Arial" w:hAnsi="Arial" w:cs="Arial"/>
                <w:sz w:val="22"/>
                <w:szCs w:val="22"/>
                <w:vertAlign w:val="superscript"/>
              </w:rPr>
            </w:pPr>
            <w:r w:rsidRPr="0030358C">
              <w:rPr>
                <w:rFonts w:ascii="Arial" w:hAnsi="Arial" w:cs="Arial"/>
                <w:sz w:val="22"/>
                <w:szCs w:val="22"/>
              </w:rPr>
              <w:t>Výsledek kontroly</w:t>
            </w:r>
            <w:r w:rsidR="008479EA" w:rsidRPr="0030358C">
              <w:rPr>
                <w:rFonts w:ascii="Arial" w:hAnsi="Arial" w:cs="Arial"/>
                <w:sz w:val="22"/>
                <w:szCs w:val="22"/>
                <w:vertAlign w:val="superscript"/>
              </w:rPr>
              <w:t>5</w:t>
            </w:r>
          </w:p>
        </w:tc>
      </w:tr>
      <w:tr w:rsidR="00E40657" w14:paraId="5DF56D2E" w14:textId="77777777" w:rsidTr="00212967">
        <w:tc>
          <w:tcPr>
            <w:tcW w:w="5000" w:type="pct"/>
            <w:gridSpan w:val="9"/>
            <w:tcMar>
              <w:top w:w="0" w:type="dxa"/>
              <w:left w:w="108" w:type="dxa"/>
              <w:bottom w:w="0" w:type="dxa"/>
              <w:right w:w="108" w:type="dxa"/>
            </w:tcMar>
          </w:tcPr>
          <w:p w14:paraId="7D0257F6"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 xml:space="preserve">Spalovací stacionární zdroj JE / NENÍ instalován v souladu s pokyny výrobce </w:t>
            </w:r>
          </w:p>
        </w:tc>
      </w:tr>
      <w:tr w:rsidR="00E40657" w14:paraId="2AB60200" w14:textId="77777777" w:rsidTr="00212967">
        <w:tc>
          <w:tcPr>
            <w:tcW w:w="5000" w:type="pct"/>
            <w:gridSpan w:val="9"/>
            <w:tcMar>
              <w:top w:w="0" w:type="dxa"/>
              <w:left w:w="108" w:type="dxa"/>
              <w:bottom w:w="0" w:type="dxa"/>
              <w:right w:w="108" w:type="dxa"/>
            </w:tcMar>
          </w:tcPr>
          <w:p w14:paraId="2B6A5E72"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 xml:space="preserve">Technický stav VYHOVUJE / NEVYHOVUJE pokynům výrobce </w:t>
            </w:r>
          </w:p>
        </w:tc>
      </w:tr>
      <w:tr w:rsidR="00E40657" w14:paraId="384AEC02" w14:textId="77777777" w:rsidTr="00212967">
        <w:tc>
          <w:tcPr>
            <w:tcW w:w="5000" w:type="pct"/>
            <w:gridSpan w:val="9"/>
            <w:tcMar>
              <w:top w:w="0" w:type="dxa"/>
              <w:left w:w="108" w:type="dxa"/>
              <w:bottom w:w="0" w:type="dxa"/>
              <w:right w:w="108" w:type="dxa"/>
            </w:tcMar>
          </w:tcPr>
          <w:p w14:paraId="23777186"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 xml:space="preserve">Spalovací stacionární zdroj JE / NENÍ provozován v souladu s pokyny výrobce </w:t>
            </w:r>
          </w:p>
        </w:tc>
      </w:tr>
      <w:tr w:rsidR="00E40657" w14:paraId="7AB099EE" w14:textId="77777777" w:rsidTr="00212967">
        <w:tc>
          <w:tcPr>
            <w:tcW w:w="5000" w:type="pct"/>
            <w:gridSpan w:val="9"/>
            <w:tcMar>
              <w:top w:w="0" w:type="dxa"/>
              <w:left w:w="108" w:type="dxa"/>
              <w:bottom w:w="0" w:type="dxa"/>
              <w:right w:w="108" w:type="dxa"/>
            </w:tcMar>
          </w:tcPr>
          <w:p w14:paraId="2D4CE9C3"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Zjištěné nedostatky MAJÍ / NEMAJÍ vliv na znečišťování ovzduší</w:t>
            </w:r>
          </w:p>
        </w:tc>
      </w:tr>
      <w:tr w:rsidR="00E40657" w14:paraId="0FD003FA" w14:textId="77777777" w:rsidTr="00212967">
        <w:tc>
          <w:tcPr>
            <w:tcW w:w="5000" w:type="pct"/>
            <w:gridSpan w:val="9"/>
            <w:tcMar>
              <w:top w:w="0" w:type="dxa"/>
              <w:left w:w="108" w:type="dxa"/>
              <w:bottom w:w="0" w:type="dxa"/>
              <w:right w:w="108" w:type="dxa"/>
            </w:tcMar>
          </w:tcPr>
          <w:p w14:paraId="640E3339" w14:textId="77777777" w:rsidR="00A517F0" w:rsidRPr="0030358C" w:rsidRDefault="00000000" w:rsidP="00212967">
            <w:pPr>
              <w:spacing w:before="120"/>
              <w:rPr>
                <w:rFonts w:ascii="Arial" w:hAnsi="Arial" w:cs="Arial"/>
                <w:sz w:val="22"/>
                <w:szCs w:val="22"/>
              </w:rPr>
            </w:pPr>
            <w:r w:rsidRPr="0030358C">
              <w:rPr>
                <w:rFonts w:ascii="Arial" w:hAnsi="Arial" w:cs="Arial"/>
                <w:caps/>
                <w:sz w:val="22"/>
                <w:szCs w:val="22"/>
              </w:rPr>
              <w:t>Je / není</w:t>
            </w:r>
            <w:r w:rsidRPr="0030358C">
              <w:rPr>
                <w:rFonts w:ascii="Arial" w:hAnsi="Arial" w:cs="Arial"/>
                <w:sz w:val="22"/>
                <w:szCs w:val="22"/>
              </w:rPr>
              <w:t xml:space="preserve"> spalováno palivo určené výrobcem zdroje</w:t>
            </w:r>
          </w:p>
        </w:tc>
      </w:tr>
      <w:tr w:rsidR="00E40657" w14:paraId="2819B227" w14:textId="77777777" w:rsidTr="00212967">
        <w:tc>
          <w:tcPr>
            <w:tcW w:w="5000" w:type="pct"/>
            <w:gridSpan w:val="9"/>
            <w:tcMar>
              <w:top w:w="0" w:type="dxa"/>
              <w:left w:w="108" w:type="dxa"/>
              <w:bottom w:w="0" w:type="dxa"/>
              <w:right w:w="108" w:type="dxa"/>
            </w:tcMar>
          </w:tcPr>
          <w:p w14:paraId="3A35415F" w14:textId="77777777" w:rsidR="00A517F0" w:rsidRPr="0030358C" w:rsidRDefault="00000000" w:rsidP="00212967">
            <w:pPr>
              <w:spacing w:before="120"/>
              <w:rPr>
                <w:rFonts w:ascii="Arial" w:hAnsi="Arial" w:cs="Arial"/>
                <w:caps/>
                <w:sz w:val="22"/>
                <w:szCs w:val="22"/>
              </w:rPr>
            </w:pPr>
            <w:r w:rsidRPr="0030358C">
              <w:rPr>
                <w:rFonts w:ascii="Arial" w:hAnsi="Arial" w:cs="Arial"/>
                <w:caps/>
                <w:sz w:val="22"/>
                <w:szCs w:val="22"/>
              </w:rPr>
              <w:t>Je / není</w:t>
            </w:r>
            <w:r w:rsidRPr="0030358C">
              <w:rPr>
                <w:rFonts w:ascii="Arial" w:hAnsi="Arial" w:cs="Arial"/>
                <w:sz w:val="22"/>
                <w:szCs w:val="22"/>
              </w:rPr>
              <w:t xml:space="preserve"> indikováno spalování odpadu</w:t>
            </w:r>
          </w:p>
        </w:tc>
      </w:tr>
      <w:tr w:rsidR="00E40657" w14:paraId="09350931" w14:textId="77777777" w:rsidTr="00212967">
        <w:tc>
          <w:tcPr>
            <w:tcW w:w="5000" w:type="pct"/>
            <w:gridSpan w:val="9"/>
            <w:tcMar>
              <w:top w:w="0" w:type="dxa"/>
              <w:left w:w="108" w:type="dxa"/>
              <w:bottom w:w="0" w:type="dxa"/>
              <w:right w:w="108" w:type="dxa"/>
            </w:tcMar>
          </w:tcPr>
          <w:p w14:paraId="7CD4576F"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Popis důvodu nesouladu s pokyny výrobce, pokud není zřejmý z jiných částí dokladu:</w:t>
            </w:r>
          </w:p>
          <w:p w14:paraId="792B3249" w14:textId="77777777" w:rsidR="00A517F0" w:rsidRPr="0030358C" w:rsidRDefault="00A517F0" w:rsidP="00212967">
            <w:pPr>
              <w:spacing w:before="120"/>
              <w:rPr>
                <w:rFonts w:ascii="Arial" w:hAnsi="Arial" w:cs="Arial"/>
                <w:sz w:val="22"/>
                <w:szCs w:val="22"/>
              </w:rPr>
            </w:pPr>
          </w:p>
        </w:tc>
      </w:tr>
      <w:tr w:rsidR="00E40657" w14:paraId="05EE3296" w14:textId="77777777" w:rsidTr="00212967">
        <w:tc>
          <w:tcPr>
            <w:tcW w:w="5000" w:type="pct"/>
            <w:gridSpan w:val="9"/>
            <w:tcMar>
              <w:top w:w="0" w:type="dxa"/>
              <w:left w:w="108" w:type="dxa"/>
              <w:bottom w:w="0" w:type="dxa"/>
              <w:right w:w="108" w:type="dxa"/>
            </w:tcMar>
          </w:tcPr>
          <w:p w14:paraId="52AE5B37"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 xml:space="preserve">Spalovací stacionární zdroj SPLŇUJE / NESPLŇUJE emisní požadavky stanovené v příloze č. 11 zákona č. 201/2012 Sb. </w:t>
            </w:r>
            <w:r w:rsidRPr="0030358C">
              <w:rPr>
                <w:rFonts w:ascii="Arial" w:hAnsi="Arial" w:cs="Arial"/>
                <w:strike/>
                <w:sz w:val="22"/>
                <w:szCs w:val="22"/>
              </w:rPr>
              <w:t>účinné od 1. 9. 2022</w:t>
            </w:r>
            <w:r w:rsidRPr="0030358C">
              <w:rPr>
                <w:rFonts w:ascii="Arial" w:hAnsi="Arial" w:cs="Arial"/>
                <w:sz w:val="22"/>
                <w:szCs w:val="22"/>
              </w:rPr>
              <w:t xml:space="preserve"> / tyto požadavky NEJSOU RELEVANTNÍ, neboť se jedná o spalovací stacionární zdroj </w:t>
            </w:r>
            <w:r w:rsidRPr="0030358C">
              <w:rPr>
                <w:rFonts w:ascii="Arial" w:hAnsi="Arial" w:cs="Arial"/>
                <w:color w:val="000000"/>
                <w:sz w:val="22"/>
                <w:szCs w:val="22"/>
              </w:rPr>
              <w:t>navržený rovněž pro přímé vytápění místa instalace</w:t>
            </w:r>
            <w:r w:rsidRPr="0030358C">
              <w:rPr>
                <w:rFonts w:ascii="Arial" w:hAnsi="Arial" w:cs="Arial"/>
                <w:sz w:val="22"/>
                <w:szCs w:val="22"/>
              </w:rPr>
              <w:t xml:space="preserve"> (lokální topidlo)</w:t>
            </w:r>
          </w:p>
        </w:tc>
      </w:tr>
      <w:tr w:rsidR="00E40657" w14:paraId="02570298" w14:textId="77777777" w:rsidTr="00212967">
        <w:tc>
          <w:tcPr>
            <w:tcW w:w="5000" w:type="pct"/>
            <w:gridSpan w:val="9"/>
            <w:shd w:val="clear" w:color="auto" w:fill="D9D9D9"/>
            <w:tcMar>
              <w:top w:w="0" w:type="dxa"/>
              <w:left w:w="108" w:type="dxa"/>
              <w:bottom w:w="0" w:type="dxa"/>
              <w:right w:w="108" w:type="dxa"/>
            </w:tcMar>
          </w:tcPr>
          <w:p w14:paraId="1E1763A9"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Doporučení k zajištění dalšího bezproblémového a hospodárného provozu zdroje</w:t>
            </w:r>
          </w:p>
        </w:tc>
      </w:tr>
      <w:tr w:rsidR="00E40657" w14:paraId="5ACB3CBB" w14:textId="77777777" w:rsidTr="00212967">
        <w:trPr>
          <w:trHeight w:val="362"/>
        </w:trPr>
        <w:tc>
          <w:tcPr>
            <w:tcW w:w="2418" w:type="pct"/>
            <w:gridSpan w:val="2"/>
            <w:tcMar>
              <w:top w:w="0" w:type="dxa"/>
              <w:left w:w="108" w:type="dxa"/>
              <w:bottom w:w="0" w:type="dxa"/>
              <w:right w:w="108" w:type="dxa"/>
            </w:tcMar>
          </w:tcPr>
          <w:p w14:paraId="5F0B3D89"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Datum kontroly</w:t>
            </w:r>
          </w:p>
        </w:tc>
        <w:tc>
          <w:tcPr>
            <w:tcW w:w="2582" w:type="pct"/>
            <w:gridSpan w:val="7"/>
            <w:tcMar>
              <w:top w:w="0" w:type="dxa"/>
              <w:left w:w="108" w:type="dxa"/>
              <w:bottom w:w="0" w:type="dxa"/>
              <w:right w:w="108" w:type="dxa"/>
            </w:tcMar>
          </w:tcPr>
          <w:p w14:paraId="4D449314" w14:textId="77777777" w:rsidR="00A517F0" w:rsidRPr="0030358C" w:rsidRDefault="00A517F0" w:rsidP="00212967">
            <w:pPr>
              <w:spacing w:before="120"/>
              <w:rPr>
                <w:rFonts w:ascii="Arial" w:hAnsi="Arial" w:cs="Arial"/>
                <w:sz w:val="22"/>
                <w:szCs w:val="22"/>
              </w:rPr>
            </w:pPr>
          </w:p>
        </w:tc>
      </w:tr>
      <w:tr w:rsidR="00E40657" w14:paraId="6C117B00" w14:textId="77777777" w:rsidTr="00212967">
        <w:trPr>
          <w:trHeight w:val="341"/>
        </w:trPr>
        <w:tc>
          <w:tcPr>
            <w:tcW w:w="2418" w:type="pct"/>
            <w:gridSpan w:val="2"/>
            <w:tcMar>
              <w:top w:w="0" w:type="dxa"/>
              <w:left w:w="108" w:type="dxa"/>
              <w:bottom w:w="0" w:type="dxa"/>
              <w:right w:w="108" w:type="dxa"/>
            </w:tcMar>
          </w:tcPr>
          <w:p w14:paraId="41E5C34D"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Podpis příp. razítko odborně způsobilé osoby</w:t>
            </w:r>
          </w:p>
        </w:tc>
        <w:tc>
          <w:tcPr>
            <w:tcW w:w="2582" w:type="pct"/>
            <w:gridSpan w:val="7"/>
            <w:tcMar>
              <w:top w:w="0" w:type="dxa"/>
              <w:left w:w="108" w:type="dxa"/>
              <w:bottom w:w="0" w:type="dxa"/>
              <w:right w:w="108" w:type="dxa"/>
            </w:tcMar>
          </w:tcPr>
          <w:p w14:paraId="268233FF" w14:textId="77777777" w:rsidR="00A517F0" w:rsidRPr="0030358C" w:rsidRDefault="00A517F0" w:rsidP="00212967">
            <w:pPr>
              <w:spacing w:before="120"/>
              <w:rPr>
                <w:rFonts w:ascii="Arial" w:hAnsi="Arial" w:cs="Arial"/>
                <w:sz w:val="22"/>
                <w:szCs w:val="22"/>
              </w:rPr>
            </w:pPr>
          </w:p>
        </w:tc>
      </w:tr>
      <w:tr w:rsidR="00E40657" w14:paraId="40E282CD" w14:textId="77777777" w:rsidTr="00212967">
        <w:trPr>
          <w:trHeight w:val="845"/>
        </w:trPr>
        <w:tc>
          <w:tcPr>
            <w:tcW w:w="2418" w:type="pct"/>
            <w:gridSpan w:val="2"/>
            <w:tcMar>
              <w:top w:w="0" w:type="dxa"/>
              <w:left w:w="108" w:type="dxa"/>
              <w:bottom w:w="0" w:type="dxa"/>
              <w:right w:w="108" w:type="dxa"/>
            </w:tcMar>
          </w:tcPr>
          <w:p w14:paraId="75A8A622" w14:textId="77777777" w:rsidR="00A517F0" w:rsidRPr="0030358C" w:rsidRDefault="00000000" w:rsidP="00212967">
            <w:pPr>
              <w:spacing w:before="120"/>
              <w:rPr>
                <w:rFonts w:ascii="Arial" w:hAnsi="Arial" w:cs="Arial"/>
                <w:sz w:val="22"/>
                <w:szCs w:val="22"/>
              </w:rPr>
            </w:pPr>
            <w:r w:rsidRPr="0030358C">
              <w:rPr>
                <w:rFonts w:ascii="Arial" w:hAnsi="Arial" w:cs="Arial"/>
                <w:sz w:val="22"/>
                <w:szCs w:val="22"/>
              </w:rPr>
              <w:t>Provozovatel byl poučen o řádném způsobu provozování spalovacího stacionárního zdroje a byl srozuměn s obsahem dokladu o kontrole</w:t>
            </w:r>
          </w:p>
        </w:tc>
        <w:tc>
          <w:tcPr>
            <w:tcW w:w="2582" w:type="pct"/>
            <w:gridSpan w:val="7"/>
            <w:tcMar>
              <w:top w:w="0" w:type="dxa"/>
              <w:left w:w="108" w:type="dxa"/>
              <w:bottom w:w="0" w:type="dxa"/>
              <w:right w:w="108" w:type="dxa"/>
            </w:tcMar>
          </w:tcPr>
          <w:p w14:paraId="61FA5F5C" w14:textId="77777777" w:rsidR="00A517F0" w:rsidRPr="0030358C" w:rsidRDefault="00A517F0" w:rsidP="00212967">
            <w:pPr>
              <w:spacing w:before="120"/>
              <w:rPr>
                <w:rFonts w:ascii="Arial" w:hAnsi="Arial" w:cs="Arial"/>
                <w:sz w:val="22"/>
                <w:szCs w:val="22"/>
              </w:rPr>
            </w:pPr>
          </w:p>
          <w:p w14:paraId="5D2933BF" w14:textId="77777777" w:rsidR="00A517F0" w:rsidRPr="0030358C" w:rsidRDefault="00A517F0" w:rsidP="00212967">
            <w:pPr>
              <w:spacing w:before="120"/>
              <w:rPr>
                <w:rFonts w:ascii="Arial" w:hAnsi="Arial" w:cs="Arial"/>
                <w:sz w:val="22"/>
                <w:szCs w:val="22"/>
              </w:rPr>
            </w:pPr>
          </w:p>
          <w:p w14:paraId="10B312BC" w14:textId="77777777" w:rsidR="00A517F0" w:rsidRPr="0030358C" w:rsidRDefault="00000000" w:rsidP="00212967">
            <w:pPr>
              <w:spacing w:before="120"/>
              <w:jc w:val="center"/>
              <w:rPr>
                <w:rFonts w:ascii="Arial" w:hAnsi="Arial" w:cs="Arial"/>
                <w:sz w:val="22"/>
                <w:szCs w:val="22"/>
              </w:rPr>
            </w:pPr>
            <w:r w:rsidRPr="0030358C">
              <w:rPr>
                <w:rFonts w:ascii="Arial" w:hAnsi="Arial" w:cs="Arial"/>
                <w:sz w:val="22"/>
                <w:szCs w:val="22"/>
              </w:rPr>
              <w:t>(podpis provozovatele)</w:t>
            </w:r>
            <w:r w:rsidRPr="0030358C">
              <w:rPr>
                <w:rFonts w:ascii="Arial" w:hAnsi="Arial" w:cs="Arial"/>
                <w:sz w:val="22"/>
                <w:szCs w:val="22"/>
                <w:vertAlign w:val="superscript"/>
              </w:rPr>
              <w:t xml:space="preserve"> </w:t>
            </w:r>
          </w:p>
        </w:tc>
      </w:tr>
    </w:tbl>
    <w:p w14:paraId="4CC0B768" w14:textId="77777777" w:rsidR="00093CAC" w:rsidRPr="0030358C" w:rsidRDefault="00093CAC" w:rsidP="00A517F0">
      <w:pPr>
        <w:widowControl w:val="0"/>
        <w:autoSpaceDE w:val="0"/>
        <w:autoSpaceDN w:val="0"/>
        <w:adjustRightInd w:val="0"/>
        <w:jc w:val="both"/>
        <w:rPr>
          <w:rFonts w:ascii="Arial" w:hAnsi="Arial" w:cs="Arial"/>
          <w:sz w:val="22"/>
          <w:szCs w:val="22"/>
        </w:rPr>
      </w:pPr>
    </w:p>
    <w:p w14:paraId="1848EED2" w14:textId="77777777" w:rsidR="00A517F0" w:rsidRPr="0030358C" w:rsidRDefault="00000000" w:rsidP="00A517F0">
      <w:pPr>
        <w:widowControl w:val="0"/>
        <w:autoSpaceDE w:val="0"/>
        <w:autoSpaceDN w:val="0"/>
        <w:adjustRightInd w:val="0"/>
        <w:jc w:val="both"/>
        <w:rPr>
          <w:rFonts w:ascii="Arial" w:hAnsi="Arial" w:cs="Arial"/>
          <w:sz w:val="22"/>
          <w:szCs w:val="22"/>
        </w:rPr>
      </w:pPr>
      <w:r w:rsidRPr="0030358C">
        <w:rPr>
          <w:rFonts w:ascii="Arial" w:hAnsi="Arial" w:cs="Arial"/>
          <w:sz w:val="22"/>
          <w:szCs w:val="22"/>
        </w:rPr>
        <w:lastRenderedPageBreak/>
        <w:t xml:space="preserve">1 Vyplňuje se v případě, že je provedena kontrola spalovacího stacionárního zdroje jiného výrobce, než který udělil oprávnění, a to v situaci nemožnosti provedení kontroly za cenu nižší než je referenční finanční limit. </w:t>
      </w:r>
    </w:p>
    <w:p w14:paraId="40FEA031" w14:textId="77777777" w:rsidR="00093CAC" w:rsidRPr="0030358C" w:rsidRDefault="00000000" w:rsidP="00093CAC">
      <w:pPr>
        <w:widowControl w:val="0"/>
        <w:autoSpaceDE w:val="0"/>
        <w:autoSpaceDN w:val="0"/>
        <w:adjustRightInd w:val="0"/>
        <w:jc w:val="both"/>
        <w:rPr>
          <w:rFonts w:ascii="Arial" w:hAnsi="Arial" w:cs="Arial"/>
          <w:sz w:val="22"/>
          <w:szCs w:val="22"/>
        </w:rPr>
      </w:pPr>
      <w:r w:rsidRPr="0030358C">
        <w:rPr>
          <w:rFonts w:ascii="Arial" w:hAnsi="Arial" w:cs="Arial"/>
          <w:sz w:val="22"/>
          <w:szCs w:val="22"/>
        </w:rPr>
        <w:t>2 Pokud není přesné datum instalace známo, uvede se 1. leden roku instalace, pokud nebude znám ani rok instalace, bude použit 1. leden roku začátku provozu (nabytí) spalovacího stacionárního zdroje současným provozovatelem (dědictví, koupě, apod.).</w:t>
      </w:r>
    </w:p>
    <w:p w14:paraId="03545098" w14:textId="77777777" w:rsidR="00093CAC" w:rsidRPr="0030358C" w:rsidRDefault="00000000" w:rsidP="00093CAC">
      <w:pPr>
        <w:widowControl w:val="0"/>
        <w:autoSpaceDE w:val="0"/>
        <w:autoSpaceDN w:val="0"/>
        <w:adjustRightInd w:val="0"/>
        <w:jc w:val="both"/>
        <w:rPr>
          <w:rFonts w:ascii="Arial" w:hAnsi="Arial" w:cs="Arial"/>
          <w:sz w:val="22"/>
          <w:szCs w:val="22"/>
        </w:rPr>
      </w:pPr>
      <w:r w:rsidRPr="0030358C">
        <w:rPr>
          <w:rFonts w:ascii="Arial" w:hAnsi="Arial" w:cs="Arial"/>
          <w:sz w:val="22"/>
          <w:szCs w:val="22"/>
        </w:rPr>
        <w:t>3 Vyplňuje se pouze u spalovacích stacionárních zdrojů spadajících do působnosti ČSN EN 303-5.</w:t>
      </w:r>
    </w:p>
    <w:p w14:paraId="54A4940F" w14:textId="77777777" w:rsidR="00093CAC" w:rsidRPr="0030358C" w:rsidRDefault="00000000" w:rsidP="00093CAC">
      <w:pPr>
        <w:widowControl w:val="0"/>
        <w:autoSpaceDE w:val="0"/>
        <w:autoSpaceDN w:val="0"/>
        <w:adjustRightInd w:val="0"/>
        <w:jc w:val="both"/>
        <w:rPr>
          <w:rFonts w:ascii="Arial" w:hAnsi="Arial" w:cs="Arial"/>
          <w:sz w:val="22"/>
          <w:szCs w:val="22"/>
        </w:rPr>
      </w:pPr>
      <w:r w:rsidRPr="0030358C">
        <w:rPr>
          <w:rFonts w:ascii="Arial" w:hAnsi="Arial" w:cs="Arial"/>
          <w:sz w:val="22"/>
          <w:szCs w:val="22"/>
        </w:rPr>
        <w:t>4 Odpovídající položku označte křížkem.</w:t>
      </w:r>
    </w:p>
    <w:p w14:paraId="48D0F02C" w14:textId="77777777" w:rsidR="00093CAC" w:rsidRPr="0030358C" w:rsidRDefault="00000000" w:rsidP="00093CAC">
      <w:pPr>
        <w:widowControl w:val="0"/>
        <w:autoSpaceDE w:val="0"/>
        <w:autoSpaceDN w:val="0"/>
        <w:adjustRightInd w:val="0"/>
        <w:jc w:val="both"/>
        <w:rPr>
          <w:rFonts w:ascii="Arial" w:hAnsi="Arial" w:cs="Arial"/>
          <w:sz w:val="22"/>
          <w:szCs w:val="22"/>
        </w:rPr>
      </w:pPr>
      <w:r w:rsidRPr="0030358C">
        <w:rPr>
          <w:rFonts w:ascii="Arial" w:hAnsi="Arial" w:cs="Arial"/>
          <w:sz w:val="22"/>
          <w:szCs w:val="22"/>
        </w:rPr>
        <w:t>5 Nehodící se škrtněte.</w:t>
      </w:r>
    </w:p>
    <w:p w14:paraId="129AA7F8" w14:textId="77777777" w:rsidR="00A517F0" w:rsidRPr="0030358C" w:rsidRDefault="00000000" w:rsidP="00A517F0">
      <w:pPr>
        <w:widowControl w:val="0"/>
        <w:autoSpaceDE w:val="0"/>
        <w:autoSpaceDN w:val="0"/>
        <w:adjustRightInd w:val="0"/>
        <w:jc w:val="both"/>
        <w:rPr>
          <w:rFonts w:ascii="Arial" w:hAnsi="Arial" w:cs="Arial"/>
          <w:sz w:val="22"/>
          <w:szCs w:val="22"/>
        </w:rPr>
      </w:pPr>
      <w:r w:rsidRPr="0030358C">
        <w:rPr>
          <w:rFonts w:ascii="Arial" w:hAnsi="Arial" w:cs="Arial"/>
          <w:sz w:val="22"/>
          <w:szCs w:val="22"/>
        </w:rPr>
        <w:t>_________________________________________</w:t>
      </w:r>
    </w:p>
    <w:p w14:paraId="522AA2B8" w14:textId="77777777" w:rsidR="00A517F0" w:rsidRPr="0030358C" w:rsidRDefault="00A517F0" w:rsidP="00A517F0">
      <w:pPr>
        <w:widowControl w:val="0"/>
        <w:autoSpaceDE w:val="0"/>
        <w:autoSpaceDN w:val="0"/>
        <w:adjustRightInd w:val="0"/>
        <w:jc w:val="both"/>
        <w:rPr>
          <w:rFonts w:ascii="Arial" w:hAnsi="Arial" w:cs="Arial"/>
          <w:sz w:val="22"/>
          <w:szCs w:val="22"/>
        </w:rPr>
      </w:pPr>
    </w:p>
    <w:p w14:paraId="48B14D93" w14:textId="77777777" w:rsidR="00093CAC" w:rsidRPr="0030358C" w:rsidRDefault="00093CAC" w:rsidP="00A517F0">
      <w:pPr>
        <w:widowControl w:val="0"/>
        <w:autoSpaceDE w:val="0"/>
        <w:autoSpaceDN w:val="0"/>
        <w:adjustRightInd w:val="0"/>
        <w:jc w:val="both"/>
        <w:rPr>
          <w:rFonts w:ascii="Arial" w:hAnsi="Arial" w:cs="Arial"/>
          <w:sz w:val="22"/>
          <w:szCs w:val="22"/>
        </w:rPr>
      </w:pPr>
    </w:p>
    <w:p w14:paraId="54F9ED59" w14:textId="77777777" w:rsidR="00A517F0" w:rsidRPr="0030358C" w:rsidRDefault="00000000" w:rsidP="00A517F0">
      <w:pPr>
        <w:widowControl w:val="0"/>
        <w:autoSpaceDE w:val="0"/>
        <w:autoSpaceDN w:val="0"/>
        <w:adjustRightInd w:val="0"/>
        <w:jc w:val="both"/>
        <w:rPr>
          <w:rFonts w:ascii="Arial" w:hAnsi="Arial" w:cs="Arial"/>
          <w:sz w:val="22"/>
          <w:szCs w:val="22"/>
        </w:rPr>
      </w:pPr>
      <w:r w:rsidRPr="0030358C">
        <w:rPr>
          <w:rFonts w:ascii="Arial" w:hAnsi="Arial" w:cs="Arial"/>
          <w:sz w:val="22"/>
          <w:szCs w:val="22"/>
        </w:rPr>
        <w:t xml:space="preserve">Nedílnou součástí dokladu o kontrole technického stavu a provozu je kopie oprávnění uděleného výrobcem k instalaci, provozu a údržbě vymezených typů spalovacích stacionárních zdrojů. </w:t>
      </w:r>
    </w:p>
    <w:p w14:paraId="13134D38" w14:textId="77777777" w:rsidR="00A517F0" w:rsidRPr="0030358C" w:rsidRDefault="00000000" w:rsidP="00A517F0">
      <w:pPr>
        <w:widowControl w:val="0"/>
        <w:autoSpaceDE w:val="0"/>
        <w:autoSpaceDN w:val="0"/>
        <w:adjustRightInd w:val="0"/>
        <w:jc w:val="both"/>
        <w:rPr>
          <w:rFonts w:ascii="Arial" w:hAnsi="Arial" w:cs="Arial"/>
          <w:sz w:val="22"/>
          <w:szCs w:val="22"/>
        </w:rPr>
      </w:pPr>
      <w:r w:rsidRPr="0030358C">
        <w:rPr>
          <w:rFonts w:ascii="Arial" w:hAnsi="Arial" w:cs="Arial"/>
          <w:sz w:val="22"/>
          <w:szCs w:val="22"/>
        </w:rPr>
        <w:t xml:space="preserve"> </w:t>
      </w:r>
    </w:p>
    <w:p w14:paraId="668627AC" w14:textId="77777777" w:rsidR="00A517F0" w:rsidRPr="0030358C" w:rsidRDefault="00000000" w:rsidP="00A517F0">
      <w:pPr>
        <w:widowControl w:val="0"/>
        <w:autoSpaceDE w:val="0"/>
        <w:autoSpaceDN w:val="0"/>
        <w:adjustRightInd w:val="0"/>
        <w:jc w:val="both"/>
        <w:rPr>
          <w:rFonts w:ascii="Arial" w:hAnsi="Arial" w:cs="Arial"/>
          <w:sz w:val="22"/>
          <w:szCs w:val="22"/>
        </w:rPr>
      </w:pPr>
      <w:r w:rsidRPr="0030358C">
        <w:rPr>
          <w:rFonts w:ascii="Arial" w:hAnsi="Arial" w:cs="Arial"/>
          <w:sz w:val="22"/>
          <w:szCs w:val="22"/>
        </w:rPr>
        <w:tab/>
      </w:r>
    </w:p>
    <w:p w14:paraId="43ACD284" w14:textId="77777777" w:rsidR="00A517F0" w:rsidRPr="0030358C" w:rsidRDefault="00000000" w:rsidP="00A517F0">
      <w:pPr>
        <w:widowControl w:val="0"/>
        <w:autoSpaceDE w:val="0"/>
        <w:autoSpaceDN w:val="0"/>
        <w:adjustRightInd w:val="0"/>
        <w:jc w:val="both"/>
        <w:rPr>
          <w:rFonts w:ascii="Arial" w:hAnsi="Arial" w:cs="Arial"/>
          <w:sz w:val="22"/>
          <w:szCs w:val="22"/>
        </w:rPr>
      </w:pPr>
      <w:r w:rsidRPr="0030358C">
        <w:rPr>
          <w:rFonts w:ascii="Arial" w:hAnsi="Arial" w:cs="Arial"/>
          <w:sz w:val="22"/>
          <w:szCs w:val="22"/>
        </w:rPr>
        <w:t xml:space="preserve">TYPY SPALOVACÍCH ZDROJŮ: </w:t>
      </w:r>
    </w:p>
    <w:p w14:paraId="5814F468" w14:textId="77777777" w:rsidR="00A517F0" w:rsidRPr="0030358C" w:rsidRDefault="00A517F0" w:rsidP="00A517F0">
      <w:pPr>
        <w:widowControl w:val="0"/>
        <w:autoSpaceDE w:val="0"/>
        <w:autoSpaceDN w:val="0"/>
        <w:adjustRightInd w:val="0"/>
        <w:rPr>
          <w:rFonts w:ascii="Arial" w:hAnsi="Arial" w:cs="Arial"/>
          <w:sz w:val="22"/>
          <w:szCs w:val="22"/>
        </w:rPr>
      </w:pPr>
    </w:p>
    <w:p w14:paraId="36F12D8C"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 xml:space="preserve">Kotel prohořívací - spalovací stacionární zdroj s ruční dodávkou paliva, u nichž při spalování spaliny procházejí přes vrstvu paliva </w:t>
      </w:r>
    </w:p>
    <w:p w14:paraId="5D6D1FAF"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 xml:space="preserve">Kotel odhořívací - spalovací stacionární zdroj s ruční dodávkou paliva, u nichž při spalování spaliny neprocházejí přes vrstvu paliva </w:t>
      </w:r>
    </w:p>
    <w:p w14:paraId="3E6575E2"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 xml:space="preserve">Kotel zplyňovací - spalovací stacionární zdroj s ruční dodávkou paliva, obvykle s nuceným přívodem spalovacího vzduchu ventilátorem a speciální žárovzdornou spalovací komorou se speciální spalovací tryskou nebo roštem </w:t>
      </w:r>
    </w:p>
    <w:p w14:paraId="55683BDD"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 xml:space="preserve">Kotel automatický se šnekovým dopravníkem - spalovací stacionární zdroj (obvykle na uhlí nebo pelety) se samočinnou dopravou paliva šnekovým dopravníkem </w:t>
      </w:r>
    </w:p>
    <w:p w14:paraId="1ACD622E"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 xml:space="preserve">Kotel automatický s rotačním roštem - spalovací stacionární zdroje na uhlí s bubnovým otočným roštem </w:t>
      </w:r>
    </w:p>
    <w:p w14:paraId="543C50D5"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 xml:space="preserve">Kotel automatický přestavěný - spalovací stacionární zdroje se samočinnou dodávkou paliva, přestavěné z původních odhořívacích, prohořívacích a zplyňovacích kotlů </w:t>
      </w:r>
    </w:p>
    <w:p w14:paraId="28F5D837"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 xml:space="preserve">Kotel automatický speciální - spalovací stacionární zdroje se samočinnou dodávkou paliva, určené primárně ke spalování jiné než peletizované biomasy (piliny, štěpka, sláma) </w:t>
      </w:r>
    </w:p>
    <w:p w14:paraId="7A7491D7"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pPr>
      <w:r w:rsidRPr="0030358C">
        <w:rPr>
          <w:rFonts w:ascii="Arial" w:hAnsi="Arial" w:cs="Arial"/>
          <w:sz w:val="22"/>
          <w:szCs w:val="22"/>
        </w:rPr>
        <w:t>Lokální topidlo s výměníkem - primárně sálavý zdroj tepla s teplovodním výměníkem určeným k přípravě teplé vody k vytápění</w:t>
      </w:r>
    </w:p>
    <w:p w14:paraId="650BD978" w14:textId="77777777" w:rsidR="00A517F0" w:rsidRPr="0030358C" w:rsidRDefault="00000000" w:rsidP="00A517F0">
      <w:pPr>
        <w:widowControl w:val="0"/>
        <w:autoSpaceDE w:val="0"/>
        <w:autoSpaceDN w:val="0"/>
        <w:adjustRightInd w:val="0"/>
        <w:spacing w:after="120"/>
        <w:jc w:val="both"/>
        <w:rPr>
          <w:rFonts w:ascii="Arial" w:hAnsi="Arial" w:cs="Arial"/>
          <w:sz w:val="22"/>
          <w:szCs w:val="22"/>
        </w:rPr>
        <w:sectPr w:rsidR="00A517F0" w:rsidRPr="0030358C" w:rsidSect="00D804A3">
          <w:pgSz w:w="11906" w:h="16838" w:code="9"/>
          <w:pgMar w:top="1418" w:right="1418" w:bottom="1135" w:left="1418" w:header="708" w:footer="708" w:gutter="0"/>
          <w:cols w:space="708"/>
          <w:noEndnote/>
        </w:sectPr>
      </w:pPr>
      <w:r w:rsidRPr="0030358C">
        <w:rPr>
          <w:rFonts w:ascii="Arial" w:hAnsi="Arial" w:cs="Arial"/>
          <w:sz w:val="22"/>
          <w:szCs w:val="22"/>
        </w:rPr>
        <w:t>V případě zdrojů, jež jsou konstrukčně tvořeny kombinací výše uvedených typů, je k jejich kontrole nutné oprávnění pro oba základní typy kotlů.</w:t>
      </w:r>
    </w:p>
    <w:p w14:paraId="12A2ADE2" w14:textId="77777777" w:rsidR="00A517F0" w:rsidRPr="0030358C" w:rsidRDefault="00A517F0" w:rsidP="00A517F0">
      <w:pPr>
        <w:widowControl w:val="0"/>
        <w:autoSpaceDE w:val="0"/>
        <w:autoSpaceDN w:val="0"/>
        <w:adjustRightInd w:val="0"/>
        <w:spacing w:after="120"/>
        <w:jc w:val="both"/>
        <w:rPr>
          <w:rFonts w:ascii="Arial" w:hAnsi="Arial" w:cs="Arial"/>
          <w:sz w:val="22"/>
          <w:szCs w:val="22"/>
        </w:rPr>
      </w:pPr>
    </w:p>
    <w:p w14:paraId="05F5700D" w14:textId="77777777" w:rsidR="00A517F0" w:rsidRPr="0030358C" w:rsidRDefault="00000000" w:rsidP="00A517F0">
      <w:pPr>
        <w:widowControl w:val="0"/>
        <w:autoSpaceDE w:val="0"/>
        <w:autoSpaceDN w:val="0"/>
        <w:adjustRightInd w:val="0"/>
        <w:jc w:val="center"/>
        <w:rPr>
          <w:rFonts w:ascii="Arial" w:hAnsi="Arial" w:cs="Arial"/>
          <w:sz w:val="22"/>
          <w:szCs w:val="22"/>
        </w:rPr>
      </w:pPr>
      <w:r w:rsidRPr="0030358C">
        <w:rPr>
          <w:rFonts w:ascii="Arial" w:hAnsi="Arial" w:cs="Arial"/>
          <w:sz w:val="22"/>
          <w:szCs w:val="22"/>
        </w:rPr>
        <w:t>B) Údaje ohlašované prostřednictvím integrovaného systému plnění ohlašovacích povinností</w:t>
      </w:r>
    </w:p>
    <w:p w14:paraId="33D857FF" w14:textId="77777777" w:rsidR="00A517F0" w:rsidRPr="0030358C" w:rsidRDefault="00A517F0" w:rsidP="00A517F0">
      <w:pPr>
        <w:widowControl w:val="0"/>
        <w:autoSpaceDE w:val="0"/>
        <w:autoSpaceDN w:val="0"/>
        <w:adjustRightInd w:val="0"/>
        <w:rPr>
          <w:rFonts w:ascii="Arial" w:hAnsi="Arial" w:cs="Arial"/>
          <w:sz w:val="22"/>
          <w:szCs w:val="22"/>
        </w:rPr>
      </w:pPr>
    </w:p>
    <w:p w14:paraId="0DB4B119" w14:textId="77777777" w:rsidR="00A517F0" w:rsidRPr="0030358C" w:rsidRDefault="00000000" w:rsidP="00A517F0">
      <w:pPr>
        <w:widowControl w:val="0"/>
        <w:autoSpaceDE w:val="0"/>
        <w:autoSpaceDN w:val="0"/>
        <w:adjustRightInd w:val="0"/>
        <w:rPr>
          <w:rFonts w:ascii="Arial" w:hAnsi="Arial" w:cs="Arial"/>
          <w:sz w:val="22"/>
          <w:szCs w:val="22"/>
        </w:rPr>
      </w:pPr>
      <w:r w:rsidRPr="0030358C">
        <w:rPr>
          <w:rFonts w:ascii="Arial" w:hAnsi="Arial" w:cs="Arial"/>
          <w:sz w:val="22"/>
          <w:szCs w:val="22"/>
        </w:rPr>
        <w:t>Údaje uvedené v této příloze ohlašované prostřednictvím integrovaného systému plnění ohlašovacích povinnosti se vykazují způsobem určeným datovým standardem podle jiného právního předpisu</w:t>
      </w:r>
      <w:r w:rsidRPr="0030358C">
        <w:rPr>
          <w:rFonts w:ascii="Arial" w:hAnsi="Arial" w:cs="Arial"/>
          <w:sz w:val="22"/>
          <w:szCs w:val="22"/>
          <w:vertAlign w:val="superscript"/>
        </w:rPr>
        <w:t>4)</w:t>
      </w:r>
      <w:r w:rsidRPr="0030358C">
        <w:rPr>
          <w:rFonts w:ascii="Arial" w:hAnsi="Arial" w:cs="Arial"/>
          <w:sz w:val="22"/>
          <w:szCs w:val="22"/>
        </w:rPr>
        <w:t>.</w:t>
      </w:r>
    </w:p>
    <w:p w14:paraId="67FACF4A" w14:textId="77777777" w:rsidR="00A517F0" w:rsidRPr="0030358C" w:rsidRDefault="00A517F0" w:rsidP="00A517F0">
      <w:pPr>
        <w:widowControl w:val="0"/>
        <w:autoSpaceDE w:val="0"/>
        <w:autoSpaceDN w:val="0"/>
        <w:adjustRightInd w:val="0"/>
        <w:rPr>
          <w:rFonts w:ascii="Arial" w:hAnsi="Arial" w:cs="Arial"/>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785"/>
        <w:gridCol w:w="290"/>
        <w:gridCol w:w="1629"/>
        <w:gridCol w:w="449"/>
        <w:gridCol w:w="1082"/>
        <w:gridCol w:w="1229"/>
      </w:tblGrid>
      <w:tr w:rsidR="00E40657" w14:paraId="45956431" w14:textId="77777777" w:rsidTr="00212967">
        <w:trPr>
          <w:trHeight w:val="995"/>
        </w:trPr>
        <w:tc>
          <w:tcPr>
            <w:tcW w:w="5000" w:type="pct"/>
            <w:gridSpan w:val="7"/>
            <w:tcMar>
              <w:top w:w="0" w:type="dxa"/>
              <w:left w:w="108" w:type="dxa"/>
              <w:bottom w:w="0" w:type="dxa"/>
              <w:right w:w="108" w:type="dxa"/>
            </w:tcMar>
          </w:tcPr>
          <w:p w14:paraId="1BEF4777" w14:textId="77777777" w:rsidR="00A517F0" w:rsidRPr="0030358C" w:rsidRDefault="00000000" w:rsidP="00212967">
            <w:pPr>
              <w:widowControl w:val="0"/>
              <w:autoSpaceDE w:val="0"/>
              <w:autoSpaceDN w:val="0"/>
              <w:adjustRightInd w:val="0"/>
              <w:spacing w:before="120" w:after="120"/>
              <w:jc w:val="center"/>
              <w:rPr>
                <w:rFonts w:ascii="Arial" w:hAnsi="Arial" w:cs="Arial"/>
                <w:sz w:val="22"/>
                <w:szCs w:val="22"/>
              </w:rPr>
            </w:pPr>
            <w:r w:rsidRPr="0030358C">
              <w:rPr>
                <w:rFonts w:ascii="Arial" w:hAnsi="Arial" w:cs="Arial"/>
                <w:sz w:val="22"/>
                <w:szCs w:val="22"/>
              </w:rPr>
              <w:t>Hlášení o kontrole technického stavu a provozu spalovacího stacionárního zdroje na pevná paliva o celkovém jmenovitém tepelném příkonu 10-300 kW včetně, sloužícího jako zdroj tepla pro teplovodní soustavu ústředního vytápění podle § 17 odst. 1 písm. h) zákona č. 201/2012 Sb.</w:t>
            </w:r>
          </w:p>
        </w:tc>
      </w:tr>
      <w:tr w:rsidR="00E40657" w14:paraId="786DE6EE" w14:textId="77777777" w:rsidTr="00212967">
        <w:tc>
          <w:tcPr>
            <w:tcW w:w="5000" w:type="pct"/>
            <w:gridSpan w:val="7"/>
            <w:shd w:val="clear" w:color="auto" w:fill="D9D9D9"/>
            <w:tcMar>
              <w:top w:w="0" w:type="dxa"/>
              <w:left w:w="108" w:type="dxa"/>
              <w:bottom w:w="0" w:type="dxa"/>
              <w:right w:w="108" w:type="dxa"/>
            </w:tcMar>
          </w:tcPr>
          <w:p w14:paraId="0F317BFA"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Údaje o odborně způsobilé osobě</w:t>
            </w:r>
          </w:p>
        </w:tc>
      </w:tr>
      <w:tr w:rsidR="00E40657" w14:paraId="03FADEFE" w14:textId="77777777" w:rsidTr="00212967">
        <w:trPr>
          <w:trHeight w:val="384"/>
        </w:trPr>
        <w:tc>
          <w:tcPr>
            <w:tcW w:w="1433" w:type="pct"/>
            <w:tcMar>
              <w:top w:w="0" w:type="dxa"/>
              <w:left w:w="108" w:type="dxa"/>
              <w:bottom w:w="0" w:type="dxa"/>
              <w:right w:w="108" w:type="dxa"/>
            </w:tcMar>
          </w:tcPr>
          <w:p w14:paraId="2B4132BF"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Název/jméno a příjmení</w:t>
            </w:r>
          </w:p>
        </w:tc>
        <w:tc>
          <w:tcPr>
            <w:tcW w:w="3567" w:type="pct"/>
            <w:gridSpan w:val="6"/>
            <w:tcMar>
              <w:top w:w="0" w:type="dxa"/>
              <w:left w:w="108" w:type="dxa"/>
              <w:bottom w:w="0" w:type="dxa"/>
              <w:right w:w="108" w:type="dxa"/>
            </w:tcMar>
          </w:tcPr>
          <w:p w14:paraId="7F448DA5"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00E47090" w14:textId="77777777" w:rsidTr="00212967">
        <w:trPr>
          <w:trHeight w:val="417"/>
        </w:trPr>
        <w:tc>
          <w:tcPr>
            <w:tcW w:w="1433" w:type="pct"/>
            <w:tcMar>
              <w:top w:w="0" w:type="dxa"/>
              <w:left w:w="108" w:type="dxa"/>
              <w:bottom w:w="0" w:type="dxa"/>
              <w:right w:w="108" w:type="dxa"/>
            </w:tcMar>
          </w:tcPr>
          <w:p w14:paraId="4A49670D"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IČ (bylo-li přiděleno)</w:t>
            </w:r>
          </w:p>
        </w:tc>
        <w:tc>
          <w:tcPr>
            <w:tcW w:w="3567" w:type="pct"/>
            <w:gridSpan w:val="6"/>
            <w:tcMar>
              <w:top w:w="0" w:type="dxa"/>
              <w:left w:w="108" w:type="dxa"/>
              <w:bottom w:w="0" w:type="dxa"/>
              <w:right w:w="108" w:type="dxa"/>
            </w:tcMar>
          </w:tcPr>
          <w:p w14:paraId="7D034113"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6D60E87A" w14:textId="77777777" w:rsidTr="00212967">
        <w:tc>
          <w:tcPr>
            <w:tcW w:w="1433" w:type="pct"/>
            <w:tcMar>
              <w:top w:w="0" w:type="dxa"/>
              <w:left w:w="108" w:type="dxa"/>
              <w:bottom w:w="0" w:type="dxa"/>
              <w:right w:w="108" w:type="dxa"/>
            </w:tcMar>
          </w:tcPr>
          <w:p w14:paraId="56BF0520"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Název výrobce spalovacího stacionárního zdroje, který oprávnění vydal</w:t>
            </w:r>
          </w:p>
        </w:tc>
        <w:tc>
          <w:tcPr>
            <w:tcW w:w="3567" w:type="pct"/>
            <w:gridSpan w:val="6"/>
            <w:tcMar>
              <w:top w:w="0" w:type="dxa"/>
              <w:left w:w="108" w:type="dxa"/>
              <w:bottom w:w="0" w:type="dxa"/>
              <w:right w:w="108" w:type="dxa"/>
            </w:tcMar>
          </w:tcPr>
          <w:p w14:paraId="79347B08"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7A9417CF" w14:textId="77777777" w:rsidTr="00212967">
        <w:trPr>
          <w:trHeight w:val="427"/>
        </w:trPr>
        <w:tc>
          <w:tcPr>
            <w:tcW w:w="1433" w:type="pct"/>
            <w:tcMar>
              <w:top w:w="0" w:type="dxa"/>
              <w:left w:w="108" w:type="dxa"/>
              <w:bottom w:w="0" w:type="dxa"/>
              <w:right w:w="108" w:type="dxa"/>
            </w:tcMar>
          </w:tcPr>
          <w:p w14:paraId="39C372DA"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 xml:space="preserve">Rozsah oprávnění </w:t>
            </w:r>
          </w:p>
          <w:p w14:paraId="1A19E9A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(typy spalovacích zdrojů)</w:t>
            </w:r>
          </w:p>
        </w:tc>
        <w:tc>
          <w:tcPr>
            <w:tcW w:w="3567" w:type="pct"/>
            <w:gridSpan w:val="6"/>
            <w:tcMar>
              <w:top w:w="0" w:type="dxa"/>
              <w:left w:w="108" w:type="dxa"/>
              <w:bottom w:w="0" w:type="dxa"/>
              <w:right w:w="108" w:type="dxa"/>
            </w:tcMar>
          </w:tcPr>
          <w:p w14:paraId="6F250740"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658D54D5" w14:textId="77777777" w:rsidTr="00212967">
        <w:trPr>
          <w:trHeight w:val="427"/>
        </w:trPr>
        <w:tc>
          <w:tcPr>
            <w:tcW w:w="1433" w:type="pct"/>
            <w:tcMar>
              <w:top w:w="0" w:type="dxa"/>
              <w:left w:w="108" w:type="dxa"/>
              <w:bottom w:w="0" w:type="dxa"/>
              <w:right w:w="108" w:type="dxa"/>
            </w:tcMar>
          </w:tcPr>
          <w:p w14:paraId="1E626041"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Číslo oprávnění</w:t>
            </w:r>
          </w:p>
        </w:tc>
        <w:tc>
          <w:tcPr>
            <w:tcW w:w="3567" w:type="pct"/>
            <w:gridSpan w:val="6"/>
            <w:tcMar>
              <w:top w:w="0" w:type="dxa"/>
              <w:left w:w="108" w:type="dxa"/>
              <w:bottom w:w="0" w:type="dxa"/>
              <w:right w:w="108" w:type="dxa"/>
            </w:tcMar>
          </w:tcPr>
          <w:p w14:paraId="3F13616C"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0D87A4A5" w14:textId="77777777" w:rsidTr="00212967">
        <w:trPr>
          <w:trHeight w:val="427"/>
        </w:trPr>
        <w:tc>
          <w:tcPr>
            <w:tcW w:w="1433" w:type="pct"/>
            <w:tcMar>
              <w:top w:w="0" w:type="dxa"/>
              <w:left w:w="108" w:type="dxa"/>
              <w:bottom w:w="0" w:type="dxa"/>
              <w:right w:w="108" w:type="dxa"/>
            </w:tcMar>
          </w:tcPr>
          <w:p w14:paraId="79FC5F18"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 xml:space="preserve">Platnost oprávnění </w:t>
            </w:r>
          </w:p>
          <w:p w14:paraId="61D91540"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(od – do)</w:t>
            </w:r>
          </w:p>
        </w:tc>
        <w:tc>
          <w:tcPr>
            <w:tcW w:w="3567" w:type="pct"/>
            <w:gridSpan w:val="6"/>
            <w:tcMar>
              <w:top w:w="0" w:type="dxa"/>
              <w:left w:w="108" w:type="dxa"/>
              <w:bottom w:w="0" w:type="dxa"/>
              <w:right w:w="108" w:type="dxa"/>
            </w:tcMar>
          </w:tcPr>
          <w:p w14:paraId="60112A10"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2BF88A8E" w14:textId="77777777" w:rsidTr="00212967">
        <w:trPr>
          <w:trHeight w:val="427"/>
        </w:trPr>
        <w:tc>
          <w:tcPr>
            <w:tcW w:w="1433" w:type="pct"/>
            <w:tcMar>
              <w:top w:w="0" w:type="dxa"/>
              <w:left w:w="108" w:type="dxa"/>
              <w:bottom w:w="0" w:type="dxa"/>
              <w:right w:w="108" w:type="dxa"/>
            </w:tcMar>
          </w:tcPr>
          <w:p w14:paraId="27C418F2" w14:textId="77777777" w:rsidR="00A517F0" w:rsidRPr="0030358C" w:rsidRDefault="00000000" w:rsidP="00212967">
            <w:pPr>
              <w:widowControl w:val="0"/>
              <w:autoSpaceDE w:val="0"/>
              <w:autoSpaceDN w:val="0"/>
              <w:adjustRightInd w:val="0"/>
              <w:spacing w:before="120" w:after="120"/>
              <w:rPr>
                <w:rFonts w:ascii="Arial" w:hAnsi="Arial" w:cs="Arial"/>
                <w:sz w:val="22"/>
                <w:szCs w:val="22"/>
                <w:vertAlign w:val="superscript"/>
              </w:rPr>
            </w:pPr>
            <w:r w:rsidRPr="0030358C">
              <w:rPr>
                <w:rFonts w:ascii="Arial" w:hAnsi="Arial" w:cs="Arial"/>
                <w:sz w:val="22"/>
                <w:szCs w:val="22"/>
              </w:rPr>
              <w:t>ID komunikace</w:t>
            </w:r>
            <w:r w:rsidRPr="0030358C">
              <w:rPr>
                <w:rFonts w:ascii="Arial" w:hAnsi="Arial" w:cs="Arial"/>
                <w:sz w:val="22"/>
                <w:szCs w:val="22"/>
                <w:vertAlign w:val="superscript"/>
              </w:rPr>
              <w:t>1</w:t>
            </w:r>
          </w:p>
        </w:tc>
        <w:tc>
          <w:tcPr>
            <w:tcW w:w="3567" w:type="pct"/>
            <w:gridSpan w:val="6"/>
            <w:tcMar>
              <w:top w:w="0" w:type="dxa"/>
              <w:left w:w="108" w:type="dxa"/>
              <w:bottom w:w="0" w:type="dxa"/>
              <w:right w:w="108" w:type="dxa"/>
            </w:tcMar>
          </w:tcPr>
          <w:p w14:paraId="28FDCEF0"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0013ADEC" w14:textId="77777777" w:rsidTr="00212967">
        <w:tc>
          <w:tcPr>
            <w:tcW w:w="5000" w:type="pct"/>
            <w:gridSpan w:val="7"/>
            <w:shd w:val="clear" w:color="auto" w:fill="D9D9D9"/>
            <w:tcMar>
              <w:top w:w="0" w:type="dxa"/>
              <w:left w:w="108" w:type="dxa"/>
              <w:bottom w:w="0" w:type="dxa"/>
              <w:right w:w="108" w:type="dxa"/>
            </w:tcMar>
          </w:tcPr>
          <w:p w14:paraId="78E83A5B"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Údaje o provozovateli spalovacího stacionárního zdroje</w:t>
            </w:r>
          </w:p>
        </w:tc>
      </w:tr>
      <w:tr w:rsidR="00E40657" w14:paraId="7174E195" w14:textId="77777777" w:rsidTr="00212967">
        <w:trPr>
          <w:trHeight w:val="414"/>
        </w:trPr>
        <w:tc>
          <w:tcPr>
            <w:tcW w:w="1433" w:type="pct"/>
            <w:tcMar>
              <w:top w:w="0" w:type="dxa"/>
              <w:left w:w="108" w:type="dxa"/>
              <w:bottom w:w="0" w:type="dxa"/>
              <w:right w:w="108" w:type="dxa"/>
            </w:tcMar>
          </w:tcPr>
          <w:p w14:paraId="0E03E9C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 xml:space="preserve">Název/jméno a příjmení </w:t>
            </w:r>
          </w:p>
        </w:tc>
        <w:tc>
          <w:tcPr>
            <w:tcW w:w="3567" w:type="pct"/>
            <w:gridSpan w:val="6"/>
            <w:tcMar>
              <w:top w:w="0" w:type="dxa"/>
              <w:left w:w="108" w:type="dxa"/>
              <w:bottom w:w="0" w:type="dxa"/>
              <w:right w:w="108" w:type="dxa"/>
            </w:tcMar>
          </w:tcPr>
          <w:p w14:paraId="472BAC11"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48CF3DE9" w14:textId="77777777" w:rsidTr="00212967">
        <w:trPr>
          <w:trHeight w:val="689"/>
        </w:trPr>
        <w:tc>
          <w:tcPr>
            <w:tcW w:w="1433" w:type="pct"/>
            <w:tcMar>
              <w:top w:w="0" w:type="dxa"/>
              <w:left w:w="108" w:type="dxa"/>
              <w:bottom w:w="0" w:type="dxa"/>
              <w:right w:w="108" w:type="dxa"/>
            </w:tcMar>
          </w:tcPr>
          <w:p w14:paraId="2BFEFDDA"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Adresa sídla/bydliště</w:t>
            </w:r>
          </w:p>
        </w:tc>
        <w:tc>
          <w:tcPr>
            <w:tcW w:w="3567" w:type="pct"/>
            <w:gridSpan w:val="6"/>
            <w:tcMar>
              <w:top w:w="0" w:type="dxa"/>
              <w:left w:w="108" w:type="dxa"/>
              <w:bottom w:w="0" w:type="dxa"/>
              <w:right w:w="108" w:type="dxa"/>
            </w:tcMar>
          </w:tcPr>
          <w:p w14:paraId="705D5D3F"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40A1FC19" w14:textId="77777777" w:rsidTr="00212967">
        <w:tc>
          <w:tcPr>
            <w:tcW w:w="5000" w:type="pct"/>
            <w:gridSpan w:val="7"/>
            <w:shd w:val="clear" w:color="auto" w:fill="D9D9D9"/>
            <w:tcMar>
              <w:top w:w="0" w:type="dxa"/>
              <w:left w:w="108" w:type="dxa"/>
              <w:bottom w:w="0" w:type="dxa"/>
              <w:right w:w="108" w:type="dxa"/>
            </w:tcMar>
          </w:tcPr>
          <w:p w14:paraId="5186EF95"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Údaje o spalovacím stacionárním zdroji</w:t>
            </w:r>
          </w:p>
        </w:tc>
      </w:tr>
      <w:tr w:rsidR="00E40657" w14:paraId="4020A344" w14:textId="77777777" w:rsidTr="00212967">
        <w:tc>
          <w:tcPr>
            <w:tcW w:w="1433" w:type="pct"/>
            <w:tcMar>
              <w:top w:w="0" w:type="dxa"/>
              <w:left w:w="108" w:type="dxa"/>
              <w:bottom w:w="0" w:type="dxa"/>
              <w:right w:w="108" w:type="dxa"/>
            </w:tcMar>
          </w:tcPr>
          <w:p w14:paraId="2151242D"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Adresa umístění (včetně čísla bytu, pokud je umístěn v bytě)</w:t>
            </w:r>
          </w:p>
        </w:tc>
        <w:tc>
          <w:tcPr>
            <w:tcW w:w="3567" w:type="pct"/>
            <w:gridSpan w:val="6"/>
            <w:tcMar>
              <w:top w:w="0" w:type="dxa"/>
              <w:left w:w="108" w:type="dxa"/>
              <w:bottom w:w="0" w:type="dxa"/>
              <w:right w:w="108" w:type="dxa"/>
            </w:tcMar>
          </w:tcPr>
          <w:p w14:paraId="40E584B3"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4A8BE1BF" w14:textId="77777777" w:rsidTr="00212967">
        <w:trPr>
          <w:trHeight w:val="418"/>
        </w:trPr>
        <w:tc>
          <w:tcPr>
            <w:tcW w:w="1433" w:type="pct"/>
            <w:tcMar>
              <w:top w:w="0" w:type="dxa"/>
              <w:left w:w="108" w:type="dxa"/>
              <w:bottom w:w="0" w:type="dxa"/>
              <w:right w:w="108" w:type="dxa"/>
            </w:tcMar>
          </w:tcPr>
          <w:p w14:paraId="3F24322F"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Obchodní název</w:t>
            </w:r>
          </w:p>
        </w:tc>
        <w:tc>
          <w:tcPr>
            <w:tcW w:w="3567" w:type="pct"/>
            <w:gridSpan w:val="6"/>
            <w:tcMar>
              <w:top w:w="0" w:type="dxa"/>
              <w:left w:w="108" w:type="dxa"/>
              <w:bottom w:w="0" w:type="dxa"/>
              <w:right w:w="108" w:type="dxa"/>
            </w:tcMar>
          </w:tcPr>
          <w:p w14:paraId="6AA5FDAD"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p w14:paraId="7D01D66C"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7B7DE931" w14:textId="77777777" w:rsidTr="00212967">
        <w:trPr>
          <w:trHeight w:val="424"/>
        </w:trPr>
        <w:tc>
          <w:tcPr>
            <w:tcW w:w="1433" w:type="pct"/>
            <w:tcMar>
              <w:top w:w="0" w:type="dxa"/>
              <w:left w:w="108" w:type="dxa"/>
              <w:bottom w:w="0" w:type="dxa"/>
              <w:right w:w="108" w:type="dxa"/>
            </w:tcMar>
          </w:tcPr>
          <w:p w14:paraId="7360479B"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Výrobce</w:t>
            </w:r>
          </w:p>
        </w:tc>
        <w:tc>
          <w:tcPr>
            <w:tcW w:w="3567" w:type="pct"/>
            <w:gridSpan w:val="6"/>
            <w:tcMar>
              <w:top w:w="0" w:type="dxa"/>
              <w:left w:w="108" w:type="dxa"/>
              <w:bottom w:w="0" w:type="dxa"/>
              <w:right w:w="108" w:type="dxa"/>
            </w:tcMar>
          </w:tcPr>
          <w:p w14:paraId="4FA802BD"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062A628C" w14:textId="77777777" w:rsidTr="00212967">
        <w:trPr>
          <w:trHeight w:val="207"/>
        </w:trPr>
        <w:tc>
          <w:tcPr>
            <w:tcW w:w="1433" w:type="pct"/>
            <w:vMerge w:val="restart"/>
            <w:tcMar>
              <w:top w:w="0" w:type="dxa"/>
              <w:left w:w="108" w:type="dxa"/>
              <w:bottom w:w="0" w:type="dxa"/>
              <w:right w:w="108" w:type="dxa"/>
            </w:tcMar>
          </w:tcPr>
          <w:p w14:paraId="28680985"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lastRenderedPageBreak/>
              <w:t>Typ spalovacího stacionárního zdroje</w:t>
            </w:r>
          </w:p>
          <w:p w14:paraId="3A41EB97"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(specifikace jednotlivých typů viz níže)</w:t>
            </w:r>
          </w:p>
        </w:tc>
        <w:tc>
          <w:tcPr>
            <w:tcW w:w="1145" w:type="pct"/>
            <w:gridSpan w:val="2"/>
            <w:tcMar>
              <w:top w:w="0" w:type="dxa"/>
              <w:left w:w="108" w:type="dxa"/>
              <w:bottom w:w="0" w:type="dxa"/>
              <w:right w:w="108" w:type="dxa"/>
            </w:tcMar>
          </w:tcPr>
          <w:p w14:paraId="0DF7C325"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 xml:space="preserve"> kotel prohořívací</w:t>
            </w:r>
          </w:p>
        </w:tc>
        <w:tc>
          <w:tcPr>
            <w:tcW w:w="2422" w:type="pct"/>
            <w:gridSpan w:val="4"/>
            <w:tcMar>
              <w:top w:w="0" w:type="dxa"/>
              <w:left w:w="108" w:type="dxa"/>
              <w:bottom w:w="0" w:type="dxa"/>
              <w:right w:w="108" w:type="dxa"/>
            </w:tcMar>
          </w:tcPr>
          <w:p w14:paraId="75061A43"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 xml:space="preserve"> kotel odhořívací</w:t>
            </w:r>
          </w:p>
        </w:tc>
      </w:tr>
      <w:tr w:rsidR="00E40657" w14:paraId="23FBFC24" w14:textId="77777777" w:rsidTr="00212967">
        <w:trPr>
          <w:trHeight w:val="134"/>
        </w:trPr>
        <w:tc>
          <w:tcPr>
            <w:tcW w:w="1433" w:type="pct"/>
            <w:vMerge/>
            <w:tcMar>
              <w:top w:w="0" w:type="dxa"/>
              <w:left w:w="108" w:type="dxa"/>
              <w:bottom w:w="0" w:type="dxa"/>
              <w:right w:w="108" w:type="dxa"/>
            </w:tcMar>
          </w:tcPr>
          <w:p w14:paraId="23133F0C"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5" w:type="pct"/>
            <w:gridSpan w:val="2"/>
            <w:tcMar>
              <w:top w:w="0" w:type="dxa"/>
              <w:left w:w="108" w:type="dxa"/>
              <w:bottom w:w="0" w:type="dxa"/>
              <w:right w:w="108" w:type="dxa"/>
            </w:tcMar>
          </w:tcPr>
          <w:p w14:paraId="34666CF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 xml:space="preserve"> kotel zplyňovací</w:t>
            </w:r>
          </w:p>
        </w:tc>
        <w:tc>
          <w:tcPr>
            <w:tcW w:w="2422" w:type="pct"/>
            <w:gridSpan w:val="4"/>
            <w:tcMar>
              <w:top w:w="0" w:type="dxa"/>
              <w:left w:w="108" w:type="dxa"/>
              <w:bottom w:w="0" w:type="dxa"/>
              <w:right w:w="108" w:type="dxa"/>
            </w:tcMar>
          </w:tcPr>
          <w:p w14:paraId="586E8BF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kotel automatický se šnekovým dopravníkem</w:t>
            </w:r>
          </w:p>
        </w:tc>
      </w:tr>
      <w:tr w:rsidR="00E40657" w14:paraId="433FE412" w14:textId="77777777" w:rsidTr="00212967">
        <w:trPr>
          <w:trHeight w:val="134"/>
        </w:trPr>
        <w:tc>
          <w:tcPr>
            <w:tcW w:w="1433" w:type="pct"/>
            <w:vMerge/>
            <w:tcMar>
              <w:top w:w="0" w:type="dxa"/>
              <w:left w:w="108" w:type="dxa"/>
              <w:bottom w:w="0" w:type="dxa"/>
              <w:right w:w="108" w:type="dxa"/>
            </w:tcMar>
          </w:tcPr>
          <w:p w14:paraId="1504A528"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5" w:type="pct"/>
            <w:gridSpan w:val="2"/>
            <w:tcMar>
              <w:top w:w="0" w:type="dxa"/>
              <w:left w:w="108" w:type="dxa"/>
              <w:bottom w:w="0" w:type="dxa"/>
              <w:right w:w="108" w:type="dxa"/>
            </w:tcMar>
          </w:tcPr>
          <w:p w14:paraId="6E40AC38"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kotel automatický s rotačním roštem</w:t>
            </w:r>
          </w:p>
        </w:tc>
        <w:tc>
          <w:tcPr>
            <w:tcW w:w="2422" w:type="pct"/>
            <w:gridSpan w:val="4"/>
            <w:tcMar>
              <w:top w:w="0" w:type="dxa"/>
              <w:left w:w="108" w:type="dxa"/>
              <w:bottom w:w="0" w:type="dxa"/>
              <w:right w:w="108" w:type="dxa"/>
            </w:tcMar>
          </w:tcPr>
          <w:p w14:paraId="421BE57E"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 xml:space="preserve"> kotel automatický přestavěný</w:t>
            </w:r>
          </w:p>
        </w:tc>
      </w:tr>
      <w:tr w:rsidR="00E40657" w14:paraId="6637BDCE" w14:textId="77777777" w:rsidTr="00212967">
        <w:trPr>
          <w:trHeight w:val="134"/>
        </w:trPr>
        <w:tc>
          <w:tcPr>
            <w:tcW w:w="1433" w:type="pct"/>
            <w:vMerge/>
            <w:tcMar>
              <w:top w:w="0" w:type="dxa"/>
              <w:left w:w="108" w:type="dxa"/>
              <w:bottom w:w="0" w:type="dxa"/>
              <w:right w:w="108" w:type="dxa"/>
            </w:tcMar>
          </w:tcPr>
          <w:p w14:paraId="051D6374"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5" w:type="pct"/>
            <w:gridSpan w:val="2"/>
            <w:tcMar>
              <w:top w:w="0" w:type="dxa"/>
              <w:left w:w="108" w:type="dxa"/>
              <w:bottom w:w="0" w:type="dxa"/>
              <w:right w:w="108" w:type="dxa"/>
            </w:tcMar>
          </w:tcPr>
          <w:p w14:paraId="537D159B"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kotel automatický speciální</w:t>
            </w:r>
          </w:p>
        </w:tc>
        <w:tc>
          <w:tcPr>
            <w:tcW w:w="2422" w:type="pct"/>
            <w:gridSpan w:val="4"/>
            <w:tcMar>
              <w:top w:w="0" w:type="dxa"/>
              <w:left w:w="108" w:type="dxa"/>
              <w:bottom w:w="0" w:type="dxa"/>
              <w:right w:w="108" w:type="dxa"/>
            </w:tcMar>
          </w:tcPr>
          <w:p w14:paraId="00B2CB8E"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 xml:space="preserve"> lokální topidlo s výměníkem</w:t>
            </w:r>
          </w:p>
        </w:tc>
      </w:tr>
      <w:tr w:rsidR="00E40657" w14:paraId="206FD444" w14:textId="77777777" w:rsidTr="00212967">
        <w:trPr>
          <w:trHeight w:val="134"/>
        </w:trPr>
        <w:tc>
          <w:tcPr>
            <w:tcW w:w="1433" w:type="pct"/>
            <w:vMerge/>
            <w:tcMar>
              <w:top w:w="0" w:type="dxa"/>
              <w:left w:w="108" w:type="dxa"/>
              <w:bottom w:w="0" w:type="dxa"/>
              <w:right w:w="108" w:type="dxa"/>
            </w:tcMar>
          </w:tcPr>
          <w:p w14:paraId="03798306"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3567" w:type="pct"/>
            <w:gridSpan w:val="6"/>
            <w:tcMar>
              <w:top w:w="0" w:type="dxa"/>
              <w:left w:w="108" w:type="dxa"/>
              <w:bottom w:w="0" w:type="dxa"/>
              <w:right w:w="108" w:type="dxa"/>
            </w:tcMar>
          </w:tcPr>
          <w:p w14:paraId="67A42D6E"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r w:rsidRPr="0030358C">
              <w:rPr>
                <w:rFonts w:ascii="Arial" w:hAnsi="Arial" w:cs="Arial"/>
                <w:sz w:val="22"/>
                <w:szCs w:val="22"/>
              </w:rPr>
              <w:t xml:space="preserve"> jiný (specifikovat)</w:t>
            </w:r>
          </w:p>
        </w:tc>
      </w:tr>
      <w:tr w:rsidR="00E40657" w14:paraId="58EF7310" w14:textId="77777777" w:rsidTr="00212967">
        <w:trPr>
          <w:trHeight w:val="414"/>
        </w:trPr>
        <w:tc>
          <w:tcPr>
            <w:tcW w:w="1433" w:type="pct"/>
            <w:tcMar>
              <w:top w:w="0" w:type="dxa"/>
              <w:left w:w="108" w:type="dxa"/>
              <w:bottom w:w="0" w:type="dxa"/>
              <w:right w:w="108" w:type="dxa"/>
            </w:tcMar>
          </w:tcPr>
          <w:p w14:paraId="7D2EFF7A"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Rok výroby</w:t>
            </w:r>
          </w:p>
        </w:tc>
        <w:tc>
          <w:tcPr>
            <w:tcW w:w="3567" w:type="pct"/>
            <w:gridSpan w:val="6"/>
            <w:tcMar>
              <w:top w:w="0" w:type="dxa"/>
              <w:left w:w="108" w:type="dxa"/>
              <w:bottom w:w="0" w:type="dxa"/>
              <w:right w:w="108" w:type="dxa"/>
            </w:tcMar>
          </w:tcPr>
          <w:p w14:paraId="0F0BF62A"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291647C6" w14:textId="77777777" w:rsidTr="00212967">
        <w:trPr>
          <w:trHeight w:val="414"/>
        </w:trPr>
        <w:tc>
          <w:tcPr>
            <w:tcW w:w="1433" w:type="pct"/>
            <w:tcMar>
              <w:top w:w="0" w:type="dxa"/>
              <w:left w:w="108" w:type="dxa"/>
              <w:bottom w:w="0" w:type="dxa"/>
              <w:right w:w="108" w:type="dxa"/>
            </w:tcMar>
          </w:tcPr>
          <w:p w14:paraId="751E036D"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Datum instalace (MM/RR)</w:t>
            </w:r>
            <w:r w:rsidRPr="0030358C">
              <w:rPr>
                <w:rFonts w:ascii="Arial" w:hAnsi="Arial" w:cs="Arial"/>
                <w:sz w:val="22"/>
                <w:szCs w:val="22"/>
                <w:vertAlign w:val="superscript"/>
              </w:rPr>
              <w:t>2</w:t>
            </w:r>
          </w:p>
        </w:tc>
        <w:tc>
          <w:tcPr>
            <w:tcW w:w="3567" w:type="pct"/>
            <w:gridSpan w:val="6"/>
            <w:tcMar>
              <w:top w:w="0" w:type="dxa"/>
              <w:left w:w="108" w:type="dxa"/>
              <w:bottom w:w="0" w:type="dxa"/>
              <w:right w:w="108" w:type="dxa"/>
            </w:tcMar>
          </w:tcPr>
          <w:p w14:paraId="1B766BE7"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1DABD4D7" w14:textId="77777777" w:rsidTr="00212967">
        <w:trPr>
          <w:trHeight w:val="420"/>
        </w:trPr>
        <w:tc>
          <w:tcPr>
            <w:tcW w:w="1433" w:type="pct"/>
            <w:tcMar>
              <w:top w:w="0" w:type="dxa"/>
              <w:left w:w="108" w:type="dxa"/>
              <w:bottom w:w="0" w:type="dxa"/>
              <w:right w:w="108" w:type="dxa"/>
            </w:tcMar>
          </w:tcPr>
          <w:p w14:paraId="56CC3C03"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Výrobní číslo</w:t>
            </w:r>
          </w:p>
        </w:tc>
        <w:tc>
          <w:tcPr>
            <w:tcW w:w="3567" w:type="pct"/>
            <w:gridSpan w:val="6"/>
            <w:tcMar>
              <w:top w:w="0" w:type="dxa"/>
              <w:left w:w="108" w:type="dxa"/>
              <w:bottom w:w="0" w:type="dxa"/>
              <w:right w:w="108" w:type="dxa"/>
            </w:tcMar>
          </w:tcPr>
          <w:p w14:paraId="74272B0F"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5813024C" w14:textId="77777777" w:rsidTr="00212967">
        <w:trPr>
          <w:cantSplit/>
        </w:trPr>
        <w:tc>
          <w:tcPr>
            <w:tcW w:w="1433" w:type="pct"/>
            <w:tcMar>
              <w:top w:w="0" w:type="dxa"/>
              <w:left w:w="108" w:type="dxa"/>
              <w:bottom w:w="0" w:type="dxa"/>
              <w:right w:w="108" w:type="dxa"/>
            </w:tcMar>
          </w:tcPr>
          <w:p w14:paraId="6410EF48"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Palivo nejčastěji spalované provozovatelem ve spalovacím stacionárním zdroji</w:t>
            </w:r>
          </w:p>
        </w:tc>
        <w:tc>
          <w:tcPr>
            <w:tcW w:w="3567" w:type="pct"/>
            <w:gridSpan w:val="6"/>
            <w:tcMar>
              <w:top w:w="0" w:type="dxa"/>
              <w:left w:w="108" w:type="dxa"/>
              <w:bottom w:w="0" w:type="dxa"/>
              <w:right w:w="108" w:type="dxa"/>
            </w:tcMar>
          </w:tcPr>
          <w:p w14:paraId="78B87951"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4B24F34E" w14:textId="77777777" w:rsidTr="00212967">
        <w:trPr>
          <w:cantSplit/>
        </w:trPr>
        <w:tc>
          <w:tcPr>
            <w:tcW w:w="1433" w:type="pct"/>
            <w:vMerge w:val="restart"/>
            <w:tcMar>
              <w:top w:w="0" w:type="dxa"/>
              <w:left w:w="108" w:type="dxa"/>
              <w:bottom w:w="0" w:type="dxa"/>
              <w:right w:w="108" w:type="dxa"/>
            </w:tcMar>
          </w:tcPr>
          <w:p w14:paraId="6C4C10C6"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Paliva určená výrobcem spalovacího stacionárního zdroje</w:t>
            </w:r>
          </w:p>
        </w:tc>
        <w:tc>
          <w:tcPr>
            <w:tcW w:w="1145" w:type="pct"/>
            <w:gridSpan w:val="2"/>
            <w:tcMar>
              <w:top w:w="0" w:type="dxa"/>
              <w:left w:w="108" w:type="dxa"/>
              <w:bottom w:w="0" w:type="dxa"/>
              <w:right w:w="108" w:type="dxa"/>
            </w:tcMar>
          </w:tcPr>
          <w:p w14:paraId="3D2C5CBD"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Palivo 1</w:t>
            </w:r>
          </w:p>
        </w:tc>
        <w:tc>
          <w:tcPr>
            <w:tcW w:w="1147" w:type="pct"/>
            <w:gridSpan w:val="2"/>
            <w:tcMar>
              <w:top w:w="0" w:type="dxa"/>
              <w:left w:w="108" w:type="dxa"/>
              <w:bottom w:w="0" w:type="dxa"/>
              <w:right w:w="108" w:type="dxa"/>
            </w:tcMar>
          </w:tcPr>
          <w:p w14:paraId="69EE8C35"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Palivo 2</w:t>
            </w:r>
          </w:p>
        </w:tc>
        <w:tc>
          <w:tcPr>
            <w:tcW w:w="1275" w:type="pct"/>
            <w:gridSpan w:val="2"/>
            <w:tcMar>
              <w:top w:w="0" w:type="dxa"/>
              <w:left w:w="108" w:type="dxa"/>
              <w:bottom w:w="0" w:type="dxa"/>
              <w:right w:w="108" w:type="dxa"/>
            </w:tcMar>
          </w:tcPr>
          <w:p w14:paraId="7F85CD61"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Palivo 3</w:t>
            </w:r>
          </w:p>
        </w:tc>
      </w:tr>
      <w:tr w:rsidR="00E40657" w14:paraId="5C283FE2" w14:textId="77777777" w:rsidTr="00212967">
        <w:trPr>
          <w:cantSplit/>
          <w:trHeight w:val="408"/>
        </w:trPr>
        <w:tc>
          <w:tcPr>
            <w:tcW w:w="1433" w:type="pct"/>
            <w:vMerge/>
            <w:tcMar>
              <w:top w:w="0" w:type="dxa"/>
              <w:left w:w="108" w:type="dxa"/>
              <w:bottom w:w="0" w:type="dxa"/>
              <w:right w:w="108" w:type="dxa"/>
            </w:tcMar>
          </w:tcPr>
          <w:p w14:paraId="6396D4EB"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5" w:type="pct"/>
            <w:gridSpan w:val="2"/>
            <w:tcMar>
              <w:top w:w="0" w:type="dxa"/>
              <w:left w:w="108" w:type="dxa"/>
              <w:bottom w:w="0" w:type="dxa"/>
              <w:right w:w="108" w:type="dxa"/>
            </w:tcMar>
          </w:tcPr>
          <w:p w14:paraId="2C73368E"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7" w:type="pct"/>
            <w:gridSpan w:val="2"/>
            <w:tcMar>
              <w:top w:w="0" w:type="dxa"/>
              <w:left w:w="108" w:type="dxa"/>
              <w:bottom w:w="0" w:type="dxa"/>
              <w:right w:w="108" w:type="dxa"/>
            </w:tcMar>
          </w:tcPr>
          <w:p w14:paraId="5B00B0BD"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275" w:type="pct"/>
            <w:gridSpan w:val="2"/>
            <w:tcMar>
              <w:top w:w="0" w:type="dxa"/>
              <w:left w:w="108" w:type="dxa"/>
              <w:bottom w:w="0" w:type="dxa"/>
              <w:right w:w="108" w:type="dxa"/>
            </w:tcMar>
          </w:tcPr>
          <w:p w14:paraId="4489239E"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3F92366A" w14:textId="77777777" w:rsidTr="00212967">
        <w:trPr>
          <w:trHeight w:val="413"/>
        </w:trPr>
        <w:tc>
          <w:tcPr>
            <w:tcW w:w="1433" w:type="pct"/>
            <w:tcMar>
              <w:top w:w="0" w:type="dxa"/>
              <w:left w:w="108" w:type="dxa"/>
              <w:bottom w:w="0" w:type="dxa"/>
              <w:right w:w="108" w:type="dxa"/>
            </w:tcMar>
          </w:tcPr>
          <w:p w14:paraId="0F27B8FD"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Jmenovitý tepelný příkon, je-li stanoven [kW]</w:t>
            </w:r>
          </w:p>
        </w:tc>
        <w:tc>
          <w:tcPr>
            <w:tcW w:w="1145" w:type="pct"/>
            <w:gridSpan w:val="2"/>
            <w:tcMar>
              <w:top w:w="0" w:type="dxa"/>
              <w:left w:w="108" w:type="dxa"/>
              <w:bottom w:w="0" w:type="dxa"/>
              <w:right w:w="108" w:type="dxa"/>
            </w:tcMar>
          </w:tcPr>
          <w:p w14:paraId="01F08D5E"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7" w:type="pct"/>
            <w:gridSpan w:val="2"/>
            <w:tcMar>
              <w:top w:w="0" w:type="dxa"/>
              <w:left w:w="108" w:type="dxa"/>
              <w:bottom w:w="0" w:type="dxa"/>
              <w:right w:w="108" w:type="dxa"/>
            </w:tcMar>
          </w:tcPr>
          <w:p w14:paraId="046BFF42"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275" w:type="pct"/>
            <w:gridSpan w:val="2"/>
            <w:tcMar>
              <w:top w:w="0" w:type="dxa"/>
              <w:left w:w="108" w:type="dxa"/>
              <w:bottom w:w="0" w:type="dxa"/>
              <w:right w:w="108" w:type="dxa"/>
            </w:tcMar>
          </w:tcPr>
          <w:p w14:paraId="3E2C2B9F"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50F38237" w14:textId="77777777" w:rsidTr="00212967">
        <w:trPr>
          <w:trHeight w:val="420"/>
        </w:trPr>
        <w:tc>
          <w:tcPr>
            <w:tcW w:w="1433" w:type="pct"/>
            <w:tcMar>
              <w:top w:w="0" w:type="dxa"/>
              <w:left w:w="108" w:type="dxa"/>
              <w:bottom w:w="0" w:type="dxa"/>
              <w:right w:w="108" w:type="dxa"/>
            </w:tcMar>
          </w:tcPr>
          <w:p w14:paraId="673E4BE2"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Jmenovitý tepelný výkon [kW]</w:t>
            </w:r>
          </w:p>
        </w:tc>
        <w:tc>
          <w:tcPr>
            <w:tcW w:w="1145" w:type="pct"/>
            <w:gridSpan w:val="2"/>
            <w:tcMar>
              <w:top w:w="0" w:type="dxa"/>
              <w:left w:w="108" w:type="dxa"/>
              <w:bottom w:w="0" w:type="dxa"/>
              <w:right w:w="108" w:type="dxa"/>
            </w:tcMar>
          </w:tcPr>
          <w:p w14:paraId="5BF212F6"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7" w:type="pct"/>
            <w:gridSpan w:val="2"/>
            <w:tcMar>
              <w:top w:w="0" w:type="dxa"/>
              <w:left w:w="108" w:type="dxa"/>
              <w:bottom w:w="0" w:type="dxa"/>
              <w:right w:w="108" w:type="dxa"/>
            </w:tcMar>
          </w:tcPr>
          <w:p w14:paraId="70CE5CDA"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275" w:type="pct"/>
            <w:gridSpan w:val="2"/>
            <w:tcMar>
              <w:top w:w="0" w:type="dxa"/>
              <w:left w:w="108" w:type="dxa"/>
              <w:bottom w:w="0" w:type="dxa"/>
              <w:right w:w="108" w:type="dxa"/>
            </w:tcMar>
          </w:tcPr>
          <w:p w14:paraId="37CD1035"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52796549" w14:textId="77777777" w:rsidTr="00212967">
        <w:tc>
          <w:tcPr>
            <w:tcW w:w="1433" w:type="pct"/>
            <w:tcMar>
              <w:top w:w="0" w:type="dxa"/>
              <w:left w:w="108" w:type="dxa"/>
              <w:bottom w:w="0" w:type="dxa"/>
              <w:right w:w="108" w:type="dxa"/>
            </w:tcMar>
          </w:tcPr>
          <w:p w14:paraId="28D7645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Třída kotle</w:t>
            </w:r>
            <w:r w:rsidRPr="0030358C">
              <w:rPr>
                <w:rFonts w:ascii="Arial" w:hAnsi="Arial" w:cs="Arial"/>
                <w:sz w:val="22"/>
                <w:szCs w:val="22"/>
                <w:vertAlign w:val="superscript"/>
              </w:rPr>
              <w:t>3</w:t>
            </w:r>
          </w:p>
        </w:tc>
        <w:tc>
          <w:tcPr>
            <w:tcW w:w="1145" w:type="pct"/>
            <w:gridSpan w:val="2"/>
            <w:tcMar>
              <w:top w:w="0" w:type="dxa"/>
              <w:left w:w="108" w:type="dxa"/>
              <w:bottom w:w="0" w:type="dxa"/>
              <w:right w:w="108" w:type="dxa"/>
            </w:tcMar>
          </w:tcPr>
          <w:p w14:paraId="6A30B704"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147" w:type="pct"/>
            <w:gridSpan w:val="2"/>
            <w:tcMar>
              <w:top w:w="0" w:type="dxa"/>
              <w:left w:w="108" w:type="dxa"/>
              <w:bottom w:w="0" w:type="dxa"/>
              <w:right w:w="108" w:type="dxa"/>
            </w:tcMar>
          </w:tcPr>
          <w:p w14:paraId="69E9FFC0"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1275" w:type="pct"/>
            <w:gridSpan w:val="2"/>
            <w:tcMar>
              <w:top w:w="0" w:type="dxa"/>
              <w:left w:w="108" w:type="dxa"/>
              <w:bottom w:w="0" w:type="dxa"/>
              <w:right w:w="108" w:type="dxa"/>
            </w:tcMar>
          </w:tcPr>
          <w:p w14:paraId="510546C9"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346E41A4" w14:textId="77777777" w:rsidTr="00212967">
        <w:tc>
          <w:tcPr>
            <w:tcW w:w="2578" w:type="pct"/>
            <w:gridSpan w:val="3"/>
            <w:tcMar>
              <w:top w:w="0" w:type="dxa"/>
              <w:left w:w="108" w:type="dxa"/>
              <w:bottom w:w="0" w:type="dxa"/>
              <w:right w:w="108" w:type="dxa"/>
            </w:tcMar>
          </w:tcPr>
          <w:p w14:paraId="162F7A50"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899" w:type="pct"/>
            <w:tcMar>
              <w:top w:w="0" w:type="dxa"/>
              <w:left w:w="108" w:type="dxa"/>
              <w:bottom w:w="0" w:type="dxa"/>
              <w:right w:w="108" w:type="dxa"/>
            </w:tcMar>
          </w:tcPr>
          <w:p w14:paraId="36740BE8" w14:textId="77777777" w:rsidR="00A517F0" w:rsidRPr="0030358C" w:rsidRDefault="00000000" w:rsidP="00212967">
            <w:pPr>
              <w:widowControl w:val="0"/>
              <w:autoSpaceDE w:val="0"/>
              <w:autoSpaceDN w:val="0"/>
              <w:adjustRightInd w:val="0"/>
              <w:spacing w:before="120" w:after="120"/>
              <w:rPr>
                <w:rFonts w:ascii="Arial" w:hAnsi="Arial" w:cs="Arial"/>
                <w:sz w:val="22"/>
                <w:szCs w:val="22"/>
                <w:vertAlign w:val="superscript"/>
              </w:rPr>
            </w:pPr>
            <w:r w:rsidRPr="0030358C">
              <w:rPr>
                <w:rFonts w:ascii="Arial" w:hAnsi="Arial" w:cs="Arial"/>
                <w:sz w:val="22"/>
                <w:szCs w:val="22"/>
              </w:rPr>
              <w:t>Vyhovuje</w:t>
            </w:r>
          </w:p>
        </w:tc>
        <w:tc>
          <w:tcPr>
            <w:tcW w:w="845" w:type="pct"/>
            <w:gridSpan w:val="2"/>
            <w:tcMar>
              <w:top w:w="0" w:type="dxa"/>
              <w:left w:w="108" w:type="dxa"/>
              <w:bottom w:w="0" w:type="dxa"/>
              <w:right w:w="108" w:type="dxa"/>
            </w:tcMar>
          </w:tcPr>
          <w:p w14:paraId="1CF989A4" w14:textId="77777777" w:rsidR="00A517F0" w:rsidRPr="0030358C" w:rsidRDefault="00000000" w:rsidP="00212967">
            <w:pPr>
              <w:widowControl w:val="0"/>
              <w:autoSpaceDE w:val="0"/>
              <w:autoSpaceDN w:val="0"/>
              <w:adjustRightInd w:val="0"/>
              <w:spacing w:before="120" w:after="120"/>
              <w:rPr>
                <w:rFonts w:ascii="Arial" w:hAnsi="Arial" w:cs="Arial"/>
                <w:sz w:val="22"/>
                <w:szCs w:val="22"/>
                <w:vertAlign w:val="superscript"/>
              </w:rPr>
            </w:pPr>
            <w:r w:rsidRPr="0030358C">
              <w:rPr>
                <w:rFonts w:ascii="Arial" w:hAnsi="Arial" w:cs="Arial"/>
                <w:sz w:val="22"/>
                <w:szCs w:val="22"/>
              </w:rPr>
              <w:t>Nevyhovuje</w:t>
            </w:r>
          </w:p>
        </w:tc>
        <w:tc>
          <w:tcPr>
            <w:tcW w:w="678" w:type="pct"/>
            <w:tcMar>
              <w:top w:w="0" w:type="dxa"/>
              <w:left w:w="108" w:type="dxa"/>
              <w:bottom w:w="0" w:type="dxa"/>
              <w:right w:w="108" w:type="dxa"/>
            </w:tcMar>
          </w:tcPr>
          <w:p w14:paraId="2C22218F"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Není</w:t>
            </w:r>
          </w:p>
        </w:tc>
      </w:tr>
      <w:tr w:rsidR="00E40657" w14:paraId="6606597C" w14:textId="77777777" w:rsidTr="00212967">
        <w:trPr>
          <w:cantSplit/>
          <w:trHeight w:val="408"/>
        </w:trPr>
        <w:tc>
          <w:tcPr>
            <w:tcW w:w="1433" w:type="pct"/>
            <w:tcMar>
              <w:top w:w="0" w:type="dxa"/>
              <w:left w:w="108" w:type="dxa"/>
              <w:bottom w:w="0" w:type="dxa"/>
              <w:right w:w="108" w:type="dxa"/>
            </w:tcMar>
          </w:tcPr>
          <w:p w14:paraId="04D9107E"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Akumulační nádoba</w:t>
            </w:r>
          </w:p>
        </w:tc>
        <w:tc>
          <w:tcPr>
            <w:tcW w:w="1145" w:type="pct"/>
            <w:gridSpan w:val="2"/>
            <w:tcMar>
              <w:top w:w="0" w:type="dxa"/>
              <w:left w:w="108" w:type="dxa"/>
              <w:bottom w:w="0" w:type="dxa"/>
              <w:right w:w="108" w:type="dxa"/>
            </w:tcMar>
          </w:tcPr>
          <w:p w14:paraId="165A5212"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c>
          <w:tcPr>
            <w:tcW w:w="899" w:type="pct"/>
            <w:tcMar>
              <w:top w:w="0" w:type="dxa"/>
              <w:left w:w="108" w:type="dxa"/>
              <w:bottom w:w="0" w:type="dxa"/>
              <w:right w:w="108" w:type="dxa"/>
            </w:tcMar>
          </w:tcPr>
          <w:p w14:paraId="220B3B08"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p>
        </w:tc>
        <w:tc>
          <w:tcPr>
            <w:tcW w:w="845" w:type="pct"/>
            <w:gridSpan w:val="2"/>
            <w:tcMar>
              <w:top w:w="0" w:type="dxa"/>
              <w:left w:w="108" w:type="dxa"/>
              <w:bottom w:w="0" w:type="dxa"/>
              <w:right w:w="108" w:type="dxa"/>
            </w:tcMar>
          </w:tcPr>
          <w:p w14:paraId="23E4681E"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p>
        </w:tc>
        <w:tc>
          <w:tcPr>
            <w:tcW w:w="678" w:type="pct"/>
            <w:tcMar>
              <w:top w:w="0" w:type="dxa"/>
              <w:left w:w="108" w:type="dxa"/>
              <w:bottom w:w="0" w:type="dxa"/>
              <w:right w:w="108" w:type="dxa"/>
            </w:tcMar>
          </w:tcPr>
          <w:p w14:paraId="0C7B01F2"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Segoe UI Symbol" w:hAnsi="Segoe UI Symbol" w:cs="Segoe UI Symbol"/>
                <w:sz w:val="22"/>
                <w:szCs w:val="22"/>
              </w:rPr>
              <w:t>☐</w:t>
            </w:r>
          </w:p>
        </w:tc>
      </w:tr>
      <w:tr w:rsidR="00E40657" w14:paraId="526AC3F4" w14:textId="77777777" w:rsidTr="00212967">
        <w:tc>
          <w:tcPr>
            <w:tcW w:w="5000" w:type="pct"/>
            <w:gridSpan w:val="7"/>
            <w:shd w:val="clear" w:color="auto" w:fill="D9D9D9"/>
            <w:tcMar>
              <w:top w:w="0" w:type="dxa"/>
              <w:left w:w="108" w:type="dxa"/>
              <w:bottom w:w="0" w:type="dxa"/>
              <w:right w:w="108" w:type="dxa"/>
            </w:tcMar>
          </w:tcPr>
          <w:p w14:paraId="1CA3C935" w14:textId="77777777" w:rsidR="00A517F0" w:rsidRPr="0030358C" w:rsidRDefault="00000000" w:rsidP="00212967">
            <w:pPr>
              <w:widowControl w:val="0"/>
              <w:autoSpaceDE w:val="0"/>
              <w:autoSpaceDN w:val="0"/>
              <w:adjustRightInd w:val="0"/>
              <w:rPr>
                <w:rFonts w:ascii="Arial" w:hAnsi="Arial" w:cs="Arial"/>
                <w:sz w:val="22"/>
                <w:szCs w:val="22"/>
              </w:rPr>
            </w:pPr>
            <w:r w:rsidRPr="0030358C">
              <w:rPr>
                <w:rFonts w:ascii="Arial" w:hAnsi="Arial" w:cs="Arial"/>
                <w:sz w:val="22"/>
                <w:szCs w:val="22"/>
              </w:rPr>
              <w:t>Výsledek kontroly</w:t>
            </w:r>
          </w:p>
        </w:tc>
      </w:tr>
      <w:tr w:rsidR="00E40657" w14:paraId="58ACA56E" w14:textId="77777777" w:rsidTr="00212967">
        <w:tc>
          <w:tcPr>
            <w:tcW w:w="5000" w:type="pct"/>
            <w:gridSpan w:val="7"/>
            <w:tcMar>
              <w:top w:w="0" w:type="dxa"/>
              <w:left w:w="108" w:type="dxa"/>
              <w:bottom w:w="0" w:type="dxa"/>
              <w:right w:w="108" w:type="dxa"/>
            </w:tcMar>
          </w:tcPr>
          <w:p w14:paraId="64EC4F57"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 xml:space="preserve">Spalovací stacionární zdroj JE / NENÍ instalován v souladu s pokyny výrobce </w:t>
            </w:r>
          </w:p>
        </w:tc>
      </w:tr>
      <w:tr w:rsidR="00E40657" w14:paraId="00799085" w14:textId="77777777" w:rsidTr="00212967">
        <w:tc>
          <w:tcPr>
            <w:tcW w:w="5000" w:type="pct"/>
            <w:gridSpan w:val="7"/>
            <w:tcMar>
              <w:top w:w="0" w:type="dxa"/>
              <w:left w:w="108" w:type="dxa"/>
              <w:bottom w:w="0" w:type="dxa"/>
              <w:right w:w="108" w:type="dxa"/>
            </w:tcMar>
          </w:tcPr>
          <w:p w14:paraId="72534B38"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 xml:space="preserve">Technický stav VYHOVUJE / NEVYHOVUJE pokynům výrobce </w:t>
            </w:r>
          </w:p>
        </w:tc>
      </w:tr>
      <w:tr w:rsidR="00E40657" w14:paraId="5AAE2170" w14:textId="77777777" w:rsidTr="00212967">
        <w:tc>
          <w:tcPr>
            <w:tcW w:w="5000" w:type="pct"/>
            <w:gridSpan w:val="7"/>
            <w:tcMar>
              <w:top w:w="0" w:type="dxa"/>
              <w:left w:w="108" w:type="dxa"/>
              <w:bottom w:w="0" w:type="dxa"/>
              <w:right w:w="108" w:type="dxa"/>
            </w:tcMar>
          </w:tcPr>
          <w:p w14:paraId="52A9E47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 xml:space="preserve">Spalovací stacionární zdroj JE / NENÍ provozován v souladu s pokyny výrobce </w:t>
            </w:r>
          </w:p>
        </w:tc>
      </w:tr>
      <w:tr w:rsidR="00E40657" w14:paraId="3D5E94B0" w14:textId="77777777" w:rsidTr="00212967">
        <w:tc>
          <w:tcPr>
            <w:tcW w:w="5000" w:type="pct"/>
            <w:gridSpan w:val="7"/>
            <w:tcMar>
              <w:top w:w="0" w:type="dxa"/>
              <w:left w:w="108" w:type="dxa"/>
              <w:bottom w:w="0" w:type="dxa"/>
              <w:right w:w="108" w:type="dxa"/>
            </w:tcMar>
          </w:tcPr>
          <w:p w14:paraId="6545AF2F"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lastRenderedPageBreak/>
              <w:t>Zjištěné nedostatky MAJÍ / NEMAJÍ vliv na znečišťování ovzduší</w:t>
            </w:r>
          </w:p>
        </w:tc>
      </w:tr>
      <w:tr w:rsidR="00E40657" w14:paraId="36BD4B9E" w14:textId="77777777" w:rsidTr="00212967">
        <w:tc>
          <w:tcPr>
            <w:tcW w:w="5000" w:type="pct"/>
            <w:gridSpan w:val="7"/>
            <w:tcMar>
              <w:top w:w="0" w:type="dxa"/>
              <w:left w:w="108" w:type="dxa"/>
              <w:bottom w:w="0" w:type="dxa"/>
              <w:right w:w="108" w:type="dxa"/>
            </w:tcMar>
          </w:tcPr>
          <w:p w14:paraId="707AEC0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Je / není spalováno palivo určené výrobcem zdroje</w:t>
            </w:r>
          </w:p>
        </w:tc>
      </w:tr>
      <w:tr w:rsidR="00E40657" w14:paraId="1039484E" w14:textId="77777777" w:rsidTr="00212967">
        <w:tc>
          <w:tcPr>
            <w:tcW w:w="5000" w:type="pct"/>
            <w:gridSpan w:val="7"/>
            <w:tcMar>
              <w:top w:w="0" w:type="dxa"/>
              <w:left w:w="108" w:type="dxa"/>
              <w:bottom w:w="0" w:type="dxa"/>
              <w:right w:w="108" w:type="dxa"/>
            </w:tcMar>
          </w:tcPr>
          <w:p w14:paraId="170AB11C"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Je / není indikováno spalování odpadu</w:t>
            </w:r>
          </w:p>
        </w:tc>
      </w:tr>
      <w:tr w:rsidR="00E40657" w14:paraId="16D57372" w14:textId="77777777" w:rsidTr="00212967">
        <w:tc>
          <w:tcPr>
            <w:tcW w:w="5000" w:type="pct"/>
            <w:gridSpan w:val="7"/>
            <w:tcMar>
              <w:top w:w="0" w:type="dxa"/>
              <w:left w:w="108" w:type="dxa"/>
              <w:bottom w:w="0" w:type="dxa"/>
              <w:right w:w="108" w:type="dxa"/>
            </w:tcMar>
          </w:tcPr>
          <w:p w14:paraId="0097969B"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Popis důvodu nesouladu s pokyny výrobce, pokud není zřejmý z jiných částí dokladu:</w:t>
            </w:r>
          </w:p>
          <w:p w14:paraId="5279699C" w14:textId="77777777" w:rsidR="00A517F0" w:rsidRPr="0030358C" w:rsidRDefault="00A517F0" w:rsidP="00212967">
            <w:pPr>
              <w:widowControl w:val="0"/>
              <w:autoSpaceDE w:val="0"/>
              <w:autoSpaceDN w:val="0"/>
              <w:adjustRightInd w:val="0"/>
              <w:spacing w:before="120" w:after="120"/>
              <w:rPr>
                <w:rFonts w:ascii="Arial" w:hAnsi="Arial" w:cs="Arial"/>
                <w:sz w:val="22"/>
                <w:szCs w:val="22"/>
              </w:rPr>
            </w:pPr>
          </w:p>
        </w:tc>
      </w:tr>
      <w:tr w:rsidR="00E40657" w14:paraId="337F14DC" w14:textId="77777777" w:rsidTr="00212967">
        <w:tc>
          <w:tcPr>
            <w:tcW w:w="5000" w:type="pct"/>
            <w:gridSpan w:val="7"/>
            <w:tcMar>
              <w:top w:w="0" w:type="dxa"/>
              <w:left w:w="108" w:type="dxa"/>
              <w:bottom w:w="0" w:type="dxa"/>
              <w:right w:w="108" w:type="dxa"/>
            </w:tcMar>
          </w:tcPr>
          <w:p w14:paraId="15BA9F54" w14:textId="77777777" w:rsidR="00A517F0" w:rsidRPr="0030358C" w:rsidRDefault="00000000" w:rsidP="00212967">
            <w:pPr>
              <w:widowControl w:val="0"/>
              <w:autoSpaceDE w:val="0"/>
              <w:autoSpaceDN w:val="0"/>
              <w:adjustRightInd w:val="0"/>
              <w:spacing w:before="120" w:after="120"/>
              <w:rPr>
                <w:rFonts w:ascii="Arial" w:hAnsi="Arial" w:cs="Arial"/>
                <w:sz w:val="22"/>
                <w:szCs w:val="22"/>
              </w:rPr>
            </w:pPr>
            <w:r w:rsidRPr="0030358C">
              <w:rPr>
                <w:rFonts w:ascii="Arial" w:hAnsi="Arial" w:cs="Arial"/>
                <w:sz w:val="22"/>
                <w:szCs w:val="22"/>
              </w:rPr>
              <w:t xml:space="preserve">Spalovací stacionární zdroj SPLŇUJE / NESPLŇUJE emisní požadavky stanovené v příloze č. 11 zákona č. 201/2012 Sb. </w:t>
            </w:r>
            <w:r w:rsidRPr="0030358C">
              <w:rPr>
                <w:rFonts w:ascii="Arial" w:hAnsi="Arial" w:cs="Arial"/>
                <w:strike/>
                <w:sz w:val="22"/>
                <w:szCs w:val="22"/>
              </w:rPr>
              <w:t>účinné od 1. 9. 2022</w:t>
            </w:r>
            <w:r w:rsidRPr="0030358C">
              <w:rPr>
                <w:rFonts w:ascii="Arial" w:hAnsi="Arial" w:cs="Arial"/>
                <w:sz w:val="22"/>
                <w:szCs w:val="22"/>
              </w:rPr>
              <w:t xml:space="preserve"> / tyto požadavky NEJSOU RELEVANTNÍ, neboť se jedná o spalovací stacionární zdroj navržený rovněž pro přímé vytápění místa instalace (lokální topidlo).</w:t>
            </w:r>
          </w:p>
        </w:tc>
      </w:tr>
      <w:tr w:rsidR="00E40657" w14:paraId="7390B4D2" w14:textId="77777777" w:rsidTr="00212967">
        <w:trPr>
          <w:trHeight w:val="599"/>
        </w:trPr>
        <w:tc>
          <w:tcPr>
            <w:tcW w:w="5000" w:type="pct"/>
            <w:gridSpan w:val="7"/>
            <w:tcMar>
              <w:top w:w="0" w:type="dxa"/>
              <w:left w:w="108" w:type="dxa"/>
              <w:bottom w:w="0" w:type="dxa"/>
              <w:right w:w="108" w:type="dxa"/>
            </w:tcMar>
          </w:tcPr>
          <w:p w14:paraId="2D50105E" w14:textId="77777777" w:rsidR="00A517F0" w:rsidRPr="0030358C" w:rsidRDefault="00A517F0" w:rsidP="00212967">
            <w:pPr>
              <w:widowControl w:val="0"/>
              <w:autoSpaceDE w:val="0"/>
              <w:autoSpaceDN w:val="0"/>
              <w:adjustRightInd w:val="0"/>
              <w:rPr>
                <w:rFonts w:ascii="Arial" w:hAnsi="Arial" w:cs="Arial"/>
                <w:sz w:val="22"/>
                <w:szCs w:val="22"/>
              </w:rPr>
            </w:pPr>
          </w:p>
        </w:tc>
      </w:tr>
      <w:tr w:rsidR="00E40657" w14:paraId="5C1DD533" w14:textId="77777777" w:rsidTr="00212967">
        <w:trPr>
          <w:trHeight w:val="362"/>
        </w:trPr>
        <w:tc>
          <w:tcPr>
            <w:tcW w:w="2418" w:type="pct"/>
            <w:gridSpan w:val="2"/>
            <w:tcMar>
              <w:top w:w="0" w:type="dxa"/>
              <w:left w:w="108" w:type="dxa"/>
              <w:bottom w:w="0" w:type="dxa"/>
              <w:right w:w="108" w:type="dxa"/>
            </w:tcMar>
          </w:tcPr>
          <w:p w14:paraId="1175D1DB" w14:textId="77777777" w:rsidR="00A517F0" w:rsidRPr="0030358C" w:rsidRDefault="00000000" w:rsidP="00212967">
            <w:pPr>
              <w:widowControl w:val="0"/>
              <w:autoSpaceDE w:val="0"/>
              <w:autoSpaceDN w:val="0"/>
              <w:adjustRightInd w:val="0"/>
              <w:rPr>
                <w:rFonts w:ascii="Arial" w:hAnsi="Arial" w:cs="Arial"/>
                <w:sz w:val="22"/>
                <w:szCs w:val="22"/>
              </w:rPr>
            </w:pPr>
            <w:r w:rsidRPr="0030358C">
              <w:rPr>
                <w:rFonts w:ascii="Arial" w:hAnsi="Arial" w:cs="Arial"/>
                <w:sz w:val="22"/>
                <w:szCs w:val="22"/>
              </w:rPr>
              <w:t>Datum kontroly</w:t>
            </w:r>
          </w:p>
        </w:tc>
        <w:tc>
          <w:tcPr>
            <w:tcW w:w="2582" w:type="pct"/>
            <w:gridSpan w:val="5"/>
            <w:tcMar>
              <w:top w:w="0" w:type="dxa"/>
              <w:left w:w="108" w:type="dxa"/>
              <w:bottom w:w="0" w:type="dxa"/>
              <w:right w:w="108" w:type="dxa"/>
            </w:tcMar>
          </w:tcPr>
          <w:p w14:paraId="700071E2" w14:textId="77777777" w:rsidR="00A517F0" w:rsidRPr="0030358C" w:rsidRDefault="00A517F0" w:rsidP="00212967">
            <w:pPr>
              <w:widowControl w:val="0"/>
              <w:autoSpaceDE w:val="0"/>
              <w:autoSpaceDN w:val="0"/>
              <w:adjustRightInd w:val="0"/>
              <w:rPr>
                <w:rFonts w:ascii="Arial" w:hAnsi="Arial" w:cs="Arial"/>
                <w:sz w:val="22"/>
                <w:szCs w:val="22"/>
              </w:rPr>
            </w:pPr>
          </w:p>
        </w:tc>
      </w:tr>
    </w:tbl>
    <w:p w14:paraId="7F88E728" w14:textId="77777777" w:rsidR="00A517F0" w:rsidRPr="0030358C" w:rsidRDefault="00A517F0" w:rsidP="00A517F0">
      <w:pPr>
        <w:widowControl w:val="0"/>
        <w:autoSpaceDE w:val="0"/>
        <w:autoSpaceDN w:val="0"/>
        <w:adjustRightInd w:val="0"/>
        <w:jc w:val="right"/>
        <w:rPr>
          <w:rFonts w:ascii="Arial" w:hAnsi="Arial" w:cs="Arial"/>
          <w:bCs/>
          <w:sz w:val="22"/>
          <w:szCs w:val="22"/>
        </w:rPr>
      </w:pPr>
    </w:p>
    <w:p w14:paraId="4218DD5F" w14:textId="77777777" w:rsidR="00A517F0" w:rsidRPr="0030358C" w:rsidRDefault="00000000" w:rsidP="00A517F0">
      <w:pPr>
        <w:widowControl w:val="0"/>
        <w:autoSpaceDE w:val="0"/>
        <w:autoSpaceDN w:val="0"/>
        <w:adjustRightInd w:val="0"/>
        <w:jc w:val="both"/>
        <w:rPr>
          <w:rFonts w:ascii="Arial" w:hAnsi="Arial" w:cs="Arial"/>
          <w:bCs/>
          <w:sz w:val="22"/>
          <w:szCs w:val="22"/>
        </w:rPr>
      </w:pPr>
      <w:r w:rsidRPr="0030358C">
        <w:rPr>
          <w:rFonts w:ascii="Arial" w:hAnsi="Arial" w:cs="Arial"/>
          <w:bCs/>
          <w:sz w:val="22"/>
          <w:szCs w:val="22"/>
        </w:rPr>
        <w:t>1 Vyplňuje se v případě, že je provedena kontrola spalovacího stacionárního zdroje jiného výrobce, než který udělil oprávnění, a to v situaci nemožnosti provedení kontroly za cenu nižší než je referenční finanční limit.</w:t>
      </w:r>
    </w:p>
    <w:p w14:paraId="4EF15875" w14:textId="77777777" w:rsidR="00A517F0" w:rsidRPr="0030358C" w:rsidRDefault="00000000" w:rsidP="00A517F0">
      <w:pPr>
        <w:widowControl w:val="0"/>
        <w:autoSpaceDE w:val="0"/>
        <w:autoSpaceDN w:val="0"/>
        <w:adjustRightInd w:val="0"/>
        <w:jc w:val="both"/>
        <w:rPr>
          <w:rFonts w:ascii="Arial" w:hAnsi="Arial" w:cs="Arial"/>
          <w:bCs/>
          <w:sz w:val="22"/>
          <w:szCs w:val="22"/>
        </w:rPr>
      </w:pPr>
      <w:r w:rsidRPr="0030358C">
        <w:rPr>
          <w:rFonts w:ascii="Arial" w:hAnsi="Arial" w:cs="Arial"/>
          <w:bCs/>
          <w:sz w:val="22"/>
          <w:szCs w:val="22"/>
        </w:rPr>
        <w:t>2 Pokud není přesné datum instalace známo, uvede se 1. leden roku instalace, pokud nebude znám ani rok instalace, bude použit 1. leden roku začátku provozu (nabytí) spalovacího stacionárního zdroje současným provozovatelem (dědictví, koupě apod.).</w:t>
      </w:r>
    </w:p>
    <w:p w14:paraId="1BDB5D45" w14:textId="77777777" w:rsidR="00A517F0" w:rsidRPr="0030358C" w:rsidRDefault="00000000" w:rsidP="00A517F0">
      <w:pPr>
        <w:widowControl w:val="0"/>
        <w:autoSpaceDE w:val="0"/>
        <w:autoSpaceDN w:val="0"/>
        <w:adjustRightInd w:val="0"/>
        <w:jc w:val="both"/>
        <w:rPr>
          <w:rFonts w:ascii="Arial" w:hAnsi="Arial" w:cs="Arial"/>
          <w:bCs/>
          <w:sz w:val="22"/>
          <w:szCs w:val="22"/>
        </w:rPr>
      </w:pPr>
      <w:r w:rsidRPr="0030358C">
        <w:rPr>
          <w:rFonts w:ascii="Arial" w:hAnsi="Arial" w:cs="Arial"/>
          <w:bCs/>
          <w:sz w:val="22"/>
          <w:szCs w:val="22"/>
        </w:rPr>
        <w:t>3 Vyplňuje se pouze u spalovacích stacionárních zdrojů spadajících do působnosti ČSN EN 303-5.</w:t>
      </w:r>
    </w:p>
    <w:p w14:paraId="4995CE99" w14:textId="77777777" w:rsidR="00A517F0" w:rsidRPr="0030358C" w:rsidRDefault="00A517F0" w:rsidP="00A517F0">
      <w:pPr>
        <w:widowControl w:val="0"/>
        <w:autoSpaceDE w:val="0"/>
        <w:autoSpaceDN w:val="0"/>
        <w:adjustRightInd w:val="0"/>
        <w:jc w:val="both"/>
        <w:rPr>
          <w:rFonts w:ascii="Arial" w:hAnsi="Arial" w:cs="Arial"/>
          <w:b/>
          <w:sz w:val="22"/>
          <w:szCs w:val="22"/>
        </w:rPr>
      </w:pPr>
    </w:p>
    <w:p w14:paraId="132395B5" w14:textId="77777777" w:rsidR="00A517F0" w:rsidRPr="0030358C" w:rsidRDefault="00A517F0" w:rsidP="00666B40">
      <w:pPr>
        <w:jc w:val="right"/>
        <w:rPr>
          <w:rFonts w:ascii="Arial" w:hAnsi="Arial" w:cs="Arial"/>
          <w:sz w:val="22"/>
          <w:szCs w:val="22"/>
        </w:rPr>
      </w:pPr>
    </w:p>
    <w:p w14:paraId="5732F73A" w14:textId="77777777" w:rsidR="00666B40" w:rsidRPr="0030358C" w:rsidRDefault="00000000" w:rsidP="00666B40">
      <w:pPr>
        <w:jc w:val="right"/>
        <w:rPr>
          <w:rFonts w:ascii="Arial" w:hAnsi="Arial" w:cs="Arial"/>
          <w:b/>
          <w:bCs/>
          <w:sz w:val="22"/>
          <w:szCs w:val="22"/>
        </w:rPr>
      </w:pPr>
      <w:r w:rsidRPr="0030358C">
        <w:rPr>
          <w:rFonts w:ascii="Arial" w:hAnsi="Arial" w:cs="Arial"/>
          <w:b/>
          <w:bCs/>
          <w:sz w:val="22"/>
          <w:szCs w:val="22"/>
        </w:rPr>
        <w:t>Příloha č. 19 k vyhlášce č. 415/2012 Sb.</w:t>
      </w:r>
    </w:p>
    <w:p w14:paraId="594347EE" w14:textId="77777777" w:rsidR="00666B40" w:rsidRPr="0030358C" w:rsidRDefault="00666B40" w:rsidP="00193F4F">
      <w:pPr>
        <w:rPr>
          <w:rFonts w:ascii="Arial" w:hAnsi="Arial" w:cs="Arial"/>
          <w:b/>
          <w:bCs/>
          <w:sz w:val="22"/>
          <w:szCs w:val="22"/>
        </w:rPr>
      </w:pPr>
    </w:p>
    <w:p w14:paraId="052B69D4" w14:textId="41728C0F" w:rsidR="00666B40" w:rsidRPr="0030358C" w:rsidRDefault="00000000" w:rsidP="00360259">
      <w:pPr>
        <w:jc w:val="center"/>
        <w:rPr>
          <w:rFonts w:ascii="Arial" w:hAnsi="Arial" w:cs="Arial"/>
          <w:b/>
          <w:bCs/>
          <w:sz w:val="22"/>
          <w:szCs w:val="22"/>
        </w:rPr>
      </w:pPr>
      <w:bookmarkStart w:id="76" w:name="_Hlk184977244"/>
      <w:r w:rsidRPr="0030358C">
        <w:rPr>
          <w:rFonts w:ascii="Arial" w:hAnsi="Arial" w:cs="Arial"/>
          <w:b/>
          <w:bCs/>
          <w:sz w:val="22"/>
          <w:szCs w:val="22"/>
        </w:rPr>
        <w:t>Nepřetržité sledování a z</w:t>
      </w:r>
      <w:r w:rsidR="00E9752B">
        <w:rPr>
          <w:rFonts w:ascii="Arial" w:hAnsi="Arial" w:cs="Arial"/>
          <w:b/>
          <w:bCs/>
          <w:sz w:val="22"/>
          <w:szCs w:val="22"/>
        </w:rPr>
        <w:t>a</w:t>
      </w:r>
      <w:r w:rsidRPr="0030358C">
        <w:rPr>
          <w:rFonts w:ascii="Arial" w:hAnsi="Arial" w:cs="Arial"/>
          <w:b/>
          <w:bCs/>
          <w:sz w:val="22"/>
          <w:szCs w:val="22"/>
        </w:rPr>
        <w:t>znamenávání provozního parametru</w:t>
      </w:r>
    </w:p>
    <w:p w14:paraId="6D87A0DC" w14:textId="77777777" w:rsidR="00360259" w:rsidRPr="0030358C" w:rsidRDefault="00360259" w:rsidP="00666B40">
      <w:pPr>
        <w:rPr>
          <w:rFonts w:ascii="Arial" w:hAnsi="Arial" w:cs="Arial"/>
          <w:b/>
          <w:bCs/>
          <w:sz w:val="22"/>
          <w:szCs w:val="22"/>
        </w:rPr>
      </w:pPr>
    </w:p>
    <w:p w14:paraId="073316A1" w14:textId="77777777" w:rsidR="00360259" w:rsidRPr="0030358C" w:rsidRDefault="00000000" w:rsidP="00666B40">
      <w:pPr>
        <w:pStyle w:val="Odstavecseseznamem"/>
        <w:numPr>
          <w:ilvl w:val="0"/>
          <w:numId w:val="51"/>
        </w:numPr>
        <w:rPr>
          <w:rFonts w:ascii="Arial" w:hAnsi="Arial" w:cs="Arial"/>
          <w:b/>
          <w:bCs/>
        </w:rPr>
      </w:pPr>
      <w:r w:rsidRPr="0030358C">
        <w:rPr>
          <w:rFonts w:ascii="Arial" w:hAnsi="Arial" w:cs="Arial"/>
          <w:b/>
          <w:bCs/>
        </w:rPr>
        <w:t>Nepřetržité sledování a z</w:t>
      </w:r>
      <w:r w:rsidR="001F528C" w:rsidRPr="0030358C">
        <w:rPr>
          <w:rFonts w:ascii="Arial" w:hAnsi="Arial" w:cs="Arial"/>
          <w:b/>
          <w:bCs/>
        </w:rPr>
        <w:t>a</w:t>
      </w:r>
      <w:r w:rsidRPr="0030358C">
        <w:rPr>
          <w:rFonts w:ascii="Arial" w:hAnsi="Arial" w:cs="Arial"/>
          <w:b/>
          <w:bCs/>
        </w:rPr>
        <w:t>znam</w:t>
      </w:r>
      <w:r w:rsidR="001F528C" w:rsidRPr="0030358C">
        <w:rPr>
          <w:rFonts w:ascii="Arial" w:hAnsi="Arial" w:cs="Arial"/>
          <w:b/>
          <w:bCs/>
        </w:rPr>
        <w:t>enávání</w:t>
      </w:r>
      <w:r w:rsidRPr="0030358C">
        <w:rPr>
          <w:rFonts w:ascii="Arial" w:hAnsi="Arial" w:cs="Arial"/>
          <w:b/>
          <w:bCs/>
        </w:rPr>
        <w:t xml:space="preserve"> provozního parametru </w:t>
      </w:r>
      <w:r w:rsidR="001F528C" w:rsidRPr="0030358C">
        <w:rPr>
          <w:rFonts w:ascii="Arial" w:hAnsi="Arial" w:cs="Arial"/>
          <w:b/>
          <w:bCs/>
        </w:rPr>
        <w:t xml:space="preserve">se stanoví v povolení provozu </w:t>
      </w:r>
      <w:r w:rsidRPr="0030358C">
        <w:rPr>
          <w:rFonts w:ascii="Arial" w:hAnsi="Arial" w:cs="Arial"/>
          <w:b/>
          <w:bCs/>
        </w:rPr>
        <w:t xml:space="preserve">u stacionárních zdrojů, jejichž kódy jsou uvedeny </w:t>
      </w:r>
      <w:r w:rsidR="001F528C" w:rsidRPr="0030358C">
        <w:rPr>
          <w:rFonts w:ascii="Arial" w:hAnsi="Arial" w:cs="Arial"/>
          <w:b/>
          <w:bCs/>
        </w:rPr>
        <w:t>v bodě 2</w:t>
      </w:r>
      <w:r w:rsidR="002B5D6B" w:rsidRPr="0030358C">
        <w:rPr>
          <w:rFonts w:ascii="Arial" w:hAnsi="Arial" w:cs="Arial"/>
          <w:b/>
          <w:bCs/>
        </w:rPr>
        <w:t>,</w:t>
      </w:r>
      <w:r w:rsidR="00D1425D" w:rsidRPr="0030358C">
        <w:rPr>
          <w:rFonts w:ascii="Arial" w:hAnsi="Arial" w:cs="Arial"/>
          <w:b/>
          <w:bCs/>
        </w:rPr>
        <w:t xml:space="preserve"> </w:t>
      </w:r>
      <w:r w:rsidR="001F528C" w:rsidRPr="0030358C">
        <w:rPr>
          <w:rFonts w:ascii="Arial" w:hAnsi="Arial" w:cs="Arial"/>
          <w:b/>
          <w:bCs/>
        </w:rPr>
        <w:t>3</w:t>
      </w:r>
      <w:r w:rsidRPr="0030358C">
        <w:rPr>
          <w:rFonts w:ascii="Arial" w:hAnsi="Arial" w:cs="Arial"/>
          <w:b/>
          <w:bCs/>
        </w:rPr>
        <w:t xml:space="preserve"> </w:t>
      </w:r>
      <w:r w:rsidR="002B5D6B" w:rsidRPr="0030358C">
        <w:rPr>
          <w:rFonts w:ascii="Arial" w:hAnsi="Arial" w:cs="Arial"/>
          <w:b/>
          <w:bCs/>
        </w:rPr>
        <w:t xml:space="preserve">a 4 </w:t>
      </w:r>
      <w:r w:rsidRPr="0030358C">
        <w:rPr>
          <w:rFonts w:ascii="Arial" w:hAnsi="Arial" w:cs="Arial"/>
          <w:b/>
          <w:bCs/>
        </w:rPr>
        <w:t>a které jsou současně vybaveny některou z technologií snižování emisí uvedenou v</w:t>
      </w:r>
      <w:r w:rsidR="001F528C" w:rsidRPr="0030358C">
        <w:rPr>
          <w:rFonts w:ascii="Arial" w:hAnsi="Arial" w:cs="Arial"/>
          <w:b/>
          <w:bCs/>
        </w:rPr>
        <w:t> </w:t>
      </w:r>
      <w:r w:rsidRPr="0030358C">
        <w:rPr>
          <w:rFonts w:ascii="Arial" w:hAnsi="Arial" w:cs="Arial"/>
          <w:b/>
          <w:bCs/>
        </w:rPr>
        <w:t>tabulce</w:t>
      </w:r>
      <w:r w:rsidR="001F528C" w:rsidRPr="0030358C">
        <w:rPr>
          <w:rFonts w:ascii="Arial" w:hAnsi="Arial" w:cs="Arial"/>
          <w:b/>
          <w:bCs/>
        </w:rPr>
        <w:t xml:space="preserve"> v bodě </w:t>
      </w:r>
      <w:r w:rsidR="002B5D6B" w:rsidRPr="0030358C">
        <w:rPr>
          <w:rFonts w:ascii="Arial" w:hAnsi="Arial" w:cs="Arial"/>
          <w:b/>
          <w:bCs/>
        </w:rPr>
        <w:t>5</w:t>
      </w:r>
      <w:r w:rsidRPr="0030358C">
        <w:rPr>
          <w:rFonts w:ascii="Arial" w:hAnsi="Arial" w:cs="Arial"/>
          <w:b/>
          <w:bCs/>
        </w:rPr>
        <w:t>.</w:t>
      </w:r>
    </w:p>
    <w:p w14:paraId="4DF7D7F5" w14:textId="77777777" w:rsidR="009D1325" w:rsidRPr="0030358C" w:rsidRDefault="00000000" w:rsidP="009D1325">
      <w:pPr>
        <w:pStyle w:val="Odstavecseseznamem"/>
        <w:numPr>
          <w:ilvl w:val="0"/>
          <w:numId w:val="51"/>
        </w:numPr>
        <w:jc w:val="both"/>
        <w:rPr>
          <w:rFonts w:ascii="Arial" w:hAnsi="Arial" w:cs="Arial"/>
          <w:b/>
          <w:bCs/>
        </w:rPr>
      </w:pPr>
      <w:bookmarkStart w:id="77" w:name="_Hlk183688340"/>
      <w:r w:rsidRPr="0030358C">
        <w:rPr>
          <w:rFonts w:ascii="Arial" w:hAnsi="Arial" w:cs="Arial"/>
          <w:b/>
          <w:bCs/>
        </w:rPr>
        <w:t>U spalovacích stacionárních zdrojů uvedených pod kódy 1.1., 1.2.</w:t>
      </w:r>
      <w:r w:rsidR="005E2B56" w:rsidRPr="0030358C">
        <w:rPr>
          <w:rFonts w:ascii="Arial" w:hAnsi="Arial" w:cs="Arial"/>
          <w:b/>
          <w:bCs/>
        </w:rPr>
        <w:t xml:space="preserve"> a</w:t>
      </w:r>
      <w:r w:rsidRPr="0030358C">
        <w:rPr>
          <w:rFonts w:ascii="Arial" w:hAnsi="Arial" w:cs="Arial"/>
          <w:b/>
          <w:bCs/>
        </w:rPr>
        <w:t xml:space="preserve"> 1.3. přílohy č. 2 zákona, které jsou vybaveny některou z technologií snižování emisí uvedenou v tabulce v bodě 5, s výjimkou spalovacích stacionárních zdrojů, které zjišťují úroveň znečišťování výpočtem a spalovacích stacionárních zdrojů sloužících výhradně k pohonu požárních čerpadel. </w:t>
      </w:r>
    </w:p>
    <w:p w14:paraId="3824B80F" w14:textId="77777777" w:rsidR="005E2B56" w:rsidRPr="0030358C" w:rsidRDefault="00000000" w:rsidP="005E2B56">
      <w:pPr>
        <w:pStyle w:val="Odstavecseseznamem"/>
        <w:numPr>
          <w:ilvl w:val="0"/>
          <w:numId w:val="51"/>
        </w:numPr>
        <w:rPr>
          <w:rFonts w:ascii="Arial" w:hAnsi="Arial" w:cs="Arial"/>
          <w:b/>
          <w:bCs/>
        </w:rPr>
      </w:pPr>
      <w:bookmarkStart w:id="78" w:name="_Hlk191026319"/>
      <w:bookmarkEnd w:id="77"/>
      <w:r w:rsidRPr="0030358C">
        <w:rPr>
          <w:rFonts w:ascii="Arial" w:hAnsi="Arial" w:cs="Arial"/>
          <w:b/>
          <w:bCs/>
        </w:rPr>
        <w:t>U stacionárních zdrojů uvedených v příloze č. 5 vyhlášky se povinnost nepřetržitého sledování a zaznamenávání provozního parametru stanoví v povolení provozu u činností uvedených pod body: 2.1. (kód 9.5.), 4.3. (kód 9.10.), 4.7. (kód 9.14.), 8. (9.18.), 9. (kód 9.19.), 10. (kód 9.20.), 13. (kód 9.23.), 14 (kód 9.24.). </w:t>
      </w:r>
    </w:p>
    <w:p w14:paraId="73B5DA0F" w14:textId="77777777" w:rsidR="005E2B56" w:rsidRPr="0030358C" w:rsidRDefault="00000000" w:rsidP="005E2B56">
      <w:pPr>
        <w:pStyle w:val="Odstavecseseznamem"/>
        <w:rPr>
          <w:rFonts w:ascii="Arial" w:hAnsi="Arial" w:cs="Arial"/>
          <w:b/>
          <w:bCs/>
        </w:rPr>
      </w:pPr>
      <w:r w:rsidRPr="0030358C">
        <w:rPr>
          <w:rFonts w:ascii="Arial" w:hAnsi="Arial" w:cs="Arial"/>
          <w:b/>
          <w:bCs/>
        </w:rPr>
        <w:t>U činností uvedených pod bodem 4.1. (kód 9.8.) se povinnost nepřetržitého sledování a zaznamenávání provozního parametru stanoví v povolení provozu, pokud je roční projektovaná spotřeba organických rozpouštědel 5 tun a více.</w:t>
      </w:r>
    </w:p>
    <w:bookmarkEnd w:id="78"/>
    <w:p w14:paraId="227B5DA6" w14:textId="77777777" w:rsidR="005E2B56" w:rsidRPr="0030358C" w:rsidRDefault="005E2B56" w:rsidP="005E2B56">
      <w:pPr>
        <w:pStyle w:val="Odstavecseseznamem"/>
        <w:rPr>
          <w:rFonts w:ascii="Arial" w:hAnsi="Arial" w:cs="Arial"/>
          <w:b/>
          <w:bCs/>
        </w:rPr>
      </w:pPr>
    </w:p>
    <w:p w14:paraId="71C467DE" w14:textId="77777777" w:rsidR="00666B40" w:rsidRPr="0030358C" w:rsidRDefault="00000000" w:rsidP="00666B40">
      <w:pPr>
        <w:pStyle w:val="Odstavecseseznamem"/>
        <w:numPr>
          <w:ilvl w:val="0"/>
          <w:numId w:val="51"/>
        </w:numPr>
        <w:rPr>
          <w:rFonts w:ascii="Arial" w:hAnsi="Arial" w:cs="Arial"/>
          <w:b/>
          <w:bCs/>
        </w:rPr>
      </w:pPr>
      <w:r w:rsidRPr="0030358C">
        <w:rPr>
          <w:rFonts w:ascii="Arial" w:hAnsi="Arial" w:cs="Arial"/>
          <w:b/>
          <w:bCs/>
        </w:rPr>
        <w:lastRenderedPageBreak/>
        <w:t>U stacionárních zdrojů uvedených v příloze č. 8 vyhlášky se povinnost nepřetržitého sledování a zaznamenávání provozního parametru stanoví v povolení provozu u činností uvedených pod body:</w:t>
      </w:r>
    </w:p>
    <w:p w14:paraId="16D1A331" w14:textId="77777777" w:rsidR="00360259" w:rsidRPr="0030358C" w:rsidRDefault="00000000" w:rsidP="004911C2">
      <w:pPr>
        <w:ind w:left="1440"/>
        <w:rPr>
          <w:rFonts w:ascii="Arial" w:hAnsi="Arial" w:cs="Arial"/>
          <w:b/>
          <w:bCs/>
          <w:sz w:val="22"/>
          <w:szCs w:val="22"/>
        </w:rPr>
      </w:pPr>
      <w:r w:rsidRPr="0030358C">
        <w:rPr>
          <w:rFonts w:ascii="Arial" w:hAnsi="Arial" w:cs="Arial"/>
          <w:b/>
          <w:bCs/>
          <w:sz w:val="22"/>
          <w:szCs w:val="22"/>
        </w:rPr>
        <w:t>1.6. (kód 2.8.). 2.2.1. (kód 3.3.), 2.2.2. (kód 3.4.), 2.3.2. (kód 3.5.2.), 2.3.3. (kód 3.5.4.), 2.4.1. (kód 3.6.), 3.1.2. (kód 4.1.2.), 3.1.3. (kód 4.1.3.), 3.1.4. (kód 4.1.4.), 3.2.1. (kód 4.2.1.), 3.2.2. (kód 4.2.2.), 3.3.1. (kód 4.3.1.), 3.3.2. (kód 4.3.2.), 3.3.3. (kód 4.3.3.), 3.3.4. (kód 4.3.4.), 3.3.5. (kód 4.3.5.), 3.3.6. (kód 4.3.6.), 3.5.1. (kód 4.6.1.), 3.5.3. (kód 4.6.3.), 3.5.4. (kód 4.6.4.), 3.5.5. (kód 4.6.5.), 3.5.6. (kód 4.6.6.), 3.5.7. (kód 4.6.7.), 3.6.1. (kód 4.7.), 3.7.1. (kód 4.8.1.), 3.7.2. (kód 4.8.2.), 3.7.4. (kód 4.10.), 3.8.1. (kód 4.12.), 3.8.2. (kód 4.12.), 3.8.3. (kód 4.13.), 3.8.4. (kód 4.14.), 3.8.6 (kód 4.16.), 6.6. (kód 7.7) o celkové projektované spotřebě materiálu 1500 m3 za rok a vyšší, 6.7 (kód 7.8) v případě stacionárních zdrojů, pro které neplatí povinnost kontinuálního měření emisí, 6.14. (kód 7.16.).</w:t>
      </w:r>
    </w:p>
    <w:p w14:paraId="036E45E1" w14:textId="77777777" w:rsidR="004911C2" w:rsidRPr="0030358C" w:rsidRDefault="004911C2" w:rsidP="004911C2">
      <w:pPr>
        <w:ind w:left="1440"/>
        <w:rPr>
          <w:rFonts w:ascii="Arial" w:hAnsi="Arial" w:cs="Arial"/>
          <w:b/>
          <w:bCs/>
          <w:sz w:val="22"/>
          <w:szCs w:val="22"/>
        </w:rPr>
      </w:pPr>
    </w:p>
    <w:p w14:paraId="387B6942" w14:textId="77777777" w:rsidR="004911C2" w:rsidRPr="0030358C" w:rsidRDefault="00000000" w:rsidP="004911C2">
      <w:pPr>
        <w:ind w:left="720"/>
        <w:rPr>
          <w:rFonts w:ascii="Arial" w:hAnsi="Arial" w:cs="Arial"/>
          <w:b/>
          <w:bCs/>
          <w:sz w:val="22"/>
          <w:szCs w:val="22"/>
        </w:rPr>
      </w:pPr>
      <w:r w:rsidRPr="0030358C">
        <w:rPr>
          <w:rFonts w:ascii="Arial" w:hAnsi="Arial" w:cs="Arial"/>
          <w:b/>
          <w:bCs/>
          <w:sz w:val="22"/>
          <w:szCs w:val="22"/>
        </w:rPr>
        <w:t>V případě stacionárních zdrojů uvedených pod následujícími body se povinnost nepřetržitého sledování a zaznamenávání provozního parametru stanoví v povolení provozu pouze u procesů probíhajících za teploty vyšší, než má okolní pracovní prostředí v místě procesu:</w:t>
      </w:r>
    </w:p>
    <w:p w14:paraId="7181DC5E" w14:textId="77777777" w:rsidR="004911C2" w:rsidRPr="0030358C" w:rsidRDefault="004911C2" w:rsidP="004911C2">
      <w:pPr>
        <w:ind w:left="720"/>
        <w:rPr>
          <w:rFonts w:ascii="Arial" w:hAnsi="Arial" w:cs="Arial"/>
          <w:b/>
          <w:bCs/>
          <w:sz w:val="22"/>
          <w:szCs w:val="22"/>
        </w:rPr>
      </w:pPr>
    </w:p>
    <w:p w14:paraId="1DF008B9" w14:textId="77777777" w:rsidR="00666B40" w:rsidRPr="0030358C" w:rsidRDefault="00000000" w:rsidP="00D8113D">
      <w:pPr>
        <w:ind w:left="1440"/>
        <w:rPr>
          <w:rFonts w:ascii="Arial" w:hAnsi="Arial" w:cs="Arial"/>
          <w:b/>
          <w:bCs/>
          <w:sz w:val="22"/>
          <w:szCs w:val="22"/>
        </w:rPr>
      </w:pPr>
      <w:r w:rsidRPr="0030358C">
        <w:rPr>
          <w:rFonts w:ascii="Arial" w:hAnsi="Arial" w:cs="Arial"/>
          <w:b/>
          <w:bCs/>
          <w:sz w:val="22"/>
          <w:szCs w:val="22"/>
        </w:rPr>
        <w:t>4.1.1. (kód 5.1.1.), 4.1.2. (kód 5.1.2.), 4.1.3. (kód 5.1.3.), 4.1.4. (kód 5.1.4.), 4.1.5. (kód 5.1.5.), 4.1.6. (kód 5.1.6.), 4.1.7. (kód 5.1.7.), 4.2.1. (kód 5.3.), 4.2.2. (kód 5.3.), 4.2.3. (kód 5.4.), 4.3.1. (kód 5.7.), 4.3.2. (kód 5.8.), 4.3.3. (kód 5.9.), 4.4.1. (kód 5.10.), 4.6. (kód 5.14.), 5.1.4. (kód 6.5.).</w:t>
      </w:r>
    </w:p>
    <w:p w14:paraId="1C8B5D60" w14:textId="77777777" w:rsidR="00666B40" w:rsidRPr="0030358C" w:rsidRDefault="00000000" w:rsidP="00666B40">
      <w:pPr>
        <w:rPr>
          <w:rFonts w:ascii="Arial" w:hAnsi="Arial" w:cs="Arial"/>
          <w:b/>
          <w:bCs/>
          <w:sz w:val="22"/>
          <w:szCs w:val="22"/>
        </w:rPr>
      </w:pPr>
      <w:r w:rsidRPr="0030358C">
        <w:rPr>
          <w:rFonts w:ascii="Arial" w:hAnsi="Arial" w:cs="Arial"/>
          <w:b/>
          <w:bCs/>
          <w:sz w:val="22"/>
          <w:szCs w:val="22"/>
        </w:rPr>
        <w:t> </w:t>
      </w:r>
    </w:p>
    <w:p w14:paraId="298A003F" w14:textId="77777777" w:rsidR="00666B40" w:rsidRPr="0030358C" w:rsidRDefault="00000000" w:rsidP="008479EA">
      <w:pPr>
        <w:pStyle w:val="Odstavecseseznamem"/>
        <w:numPr>
          <w:ilvl w:val="0"/>
          <w:numId w:val="51"/>
        </w:numPr>
        <w:rPr>
          <w:rFonts w:ascii="Arial" w:hAnsi="Arial" w:cs="Arial"/>
          <w:b/>
          <w:bCs/>
        </w:rPr>
      </w:pPr>
      <w:r w:rsidRPr="0030358C">
        <w:rPr>
          <w:rFonts w:ascii="Arial" w:hAnsi="Arial" w:cs="Arial"/>
          <w:b/>
          <w:bCs/>
        </w:rPr>
        <w:t>Seznam technologií ke snižování emisí</w:t>
      </w:r>
      <w:r w:rsidR="00A6748E" w:rsidRPr="0030358C">
        <w:rPr>
          <w:rFonts w:ascii="Arial" w:hAnsi="Arial" w:cs="Arial"/>
          <w:b/>
          <w:bCs/>
        </w:rPr>
        <w:t xml:space="preserve"> a </w:t>
      </w:r>
      <w:r w:rsidR="00232FC0" w:rsidRPr="0030358C">
        <w:rPr>
          <w:rFonts w:ascii="Arial" w:hAnsi="Arial" w:cs="Arial"/>
          <w:b/>
          <w:bCs/>
        </w:rPr>
        <w:t xml:space="preserve">příslušných </w:t>
      </w:r>
      <w:r w:rsidR="00A6748E" w:rsidRPr="0030358C">
        <w:rPr>
          <w:rFonts w:ascii="Arial" w:hAnsi="Arial" w:cs="Arial"/>
          <w:b/>
          <w:bCs/>
        </w:rPr>
        <w:t>znečišťujících látek a provozních parametrů</w:t>
      </w:r>
      <w:r w:rsidR="00232FC0" w:rsidRPr="0030358C">
        <w:rPr>
          <w:rFonts w:ascii="Arial" w:hAnsi="Arial" w:cs="Arial"/>
          <w:b/>
          <w:bCs/>
        </w:rPr>
        <w:t>, které se u zařízení vybavených těmito technologiemi sledují a zaznamenávají</w:t>
      </w:r>
      <w:r w:rsidR="00A6748E" w:rsidRPr="0030358C">
        <w:rPr>
          <w:rFonts w:ascii="Arial" w:hAnsi="Arial" w:cs="Arial"/>
          <w:b/>
          <w:bCs/>
        </w:rPr>
        <w:t xml:space="preserve"> </w:t>
      </w:r>
    </w:p>
    <w:p w14:paraId="2E383898" w14:textId="77777777" w:rsidR="00666B40" w:rsidRPr="0030358C" w:rsidRDefault="00000000" w:rsidP="00666B40">
      <w:pPr>
        <w:rPr>
          <w:rFonts w:ascii="Arial" w:hAnsi="Arial" w:cs="Arial"/>
          <w:b/>
          <w:bCs/>
          <w:sz w:val="22"/>
          <w:szCs w:val="22"/>
        </w:rPr>
      </w:pPr>
      <w:r w:rsidRPr="0030358C">
        <w:rPr>
          <w:rFonts w:ascii="Arial" w:hAnsi="Arial" w:cs="Arial"/>
          <w:b/>
          <w:bCs/>
          <w:sz w:val="22"/>
          <w:szCs w:val="22"/>
        </w:rPr>
        <w:t xml:space="preserve">U </w:t>
      </w:r>
      <w:r w:rsidR="00232FC0" w:rsidRPr="0030358C">
        <w:rPr>
          <w:rFonts w:ascii="Arial" w:hAnsi="Arial" w:cs="Arial"/>
          <w:b/>
          <w:bCs/>
          <w:sz w:val="22"/>
          <w:szCs w:val="22"/>
        </w:rPr>
        <w:t>stacionárních zdrojů, jejichž kódy jsou uvedeny v bodě 2</w:t>
      </w:r>
      <w:r w:rsidR="004911C2" w:rsidRPr="0030358C">
        <w:rPr>
          <w:rFonts w:ascii="Arial" w:hAnsi="Arial" w:cs="Arial"/>
          <w:b/>
          <w:bCs/>
          <w:sz w:val="22"/>
          <w:szCs w:val="22"/>
        </w:rPr>
        <w:t>,</w:t>
      </w:r>
      <w:r w:rsidR="00232FC0" w:rsidRPr="0030358C">
        <w:rPr>
          <w:rFonts w:ascii="Arial" w:hAnsi="Arial" w:cs="Arial"/>
          <w:b/>
          <w:bCs/>
          <w:sz w:val="22"/>
          <w:szCs w:val="22"/>
        </w:rPr>
        <w:t xml:space="preserve"> 3</w:t>
      </w:r>
      <w:r w:rsidR="004911C2" w:rsidRPr="0030358C">
        <w:rPr>
          <w:rFonts w:ascii="Arial" w:hAnsi="Arial" w:cs="Arial"/>
          <w:b/>
          <w:bCs/>
          <w:sz w:val="22"/>
          <w:szCs w:val="22"/>
        </w:rPr>
        <w:t xml:space="preserve"> a 4</w:t>
      </w:r>
      <w:r w:rsidR="00232FC0" w:rsidRPr="0030358C">
        <w:rPr>
          <w:rFonts w:ascii="Arial" w:hAnsi="Arial" w:cs="Arial"/>
          <w:b/>
          <w:bCs/>
          <w:sz w:val="22"/>
          <w:szCs w:val="22"/>
        </w:rPr>
        <w:t xml:space="preserve">, které jsou vybaveny některou z </w:t>
      </w:r>
      <w:r w:rsidRPr="0030358C">
        <w:rPr>
          <w:rFonts w:ascii="Arial" w:hAnsi="Arial" w:cs="Arial"/>
          <w:b/>
          <w:bCs/>
          <w:sz w:val="22"/>
          <w:szCs w:val="22"/>
        </w:rPr>
        <w:t xml:space="preserve">následujících </w:t>
      </w:r>
      <w:r w:rsidR="00A6748E" w:rsidRPr="0030358C">
        <w:rPr>
          <w:rFonts w:ascii="Arial" w:hAnsi="Arial" w:cs="Arial"/>
          <w:b/>
          <w:bCs/>
          <w:sz w:val="22"/>
          <w:szCs w:val="22"/>
        </w:rPr>
        <w:t xml:space="preserve">technologií </w:t>
      </w:r>
      <w:r w:rsidRPr="0030358C">
        <w:rPr>
          <w:rFonts w:ascii="Arial" w:hAnsi="Arial" w:cs="Arial"/>
          <w:b/>
          <w:bCs/>
          <w:sz w:val="22"/>
          <w:szCs w:val="22"/>
        </w:rPr>
        <w:t>ke snižování emisí</w:t>
      </w:r>
      <w:r w:rsidR="00232FC0" w:rsidRPr="0030358C">
        <w:rPr>
          <w:rFonts w:ascii="Arial" w:hAnsi="Arial" w:cs="Arial"/>
          <w:b/>
          <w:bCs/>
          <w:sz w:val="22"/>
          <w:szCs w:val="22"/>
        </w:rPr>
        <w:t>, musí být</w:t>
      </w:r>
      <w:r w:rsidRPr="0030358C">
        <w:rPr>
          <w:rFonts w:ascii="Arial" w:hAnsi="Arial" w:cs="Arial"/>
          <w:b/>
          <w:bCs/>
          <w:sz w:val="22"/>
          <w:szCs w:val="22"/>
        </w:rPr>
        <w:t xml:space="preserve"> v případě povinnosti periodického jednorázového měření</w:t>
      </w:r>
      <w:r w:rsidR="00232FC0" w:rsidRPr="0030358C">
        <w:rPr>
          <w:rFonts w:ascii="Arial" w:hAnsi="Arial" w:cs="Arial"/>
          <w:b/>
          <w:bCs/>
          <w:sz w:val="22"/>
          <w:szCs w:val="22"/>
        </w:rPr>
        <w:t xml:space="preserve"> uvedených znečišťujících látek současně stanovena povinnost</w:t>
      </w:r>
      <w:r w:rsidRPr="0030358C">
        <w:rPr>
          <w:rFonts w:ascii="Arial" w:hAnsi="Arial" w:cs="Arial"/>
          <w:b/>
          <w:bCs/>
          <w:sz w:val="22"/>
          <w:szCs w:val="22"/>
        </w:rPr>
        <w:t xml:space="preserve"> sledován</w:t>
      </w:r>
      <w:r w:rsidR="00232FC0" w:rsidRPr="0030358C">
        <w:rPr>
          <w:rFonts w:ascii="Arial" w:hAnsi="Arial" w:cs="Arial"/>
          <w:b/>
          <w:bCs/>
          <w:sz w:val="22"/>
          <w:szCs w:val="22"/>
        </w:rPr>
        <w:t>í</w:t>
      </w:r>
      <w:r w:rsidRPr="0030358C">
        <w:rPr>
          <w:rFonts w:ascii="Arial" w:hAnsi="Arial" w:cs="Arial"/>
          <w:b/>
          <w:bCs/>
          <w:sz w:val="22"/>
          <w:szCs w:val="22"/>
        </w:rPr>
        <w:t xml:space="preserve"> a nepřetržit</w:t>
      </w:r>
      <w:r w:rsidR="00232FC0" w:rsidRPr="0030358C">
        <w:rPr>
          <w:rFonts w:ascii="Arial" w:hAnsi="Arial" w:cs="Arial"/>
          <w:b/>
          <w:bCs/>
          <w:sz w:val="22"/>
          <w:szCs w:val="22"/>
        </w:rPr>
        <w:t>ého</w:t>
      </w:r>
      <w:r w:rsidRPr="0030358C">
        <w:rPr>
          <w:rFonts w:ascii="Arial" w:hAnsi="Arial" w:cs="Arial"/>
          <w:b/>
          <w:bCs/>
          <w:sz w:val="22"/>
          <w:szCs w:val="22"/>
        </w:rPr>
        <w:t xml:space="preserve"> zaznamenáván</w:t>
      </w:r>
      <w:r w:rsidR="00232FC0" w:rsidRPr="0030358C">
        <w:rPr>
          <w:rFonts w:ascii="Arial" w:hAnsi="Arial" w:cs="Arial"/>
          <w:b/>
          <w:bCs/>
          <w:sz w:val="22"/>
          <w:szCs w:val="22"/>
        </w:rPr>
        <w:t>í</w:t>
      </w:r>
      <w:r w:rsidRPr="0030358C">
        <w:rPr>
          <w:rFonts w:ascii="Arial" w:hAnsi="Arial" w:cs="Arial"/>
          <w:b/>
          <w:bCs/>
          <w:sz w:val="22"/>
          <w:szCs w:val="22"/>
        </w:rPr>
        <w:t xml:space="preserve"> </w:t>
      </w:r>
      <w:r w:rsidR="00232FC0" w:rsidRPr="0030358C">
        <w:rPr>
          <w:rFonts w:ascii="Arial" w:hAnsi="Arial" w:cs="Arial"/>
          <w:b/>
          <w:bCs/>
          <w:sz w:val="22"/>
          <w:szCs w:val="22"/>
        </w:rPr>
        <w:t xml:space="preserve">stanoveného </w:t>
      </w:r>
      <w:r w:rsidRPr="0030358C">
        <w:rPr>
          <w:rFonts w:ascii="Arial" w:hAnsi="Arial" w:cs="Arial"/>
          <w:b/>
          <w:bCs/>
          <w:sz w:val="22"/>
          <w:szCs w:val="22"/>
        </w:rPr>
        <w:t>provozní</w:t>
      </w:r>
      <w:r w:rsidR="00232FC0" w:rsidRPr="0030358C">
        <w:rPr>
          <w:rFonts w:ascii="Arial" w:hAnsi="Arial" w:cs="Arial"/>
          <w:b/>
          <w:bCs/>
          <w:sz w:val="22"/>
          <w:szCs w:val="22"/>
        </w:rPr>
        <w:t>ho</w:t>
      </w:r>
      <w:r w:rsidRPr="0030358C">
        <w:rPr>
          <w:rFonts w:ascii="Arial" w:hAnsi="Arial" w:cs="Arial"/>
          <w:b/>
          <w:bCs/>
          <w:sz w:val="22"/>
          <w:szCs w:val="22"/>
        </w:rPr>
        <w:t xml:space="preserve"> parametr</w:t>
      </w:r>
      <w:r w:rsidR="00232FC0" w:rsidRPr="0030358C">
        <w:rPr>
          <w:rFonts w:ascii="Arial" w:hAnsi="Arial" w:cs="Arial"/>
          <w:b/>
          <w:bCs/>
          <w:sz w:val="22"/>
          <w:szCs w:val="22"/>
        </w:rPr>
        <w:t>u</w:t>
      </w:r>
      <w:r w:rsidRPr="0030358C">
        <w:rPr>
          <w:rFonts w:ascii="Arial" w:hAnsi="Arial" w:cs="Arial"/>
          <w:b/>
          <w:bCs/>
          <w:sz w:val="22"/>
          <w:szCs w:val="22"/>
        </w:rPr>
        <w:t>, který udává následující tabulka.</w:t>
      </w:r>
      <w:r w:rsidR="00311568" w:rsidRPr="0030358C">
        <w:rPr>
          <w:rFonts w:ascii="Arial" w:hAnsi="Arial" w:cs="Arial"/>
          <w:b/>
          <w:bCs/>
          <w:color w:val="000000"/>
          <w:sz w:val="22"/>
          <w:szCs w:val="22"/>
        </w:rPr>
        <w:t xml:space="preserve"> </w:t>
      </w:r>
      <w:r w:rsidR="00311568" w:rsidRPr="0030358C">
        <w:rPr>
          <w:rFonts w:ascii="Arial" w:hAnsi="Arial" w:cs="Arial"/>
          <w:b/>
          <w:bCs/>
          <w:sz w:val="22"/>
          <w:szCs w:val="22"/>
        </w:rPr>
        <w:t xml:space="preserve">V případech, kdy tabulka nabízí více možností, je aplikován a v povolení provozu </w:t>
      </w:r>
      <w:r w:rsidR="00652B32" w:rsidRPr="0030358C">
        <w:rPr>
          <w:rFonts w:ascii="Arial" w:hAnsi="Arial" w:cs="Arial"/>
          <w:b/>
          <w:bCs/>
          <w:sz w:val="22"/>
          <w:szCs w:val="22"/>
        </w:rPr>
        <w:t xml:space="preserve">v souladu s </w:t>
      </w:r>
      <w:r w:rsidR="00311568" w:rsidRPr="0030358C">
        <w:rPr>
          <w:rFonts w:ascii="Arial" w:hAnsi="Arial" w:cs="Arial"/>
          <w:b/>
          <w:bCs/>
          <w:sz w:val="22"/>
          <w:szCs w:val="22"/>
        </w:rPr>
        <w:t xml:space="preserve">§ 6 odst. 4 zákona určen </w:t>
      </w:r>
      <w:r w:rsidR="00C74B3F" w:rsidRPr="0030358C">
        <w:rPr>
          <w:rFonts w:ascii="Arial" w:hAnsi="Arial" w:cs="Arial"/>
          <w:b/>
          <w:bCs/>
          <w:sz w:val="22"/>
          <w:szCs w:val="22"/>
        </w:rPr>
        <w:t xml:space="preserve">vždy minimálně </w:t>
      </w:r>
      <w:r w:rsidR="00311568" w:rsidRPr="0030358C">
        <w:rPr>
          <w:rFonts w:ascii="Arial" w:hAnsi="Arial" w:cs="Arial"/>
          <w:b/>
          <w:bCs/>
          <w:sz w:val="22"/>
          <w:szCs w:val="22"/>
        </w:rPr>
        <w:t xml:space="preserve">ten parametr, který lépe popisuje řádný provoz </w:t>
      </w:r>
      <w:r w:rsidR="00C74B3F" w:rsidRPr="0030358C">
        <w:rPr>
          <w:rFonts w:ascii="Arial" w:hAnsi="Arial" w:cs="Arial"/>
          <w:b/>
          <w:bCs/>
          <w:sz w:val="22"/>
          <w:szCs w:val="22"/>
        </w:rPr>
        <w:t>daného</w:t>
      </w:r>
      <w:r w:rsidR="00311568" w:rsidRPr="0030358C">
        <w:rPr>
          <w:rFonts w:ascii="Arial" w:hAnsi="Arial" w:cs="Arial"/>
          <w:b/>
          <w:bCs/>
          <w:sz w:val="22"/>
          <w:szCs w:val="22"/>
        </w:rPr>
        <w:t xml:space="preserve"> konkrétního zařízení ke snížení emisí. V případě odlučovací soustavy tvořené více různými zařízeními ke snižování emisí, je provozní parametr nepřetržitě sledován a zaznamenáván na každém z nich, přičemž tato tabulka platí pro každé jednotlivé zařízení</w:t>
      </w:r>
      <w:r w:rsidR="008479EA" w:rsidRPr="0030358C">
        <w:rPr>
          <w:rFonts w:ascii="Arial" w:hAnsi="Arial" w:cs="Arial"/>
          <w:b/>
          <w:bCs/>
          <w:sz w:val="22"/>
          <w:szCs w:val="22"/>
        </w:rPr>
        <w:t xml:space="preserve"> ke snižování emisí</w:t>
      </w:r>
      <w:r w:rsidR="00311568" w:rsidRPr="0030358C">
        <w:rPr>
          <w:rFonts w:ascii="Arial" w:hAnsi="Arial" w:cs="Arial"/>
          <w:b/>
          <w:bCs/>
          <w:sz w:val="22"/>
          <w:szCs w:val="22"/>
        </w:rPr>
        <w:t xml:space="preserve">, není-li v povolení provozu stanoveno jinak. V případě zařízení ke snižování emisí, jejichž řádný provoz a údržbu zajistí sledování a záznam jiného provozního parametru, než který je uveden v tabulce, může krajský úřad </w:t>
      </w:r>
      <w:r w:rsidR="00652B32" w:rsidRPr="0030358C">
        <w:rPr>
          <w:rFonts w:ascii="Arial" w:hAnsi="Arial" w:cs="Arial"/>
          <w:b/>
          <w:bCs/>
          <w:sz w:val="22"/>
          <w:szCs w:val="22"/>
        </w:rPr>
        <w:t>v souladu s</w:t>
      </w:r>
      <w:r w:rsidR="00311568" w:rsidRPr="0030358C">
        <w:rPr>
          <w:rFonts w:ascii="Arial" w:hAnsi="Arial" w:cs="Arial"/>
          <w:b/>
          <w:bCs/>
          <w:sz w:val="22"/>
          <w:szCs w:val="22"/>
        </w:rPr>
        <w:t xml:space="preserve"> § 6 odst. 4 zákona určit jiný provozní parametr.</w:t>
      </w:r>
    </w:p>
    <w:p w14:paraId="3DDFF28A" w14:textId="77777777" w:rsidR="004911C2" w:rsidRPr="0030358C" w:rsidRDefault="004911C2" w:rsidP="00666B40">
      <w:pPr>
        <w:rPr>
          <w:rFonts w:ascii="Arial" w:hAnsi="Arial" w:cs="Arial"/>
          <w:b/>
          <w:bCs/>
          <w:sz w:val="22"/>
          <w:szCs w:val="22"/>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2672"/>
        <w:gridCol w:w="3153"/>
      </w:tblGrid>
      <w:tr w:rsidR="00E40657" w14:paraId="121A7BD8"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5368715F"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 xml:space="preserve">Technologie a opatření ke snižování emisí </w:t>
            </w:r>
          </w:p>
        </w:tc>
        <w:tc>
          <w:tcPr>
            <w:tcW w:w="2672" w:type="dxa"/>
            <w:tcBorders>
              <w:top w:val="single" w:sz="4" w:space="0" w:color="000000"/>
              <w:left w:val="single" w:sz="4" w:space="0" w:color="000000"/>
              <w:bottom w:val="single" w:sz="4" w:space="0" w:color="000000"/>
              <w:right w:val="single" w:sz="4" w:space="0" w:color="000000"/>
            </w:tcBorders>
            <w:vAlign w:val="center"/>
          </w:tcPr>
          <w:p w14:paraId="68D23029"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Znečišťující látka</w:t>
            </w:r>
          </w:p>
        </w:tc>
        <w:tc>
          <w:tcPr>
            <w:tcW w:w="3153" w:type="dxa"/>
            <w:tcBorders>
              <w:top w:val="single" w:sz="4" w:space="0" w:color="000000"/>
              <w:left w:val="single" w:sz="4" w:space="0" w:color="000000"/>
              <w:bottom w:val="single" w:sz="4" w:space="0" w:color="000000"/>
              <w:right w:val="single" w:sz="4" w:space="0" w:color="000000"/>
            </w:tcBorders>
            <w:vAlign w:val="center"/>
          </w:tcPr>
          <w:p w14:paraId="628E8F40"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Provozní parametr</w:t>
            </w:r>
          </w:p>
        </w:tc>
      </w:tr>
      <w:tr w:rsidR="00E40657" w14:paraId="71AFF672"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1D0DCF09"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Tkaninové a textilní filtry</w:t>
            </w:r>
          </w:p>
        </w:tc>
        <w:tc>
          <w:tcPr>
            <w:tcW w:w="2672" w:type="dxa"/>
            <w:tcBorders>
              <w:top w:val="single" w:sz="4" w:space="0" w:color="000000"/>
              <w:left w:val="single" w:sz="4" w:space="0" w:color="000000"/>
              <w:bottom w:val="single" w:sz="4" w:space="0" w:color="000000"/>
              <w:right w:val="single" w:sz="4" w:space="0" w:color="000000"/>
            </w:tcBorders>
            <w:vAlign w:val="center"/>
          </w:tcPr>
          <w:p w14:paraId="35CC3D46"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TZL</w:t>
            </w:r>
          </w:p>
        </w:tc>
        <w:tc>
          <w:tcPr>
            <w:tcW w:w="3153" w:type="dxa"/>
            <w:tcBorders>
              <w:top w:val="single" w:sz="4" w:space="0" w:color="000000"/>
              <w:left w:val="single" w:sz="4" w:space="0" w:color="000000"/>
              <w:bottom w:val="single" w:sz="4" w:space="0" w:color="000000"/>
              <w:right w:val="single" w:sz="4" w:space="0" w:color="000000"/>
            </w:tcBorders>
            <w:vAlign w:val="center"/>
          </w:tcPr>
          <w:p w14:paraId="77577853"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Tlaková ztráta</w:t>
            </w:r>
          </w:p>
        </w:tc>
      </w:tr>
      <w:tr w:rsidR="00E40657" w14:paraId="436516B1"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068E5BA5"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Keramické filtry</w:t>
            </w:r>
          </w:p>
        </w:tc>
        <w:tc>
          <w:tcPr>
            <w:tcW w:w="2672" w:type="dxa"/>
            <w:tcBorders>
              <w:top w:val="single" w:sz="4" w:space="0" w:color="000000"/>
              <w:left w:val="single" w:sz="4" w:space="0" w:color="000000"/>
              <w:bottom w:val="single" w:sz="4" w:space="0" w:color="000000"/>
              <w:right w:val="single" w:sz="4" w:space="0" w:color="000000"/>
            </w:tcBorders>
            <w:vAlign w:val="center"/>
          </w:tcPr>
          <w:p w14:paraId="1E5E6F88"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TZL</w:t>
            </w:r>
          </w:p>
        </w:tc>
        <w:tc>
          <w:tcPr>
            <w:tcW w:w="3153" w:type="dxa"/>
            <w:tcBorders>
              <w:top w:val="single" w:sz="4" w:space="0" w:color="000000"/>
              <w:left w:val="single" w:sz="4" w:space="0" w:color="000000"/>
              <w:bottom w:val="single" w:sz="4" w:space="0" w:color="000000"/>
              <w:right w:val="single" w:sz="4" w:space="0" w:color="000000"/>
            </w:tcBorders>
            <w:vAlign w:val="center"/>
          </w:tcPr>
          <w:p w14:paraId="27E97CCA"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Tlaková ztráta</w:t>
            </w:r>
          </w:p>
        </w:tc>
      </w:tr>
      <w:tr w:rsidR="00E40657" w14:paraId="6A0D387B"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18245ED1"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Elektrostatický odlučovač</w:t>
            </w:r>
          </w:p>
        </w:tc>
        <w:tc>
          <w:tcPr>
            <w:tcW w:w="2672" w:type="dxa"/>
            <w:tcBorders>
              <w:top w:val="single" w:sz="4" w:space="0" w:color="000000"/>
              <w:left w:val="single" w:sz="4" w:space="0" w:color="000000"/>
              <w:bottom w:val="single" w:sz="4" w:space="0" w:color="000000"/>
              <w:right w:val="single" w:sz="4" w:space="0" w:color="000000"/>
            </w:tcBorders>
            <w:vAlign w:val="center"/>
          </w:tcPr>
          <w:p w14:paraId="46563B96"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TZL</w:t>
            </w:r>
          </w:p>
        </w:tc>
        <w:tc>
          <w:tcPr>
            <w:tcW w:w="3153" w:type="dxa"/>
            <w:tcBorders>
              <w:top w:val="single" w:sz="4" w:space="0" w:color="000000"/>
              <w:left w:val="single" w:sz="4" w:space="0" w:color="000000"/>
              <w:bottom w:val="single" w:sz="4" w:space="0" w:color="000000"/>
              <w:right w:val="single" w:sz="4" w:space="0" w:color="000000"/>
            </w:tcBorders>
            <w:vAlign w:val="center"/>
          </w:tcPr>
          <w:p w14:paraId="7538C427"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Napětí na elektrodách a protékající elektrický proud každé sekce.</w:t>
            </w:r>
          </w:p>
          <w:p w14:paraId="1DCA0421"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 xml:space="preserve">Pro posouzení provozní schopnosti je nutné sledovat oba parametry </w:t>
            </w:r>
            <w:r w:rsidRPr="0030358C">
              <w:rPr>
                <w:rFonts w:ascii="Arial" w:hAnsi="Arial" w:cs="Arial"/>
                <w:b/>
                <w:bCs/>
                <w:sz w:val="22"/>
                <w:szCs w:val="22"/>
              </w:rPr>
              <w:lastRenderedPageBreak/>
              <w:t>současně u každé sekce elektrostatického odlučovače.</w:t>
            </w:r>
          </w:p>
        </w:tc>
      </w:tr>
      <w:tr w:rsidR="00E40657" w14:paraId="44C144C4" w14:textId="77777777" w:rsidTr="00995E39">
        <w:trPr>
          <w:tblCellSpacing w:w="0" w:type="dxa"/>
        </w:trPr>
        <w:tc>
          <w:tcPr>
            <w:tcW w:w="3237" w:type="dxa"/>
            <w:vMerge w:val="restart"/>
            <w:tcBorders>
              <w:top w:val="single" w:sz="4" w:space="0" w:color="000000"/>
              <w:left w:val="single" w:sz="4" w:space="0" w:color="000000"/>
              <w:bottom w:val="single" w:sz="4" w:space="0" w:color="000000"/>
              <w:right w:val="single" w:sz="4" w:space="0" w:color="000000"/>
            </w:tcBorders>
            <w:vAlign w:val="center"/>
          </w:tcPr>
          <w:p w14:paraId="183CC65D"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lastRenderedPageBreak/>
              <w:t>Absorpce (Mokrá pračka)</w:t>
            </w:r>
          </w:p>
        </w:tc>
        <w:tc>
          <w:tcPr>
            <w:tcW w:w="2672" w:type="dxa"/>
            <w:tcBorders>
              <w:top w:val="single" w:sz="4" w:space="0" w:color="000000"/>
              <w:left w:val="single" w:sz="4" w:space="0" w:color="000000"/>
              <w:bottom w:val="single" w:sz="4" w:space="0" w:color="000000"/>
              <w:right w:val="single" w:sz="4" w:space="0" w:color="000000"/>
            </w:tcBorders>
            <w:vAlign w:val="center"/>
          </w:tcPr>
          <w:p w14:paraId="6E92A50A"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TZL</w:t>
            </w:r>
          </w:p>
        </w:tc>
        <w:tc>
          <w:tcPr>
            <w:tcW w:w="3153" w:type="dxa"/>
            <w:tcBorders>
              <w:top w:val="single" w:sz="4" w:space="0" w:color="000000"/>
              <w:left w:val="single" w:sz="4" w:space="0" w:color="000000"/>
              <w:bottom w:val="single" w:sz="4" w:space="0" w:color="000000"/>
              <w:right w:val="single" w:sz="4" w:space="0" w:color="000000"/>
            </w:tcBorders>
            <w:vAlign w:val="center"/>
          </w:tcPr>
          <w:p w14:paraId="0AD266E0"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Výška hladiny nebo nátok pracího média</w:t>
            </w:r>
          </w:p>
        </w:tc>
      </w:tr>
      <w:tr w:rsidR="00E40657" w14:paraId="64A07F4D" w14:textId="77777777" w:rsidTr="00995E3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tcPr>
          <w:p w14:paraId="4577DF2E" w14:textId="77777777" w:rsidR="004911C2" w:rsidRPr="0030358C" w:rsidRDefault="004911C2" w:rsidP="004911C2">
            <w:pPr>
              <w:rPr>
                <w:rFonts w:ascii="Arial" w:hAnsi="Arial" w:cs="Arial"/>
                <w:b/>
                <w:bCs/>
                <w:sz w:val="22"/>
                <w:szCs w:val="22"/>
              </w:rPr>
            </w:pPr>
          </w:p>
        </w:tc>
        <w:tc>
          <w:tcPr>
            <w:tcW w:w="2672" w:type="dxa"/>
            <w:tcBorders>
              <w:top w:val="single" w:sz="4" w:space="0" w:color="000000"/>
              <w:left w:val="single" w:sz="4" w:space="0" w:color="000000"/>
              <w:bottom w:val="single" w:sz="4" w:space="0" w:color="000000"/>
              <w:right w:val="single" w:sz="4" w:space="0" w:color="000000"/>
            </w:tcBorders>
            <w:vAlign w:val="center"/>
          </w:tcPr>
          <w:p w14:paraId="22B9C898"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VOC</w:t>
            </w:r>
          </w:p>
        </w:tc>
        <w:tc>
          <w:tcPr>
            <w:tcW w:w="3153" w:type="dxa"/>
            <w:tcBorders>
              <w:top w:val="single" w:sz="4" w:space="0" w:color="000000"/>
              <w:left w:val="single" w:sz="4" w:space="0" w:color="000000"/>
              <w:bottom w:val="single" w:sz="4" w:space="0" w:color="000000"/>
              <w:right w:val="single" w:sz="4" w:space="0" w:color="000000"/>
            </w:tcBorders>
            <w:vAlign w:val="center"/>
          </w:tcPr>
          <w:p w14:paraId="4C5143BD"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Teplota nebo výška hladiny</w:t>
            </w:r>
          </w:p>
        </w:tc>
      </w:tr>
      <w:tr w:rsidR="00E40657" w14:paraId="191BED68"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7C409E69"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Hladinový odlučovač</w:t>
            </w:r>
          </w:p>
        </w:tc>
        <w:tc>
          <w:tcPr>
            <w:tcW w:w="2672" w:type="dxa"/>
            <w:tcBorders>
              <w:top w:val="single" w:sz="4" w:space="0" w:color="000000"/>
              <w:left w:val="single" w:sz="4" w:space="0" w:color="000000"/>
              <w:bottom w:val="single" w:sz="4" w:space="0" w:color="000000"/>
              <w:right w:val="single" w:sz="4" w:space="0" w:color="000000"/>
            </w:tcBorders>
            <w:vAlign w:val="center"/>
          </w:tcPr>
          <w:p w14:paraId="560A227F"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TZL</w:t>
            </w:r>
          </w:p>
        </w:tc>
        <w:tc>
          <w:tcPr>
            <w:tcW w:w="3153" w:type="dxa"/>
            <w:tcBorders>
              <w:top w:val="single" w:sz="4" w:space="0" w:color="000000"/>
              <w:left w:val="single" w:sz="4" w:space="0" w:color="000000"/>
              <w:bottom w:val="single" w:sz="4" w:space="0" w:color="000000"/>
              <w:right w:val="single" w:sz="4" w:space="0" w:color="000000"/>
            </w:tcBorders>
            <w:vAlign w:val="center"/>
          </w:tcPr>
          <w:p w14:paraId="5DDA41D2"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Výška hladiny nebo nátok vody</w:t>
            </w:r>
          </w:p>
        </w:tc>
      </w:tr>
      <w:tr w:rsidR="00E40657" w14:paraId="51857627"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5F6F79A2"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SNCR</w:t>
            </w:r>
          </w:p>
        </w:tc>
        <w:tc>
          <w:tcPr>
            <w:tcW w:w="2672" w:type="dxa"/>
            <w:tcBorders>
              <w:top w:val="single" w:sz="4" w:space="0" w:color="000000"/>
              <w:left w:val="single" w:sz="4" w:space="0" w:color="000000"/>
              <w:bottom w:val="single" w:sz="4" w:space="0" w:color="000000"/>
              <w:right w:val="single" w:sz="4" w:space="0" w:color="000000"/>
            </w:tcBorders>
            <w:vAlign w:val="center"/>
          </w:tcPr>
          <w:p w14:paraId="529A274C"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NOx</w:t>
            </w:r>
          </w:p>
        </w:tc>
        <w:tc>
          <w:tcPr>
            <w:tcW w:w="3153" w:type="dxa"/>
            <w:tcBorders>
              <w:top w:val="single" w:sz="4" w:space="0" w:color="000000"/>
              <w:left w:val="single" w:sz="4" w:space="0" w:color="000000"/>
              <w:bottom w:val="single" w:sz="4" w:space="0" w:color="000000"/>
              <w:right w:val="single" w:sz="4" w:space="0" w:color="000000"/>
            </w:tcBorders>
            <w:vAlign w:val="center"/>
          </w:tcPr>
          <w:p w14:paraId="7EE27A94"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Teplota odpadního plynu a spotřeba činidla za časovou jednotku (g/min, kg/hod apod.)</w:t>
            </w:r>
          </w:p>
        </w:tc>
      </w:tr>
      <w:tr w:rsidR="00E40657" w14:paraId="3B805AD4"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08128FB6"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SCR</w:t>
            </w:r>
          </w:p>
        </w:tc>
        <w:tc>
          <w:tcPr>
            <w:tcW w:w="2672" w:type="dxa"/>
            <w:tcBorders>
              <w:top w:val="single" w:sz="4" w:space="0" w:color="000000"/>
              <w:left w:val="single" w:sz="4" w:space="0" w:color="000000"/>
              <w:bottom w:val="single" w:sz="4" w:space="0" w:color="000000"/>
              <w:right w:val="single" w:sz="4" w:space="0" w:color="000000"/>
            </w:tcBorders>
            <w:vAlign w:val="center"/>
          </w:tcPr>
          <w:p w14:paraId="4B1FEEEA"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NOx</w:t>
            </w:r>
          </w:p>
        </w:tc>
        <w:tc>
          <w:tcPr>
            <w:tcW w:w="3153" w:type="dxa"/>
            <w:tcBorders>
              <w:top w:val="single" w:sz="4" w:space="0" w:color="000000"/>
              <w:left w:val="single" w:sz="4" w:space="0" w:color="000000"/>
              <w:bottom w:val="single" w:sz="4" w:space="0" w:color="000000"/>
              <w:right w:val="single" w:sz="4" w:space="0" w:color="000000"/>
            </w:tcBorders>
            <w:vAlign w:val="center"/>
          </w:tcPr>
          <w:p w14:paraId="231D70E2"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Teplota odpadního plynu a spotřeba činidla za časovou jednotku (g/min, kg/hod apod.)</w:t>
            </w:r>
          </w:p>
        </w:tc>
      </w:tr>
      <w:tr w:rsidR="00E40657" w14:paraId="64A7E7E0"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462950DB"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Tepelná, katalytická oxidace</w:t>
            </w:r>
          </w:p>
        </w:tc>
        <w:tc>
          <w:tcPr>
            <w:tcW w:w="2672" w:type="dxa"/>
            <w:tcBorders>
              <w:top w:val="single" w:sz="4" w:space="0" w:color="000000"/>
              <w:left w:val="single" w:sz="4" w:space="0" w:color="000000"/>
              <w:bottom w:val="single" w:sz="4" w:space="0" w:color="000000"/>
              <w:right w:val="single" w:sz="4" w:space="0" w:color="000000"/>
            </w:tcBorders>
            <w:vAlign w:val="center"/>
          </w:tcPr>
          <w:p w14:paraId="3A0FB33B"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TOC/VOC</w:t>
            </w:r>
          </w:p>
        </w:tc>
        <w:tc>
          <w:tcPr>
            <w:tcW w:w="3153" w:type="dxa"/>
            <w:tcBorders>
              <w:top w:val="single" w:sz="4" w:space="0" w:color="000000"/>
              <w:left w:val="single" w:sz="4" w:space="0" w:color="000000"/>
              <w:bottom w:val="single" w:sz="4" w:space="0" w:color="000000"/>
              <w:right w:val="single" w:sz="4" w:space="0" w:color="000000"/>
            </w:tcBorders>
            <w:vAlign w:val="center"/>
          </w:tcPr>
          <w:p w14:paraId="075BB7D4"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Teplota oxidace, střední doba zdržení včetně způsobu jejího stanovení</w:t>
            </w:r>
          </w:p>
        </w:tc>
      </w:tr>
      <w:tr w:rsidR="00E40657" w14:paraId="5BC7645F"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18776E7E"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Biofiltr</w:t>
            </w:r>
          </w:p>
        </w:tc>
        <w:tc>
          <w:tcPr>
            <w:tcW w:w="2672" w:type="dxa"/>
            <w:tcBorders>
              <w:top w:val="single" w:sz="4" w:space="0" w:color="000000"/>
              <w:left w:val="single" w:sz="4" w:space="0" w:color="000000"/>
              <w:bottom w:val="single" w:sz="4" w:space="0" w:color="000000"/>
              <w:right w:val="single" w:sz="4" w:space="0" w:color="000000"/>
            </w:tcBorders>
            <w:vAlign w:val="center"/>
          </w:tcPr>
          <w:p w14:paraId="38D6A3C0"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TOC/VOC</w:t>
            </w:r>
          </w:p>
        </w:tc>
        <w:tc>
          <w:tcPr>
            <w:tcW w:w="3153" w:type="dxa"/>
            <w:tcBorders>
              <w:top w:val="single" w:sz="4" w:space="0" w:color="000000"/>
              <w:left w:val="single" w:sz="4" w:space="0" w:color="000000"/>
              <w:bottom w:val="single" w:sz="4" w:space="0" w:color="000000"/>
              <w:right w:val="single" w:sz="4" w:space="0" w:color="000000"/>
            </w:tcBorders>
            <w:vAlign w:val="center"/>
          </w:tcPr>
          <w:p w14:paraId="1D54DDA2"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Teplota nebo tlaková ztráta</w:t>
            </w:r>
          </w:p>
        </w:tc>
      </w:tr>
      <w:tr w:rsidR="00E40657" w14:paraId="19AC1401"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0B626629"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Adsorpce (Aktivní uhlí, zeolity)</w:t>
            </w:r>
          </w:p>
        </w:tc>
        <w:tc>
          <w:tcPr>
            <w:tcW w:w="2672" w:type="dxa"/>
            <w:tcBorders>
              <w:top w:val="single" w:sz="4" w:space="0" w:color="000000"/>
              <w:left w:val="single" w:sz="4" w:space="0" w:color="000000"/>
              <w:bottom w:val="single" w:sz="4" w:space="0" w:color="000000"/>
              <w:right w:val="single" w:sz="4" w:space="0" w:color="000000"/>
            </w:tcBorders>
            <w:vAlign w:val="center"/>
          </w:tcPr>
          <w:p w14:paraId="58F5D79C"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TOC/VOC</w:t>
            </w:r>
          </w:p>
        </w:tc>
        <w:tc>
          <w:tcPr>
            <w:tcW w:w="3153" w:type="dxa"/>
            <w:tcBorders>
              <w:top w:val="single" w:sz="4" w:space="0" w:color="000000"/>
              <w:left w:val="single" w:sz="4" w:space="0" w:color="000000"/>
              <w:bottom w:val="single" w:sz="4" w:space="0" w:color="000000"/>
              <w:right w:val="single" w:sz="4" w:space="0" w:color="000000"/>
            </w:tcBorders>
            <w:vAlign w:val="center"/>
          </w:tcPr>
          <w:p w14:paraId="6A5D55A9"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Hmotnost</w:t>
            </w:r>
          </w:p>
        </w:tc>
      </w:tr>
      <w:tr w:rsidR="00E40657" w14:paraId="536C98E9"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79883B82"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Ionizace (UV, plazma, ozonizace atd.)</w:t>
            </w:r>
          </w:p>
        </w:tc>
        <w:tc>
          <w:tcPr>
            <w:tcW w:w="2672" w:type="dxa"/>
            <w:tcBorders>
              <w:top w:val="single" w:sz="4" w:space="0" w:color="000000"/>
              <w:left w:val="single" w:sz="4" w:space="0" w:color="000000"/>
              <w:bottom w:val="single" w:sz="4" w:space="0" w:color="000000"/>
              <w:right w:val="single" w:sz="4" w:space="0" w:color="000000"/>
            </w:tcBorders>
            <w:vAlign w:val="center"/>
          </w:tcPr>
          <w:p w14:paraId="7A5FDF90"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TOC/VOC</w:t>
            </w:r>
          </w:p>
        </w:tc>
        <w:tc>
          <w:tcPr>
            <w:tcW w:w="3153" w:type="dxa"/>
            <w:tcBorders>
              <w:top w:val="single" w:sz="4" w:space="0" w:color="000000"/>
              <w:left w:val="single" w:sz="4" w:space="0" w:color="000000"/>
              <w:bottom w:val="single" w:sz="4" w:space="0" w:color="000000"/>
              <w:right w:val="single" w:sz="4" w:space="0" w:color="000000"/>
            </w:tcBorders>
            <w:vAlign w:val="center"/>
          </w:tcPr>
          <w:p w14:paraId="4B108289"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Elektrický proud nebo napětí nebo spotřeba elektrické energie</w:t>
            </w:r>
          </w:p>
        </w:tc>
      </w:tr>
      <w:tr w:rsidR="00E40657" w14:paraId="617CD3C6" w14:textId="77777777" w:rsidTr="00995E39">
        <w:trPr>
          <w:tblCellSpacing w:w="0" w:type="dxa"/>
        </w:trPr>
        <w:tc>
          <w:tcPr>
            <w:tcW w:w="3237" w:type="dxa"/>
            <w:tcBorders>
              <w:top w:val="single" w:sz="4" w:space="0" w:color="000000"/>
              <w:left w:val="single" w:sz="4" w:space="0" w:color="000000"/>
              <w:bottom w:val="single" w:sz="4" w:space="0" w:color="000000"/>
              <w:right w:val="single" w:sz="4" w:space="0" w:color="000000"/>
            </w:tcBorders>
            <w:vAlign w:val="center"/>
          </w:tcPr>
          <w:p w14:paraId="08330601"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Nastavení stechiometrie (u zdrojů kódu 1.2 a 1.3)</w:t>
            </w:r>
          </w:p>
        </w:tc>
        <w:tc>
          <w:tcPr>
            <w:tcW w:w="2672" w:type="dxa"/>
            <w:tcBorders>
              <w:top w:val="single" w:sz="4" w:space="0" w:color="000000"/>
              <w:left w:val="single" w:sz="4" w:space="0" w:color="000000"/>
              <w:bottom w:val="single" w:sz="4" w:space="0" w:color="000000"/>
              <w:right w:val="single" w:sz="4" w:space="0" w:color="000000"/>
            </w:tcBorders>
            <w:vAlign w:val="center"/>
          </w:tcPr>
          <w:p w14:paraId="287A024C"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NOx, CO, TZL</w:t>
            </w:r>
          </w:p>
        </w:tc>
        <w:tc>
          <w:tcPr>
            <w:tcW w:w="3153" w:type="dxa"/>
            <w:tcBorders>
              <w:top w:val="single" w:sz="4" w:space="0" w:color="000000"/>
              <w:left w:val="single" w:sz="4" w:space="0" w:color="000000"/>
              <w:bottom w:val="single" w:sz="4" w:space="0" w:color="000000"/>
              <w:right w:val="single" w:sz="4" w:space="0" w:color="000000"/>
            </w:tcBorders>
            <w:vAlign w:val="center"/>
          </w:tcPr>
          <w:p w14:paraId="6BB6DE58" w14:textId="77777777" w:rsidR="004911C2" w:rsidRPr="0030358C" w:rsidRDefault="00000000" w:rsidP="004911C2">
            <w:pPr>
              <w:rPr>
                <w:rFonts w:ascii="Arial" w:hAnsi="Arial" w:cs="Arial"/>
                <w:b/>
                <w:bCs/>
                <w:sz w:val="22"/>
                <w:szCs w:val="22"/>
              </w:rPr>
            </w:pPr>
            <w:r w:rsidRPr="0030358C">
              <w:rPr>
                <w:rFonts w:ascii="Arial" w:hAnsi="Arial" w:cs="Arial"/>
                <w:b/>
                <w:bCs/>
                <w:sz w:val="22"/>
                <w:szCs w:val="22"/>
              </w:rPr>
              <w:t>λ/koncentrace O</w:t>
            </w:r>
            <w:r w:rsidRPr="0030358C">
              <w:rPr>
                <w:rFonts w:ascii="Arial" w:hAnsi="Arial" w:cs="Arial"/>
                <w:b/>
                <w:bCs/>
                <w:sz w:val="22"/>
                <w:szCs w:val="22"/>
                <w:vertAlign w:val="subscript"/>
              </w:rPr>
              <w:t>2</w:t>
            </w:r>
          </w:p>
        </w:tc>
      </w:tr>
    </w:tbl>
    <w:p w14:paraId="0CD52BDF" w14:textId="77777777" w:rsidR="004911C2" w:rsidRPr="0030358C" w:rsidRDefault="004911C2" w:rsidP="00666B40">
      <w:pPr>
        <w:rPr>
          <w:rFonts w:ascii="Arial" w:hAnsi="Arial" w:cs="Arial"/>
          <w:b/>
          <w:bCs/>
          <w:sz w:val="22"/>
          <w:szCs w:val="22"/>
        </w:rPr>
      </w:pPr>
    </w:p>
    <w:p w14:paraId="6900D4CA" w14:textId="77777777" w:rsidR="009617CA" w:rsidRPr="0030358C" w:rsidRDefault="00000000" w:rsidP="009617CA">
      <w:pPr>
        <w:jc w:val="both"/>
        <w:rPr>
          <w:rFonts w:ascii="Arial" w:hAnsi="Arial" w:cs="Arial"/>
          <w:b/>
          <w:bCs/>
          <w:sz w:val="22"/>
          <w:szCs w:val="22"/>
        </w:rPr>
      </w:pPr>
      <w:r w:rsidRPr="0030358C">
        <w:rPr>
          <w:rFonts w:ascii="Arial" w:hAnsi="Arial" w:cs="Arial"/>
          <w:b/>
          <w:bCs/>
          <w:sz w:val="22"/>
          <w:szCs w:val="22"/>
        </w:rPr>
        <w:t>Poznámka:</w:t>
      </w:r>
    </w:p>
    <w:p w14:paraId="5FF02DDC" w14:textId="77777777" w:rsidR="00360259" w:rsidRPr="0030358C" w:rsidRDefault="00000000" w:rsidP="009617CA">
      <w:pPr>
        <w:jc w:val="both"/>
        <w:rPr>
          <w:rFonts w:ascii="Arial" w:hAnsi="Arial" w:cs="Arial"/>
          <w:b/>
          <w:bCs/>
          <w:sz w:val="22"/>
          <w:szCs w:val="22"/>
        </w:rPr>
      </w:pPr>
      <w:r w:rsidRPr="0030358C">
        <w:rPr>
          <w:rFonts w:ascii="Arial" w:hAnsi="Arial" w:cs="Arial"/>
          <w:b/>
          <w:bCs/>
          <w:sz w:val="22"/>
          <w:szCs w:val="22"/>
        </w:rPr>
        <w:t>V případech nuceného odtahu je rovněž nepřetržitě sledován a zaznamenáván příkon ventilátoru či obdobného zařízení zajišťující odsávání technologie a odvod emisí definovaným výduchem nebo komínem s výjimkou případů s kontinuálním sledováním a zaznamenáváním průtoku vzdušiny nebo spalin v měřicím profilu a případů, kdy je nepřetržitě zaznamenávána tlaková ztráta, napětí a protékající proud na elektrodách elektrostatického odlučovače, výška hladiny hladinového odlučovače nebo teplota odpadního plynu u SCR a SNCR.</w:t>
      </w:r>
    </w:p>
    <w:p w14:paraId="1C1C4104" w14:textId="77777777" w:rsidR="00DC2BE3" w:rsidRPr="0030358C" w:rsidRDefault="00DC2BE3" w:rsidP="004911C2">
      <w:pPr>
        <w:jc w:val="center"/>
        <w:rPr>
          <w:rFonts w:ascii="Arial" w:hAnsi="Arial" w:cs="Arial"/>
          <w:b/>
          <w:bCs/>
          <w:sz w:val="22"/>
          <w:szCs w:val="22"/>
        </w:rPr>
      </w:pPr>
    </w:p>
    <w:bookmarkEnd w:id="76"/>
    <w:p w14:paraId="02F7061B" w14:textId="77777777" w:rsidR="00261421" w:rsidRPr="0030358C" w:rsidRDefault="00261421" w:rsidP="00E21343">
      <w:pPr>
        <w:jc w:val="right"/>
        <w:rPr>
          <w:rFonts w:ascii="Arial" w:hAnsi="Arial" w:cs="Arial"/>
          <w:b/>
          <w:bCs/>
          <w:sz w:val="22"/>
          <w:szCs w:val="22"/>
        </w:rPr>
      </w:pPr>
    </w:p>
    <w:p w14:paraId="59B1F081" w14:textId="77777777" w:rsidR="00E21343" w:rsidRPr="0030358C" w:rsidRDefault="00000000" w:rsidP="00E21343">
      <w:pPr>
        <w:jc w:val="right"/>
        <w:rPr>
          <w:rFonts w:ascii="Arial" w:hAnsi="Arial" w:cs="Arial"/>
          <w:b/>
          <w:bCs/>
          <w:sz w:val="22"/>
          <w:szCs w:val="22"/>
        </w:rPr>
      </w:pPr>
      <w:r w:rsidRPr="0030358C">
        <w:rPr>
          <w:rFonts w:ascii="Arial" w:hAnsi="Arial" w:cs="Arial"/>
          <w:b/>
          <w:bCs/>
          <w:sz w:val="22"/>
          <w:szCs w:val="22"/>
        </w:rPr>
        <w:t>Příloha č. 20 k vyhlášce č. 415/2012 Sb.</w:t>
      </w:r>
    </w:p>
    <w:p w14:paraId="1A6475A3" w14:textId="77777777" w:rsidR="00A22E30" w:rsidRPr="0030358C" w:rsidRDefault="00000000" w:rsidP="00193F4F">
      <w:pPr>
        <w:rPr>
          <w:rFonts w:ascii="Arial" w:hAnsi="Arial" w:cs="Arial"/>
          <w:b/>
          <w:bCs/>
          <w:sz w:val="22"/>
          <w:szCs w:val="22"/>
        </w:rPr>
      </w:pPr>
      <w:r w:rsidRPr="0030358C">
        <w:rPr>
          <w:rFonts w:ascii="Arial" w:hAnsi="Arial" w:cs="Arial"/>
          <w:b/>
          <w:bCs/>
          <w:sz w:val="22"/>
          <w:szCs w:val="22"/>
        </w:rPr>
        <w:t xml:space="preserve"> </w:t>
      </w:r>
    </w:p>
    <w:p w14:paraId="1B01A07F" w14:textId="77777777" w:rsidR="00E21343" w:rsidRPr="0030358C" w:rsidRDefault="00000000" w:rsidP="00A22E30">
      <w:pPr>
        <w:jc w:val="center"/>
        <w:rPr>
          <w:rFonts w:ascii="Arial" w:hAnsi="Arial" w:cs="Arial"/>
          <w:b/>
          <w:bCs/>
          <w:sz w:val="22"/>
          <w:szCs w:val="22"/>
        </w:rPr>
      </w:pPr>
      <w:r w:rsidRPr="0030358C">
        <w:rPr>
          <w:rFonts w:ascii="Arial" w:hAnsi="Arial" w:cs="Arial"/>
          <w:b/>
          <w:bCs/>
          <w:sz w:val="22"/>
          <w:szCs w:val="22"/>
        </w:rPr>
        <w:t>Minimální vzdálenosti a způsob jejich použití</w:t>
      </w:r>
    </w:p>
    <w:p w14:paraId="2876D70B" w14:textId="77777777" w:rsidR="00A22E30" w:rsidRPr="0030358C" w:rsidRDefault="00A22E30" w:rsidP="00A22E30">
      <w:pPr>
        <w:pStyle w:val="121"/>
        <w:ind w:left="0"/>
        <w:rPr>
          <w:rFonts w:ascii="Arial" w:hAnsi="Arial" w:cs="Arial"/>
          <w:b/>
          <w:bCs/>
          <w:sz w:val="22"/>
          <w:szCs w:val="22"/>
        </w:rPr>
      </w:pPr>
    </w:p>
    <w:p w14:paraId="72248F98" w14:textId="77777777" w:rsidR="00A22E30" w:rsidRPr="0030358C" w:rsidRDefault="00000000" w:rsidP="002A6248">
      <w:pPr>
        <w:pStyle w:val="121"/>
        <w:ind w:left="0"/>
        <w:rPr>
          <w:rFonts w:ascii="Arial" w:hAnsi="Arial" w:cs="Arial"/>
          <w:b/>
          <w:bCs/>
          <w:sz w:val="22"/>
          <w:szCs w:val="22"/>
        </w:rPr>
      </w:pPr>
      <w:r w:rsidRPr="0030358C">
        <w:rPr>
          <w:rFonts w:ascii="Arial" w:hAnsi="Arial" w:cs="Arial"/>
          <w:b/>
          <w:bCs/>
          <w:sz w:val="22"/>
          <w:szCs w:val="22"/>
        </w:rPr>
        <w:t xml:space="preserve">Část I. </w:t>
      </w:r>
      <w:r w:rsidR="001914DB" w:rsidRPr="0030358C">
        <w:rPr>
          <w:rFonts w:ascii="Arial" w:hAnsi="Arial" w:cs="Arial"/>
          <w:b/>
          <w:bCs/>
          <w:sz w:val="22"/>
          <w:szCs w:val="22"/>
        </w:rPr>
        <w:t>Vymezení kódů a názvů stacionárních zdrojů podle přílohy č. 2a zákona o ochraně ovzduší a stanovení minimálních vzdáleností.</w:t>
      </w:r>
    </w:p>
    <w:p w14:paraId="7FA5A8CF" w14:textId="77777777" w:rsidR="002A6248" w:rsidRPr="0030358C" w:rsidRDefault="002A6248" w:rsidP="002A6248">
      <w:pPr>
        <w:pStyle w:val="121"/>
        <w:ind w:left="0"/>
        <w:rPr>
          <w:rFonts w:ascii="Arial" w:hAnsi="Arial" w:cs="Arial"/>
          <w:b/>
          <w:bCs/>
          <w:sz w:val="22"/>
          <w:szCs w:val="22"/>
        </w:rPr>
      </w:pPr>
    </w:p>
    <w:tbl>
      <w:tblPr>
        <w:tblStyle w:val="Mkatabulky"/>
        <w:tblW w:w="5000" w:type="pct"/>
        <w:tblBorders>
          <w:top w:val="nil"/>
          <w:left w:val="nil"/>
          <w:bottom w:val="nil"/>
          <w:right w:val="nil"/>
          <w:insideH w:val="nil"/>
          <w:insideV w:val="nil"/>
        </w:tblBorders>
        <w:tblLook w:val="04A0" w:firstRow="1" w:lastRow="0" w:firstColumn="1" w:lastColumn="0" w:noHBand="0" w:noVBand="1"/>
      </w:tblPr>
      <w:tblGrid>
        <w:gridCol w:w="1659"/>
        <w:gridCol w:w="5813"/>
        <w:gridCol w:w="1570"/>
      </w:tblGrid>
      <w:tr w:rsidR="00E40657" w14:paraId="00C3AB0D" w14:textId="77777777" w:rsidTr="00DC2BE3">
        <w:tc>
          <w:tcPr>
            <w:tcW w:w="781" w:type="pc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114A114D"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Kód stacionárního zdroje podle přílohy č. 2a k zákonu</w:t>
            </w:r>
          </w:p>
        </w:tc>
        <w:tc>
          <w:tcPr>
            <w:tcW w:w="3283" w:type="pct"/>
            <w:tcBorders>
              <w:top w:val="single" w:sz="12" w:space="0" w:color="000000"/>
              <w:left w:val="nil"/>
              <w:bottom w:val="single" w:sz="12" w:space="0" w:color="000000"/>
              <w:right w:val="single" w:sz="12" w:space="0" w:color="000000"/>
            </w:tcBorders>
            <w:tcMar>
              <w:top w:w="0" w:type="dxa"/>
              <w:left w:w="108" w:type="dxa"/>
              <w:bottom w:w="0" w:type="dxa"/>
              <w:right w:w="108" w:type="dxa"/>
            </w:tcMar>
          </w:tcPr>
          <w:p w14:paraId="61867370"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Název stacionárního zdroje podle přílohy č. 2a k zákonu</w:t>
            </w:r>
          </w:p>
        </w:tc>
        <w:tc>
          <w:tcPr>
            <w:tcW w:w="936" w:type="pct"/>
            <w:tcBorders>
              <w:top w:val="single" w:sz="12" w:space="0" w:color="000000"/>
              <w:left w:val="nil"/>
              <w:bottom w:val="single" w:sz="12" w:space="0" w:color="000000"/>
              <w:right w:val="single" w:sz="12" w:space="0" w:color="000000"/>
            </w:tcBorders>
            <w:tcMar>
              <w:top w:w="0" w:type="dxa"/>
              <w:left w:w="108" w:type="dxa"/>
              <w:bottom w:w="0" w:type="dxa"/>
              <w:right w:w="108" w:type="dxa"/>
            </w:tcMar>
          </w:tcPr>
          <w:p w14:paraId="7E077FED"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Hodnota minimální vzdálenosti v</w:t>
            </w:r>
            <w:r w:rsidR="00943195" w:rsidRPr="0030358C">
              <w:rPr>
                <w:rFonts w:ascii="Arial" w:hAnsi="Arial" w:cs="Arial"/>
                <w:b/>
                <w:bCs/>
                <w:sz w:val="22"/>
                <w:szCs w:val="22"/>
              </w:rPr>
              <w:t> </w:t>
            </w:r>
            <w:r w:rsidRPr="0030358C">
              <w:rPr>
                <w:rFonts w:ascii="Arial" w:hAnsi="Arial" w:cs="Arial"/>
                <w:b/>
                <w:bCs/>
                <w:sz w:val="22"/>
                <w:szCs w:val="22"/>
              </w:rPr>
              <w:t>m</w:t>
            </w:r>
          </w:p>
        </w:tc>
      </w:tr>
      <w:tr w:rsidR="00E40657" w14:paraId="10F0EC4D"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D85C040"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2.2.</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3F2D4FBC"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 xml:space="preserve">Skládky, které přijímají 10 t odpadu denně a více nebo mají celkovou projektovanou kapacitu 25 000 t </w:t>
            </w:r>
            <w:r w:rsidRPr="0030358C">
              <w:rPr>
                <w:rFonts w:ascii="Arial" w:hAnsi="Arial" w:cs="Arial"/>
                <w:b/>
                <w:bCs/>
                <w:sz w:val="22"/>
                <w:szCs w:val="22"/>
              </w:rPr>
              <w:lastRenderedPageBreak/>
              <w:t>a více; nezahrnuje skládky železného a ocelového šrotu</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858C7AC"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lastRenderedPageBreak/>
              <w:t>500</w:t>
            </w:r>
          </w:p>
        </w:tc>
      </w:tr>
      <w:tr w:rsidR="00E40657" w14:paraId="15BDC242"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5A5FF26"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2.3.</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4C39F89F"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Kompostárny, včetně komunitních kompostáren, nebo zařízení na biologickou úpravu odpadů o celkové projektované kapacitě 10 t a více na jednu zakládku nebo 150 t a více zpracovaného odpadu ročně</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703BEDB"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75AF76FE"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BD22AA1"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2.6.</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38BA355C"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Čistírny odpadních vod, deemulgační a neutralizační stanice, které jsou primárně určeny k čištění vod nebo zpracování odpadů v celkovém množství 50 m</w:t>
            </w:r>
            <w:r w:rsidRPr="0030358C">
              <w:rPr>
                <w:rFonts w:ascii="Arial" w:hAnsi="Arial" w:cs="Arial"/>
                <w:b/>
                <w:bCs/>
                <w:sz w:val="22"/>
                <w:szCs w:val="22"/>
                <w:vertAlign w:val="superscript"/>
              </w:rPr>
              <w:t>3</w:t>
            </w:r>
            <w:r w:rsidRPr="0030358C">
              <w:rPr>
                <w:rFonts w:ascii="Arial" w:hAnsi="Arial" w:cs="Arial"/>
                <w:b/>
                <w:bCs/>
                <w:sz w:val="22"/>
                <w:szCs w:val="22"/>
              </w:rPr>
              <w:t xml:space="preserve"> odpadních vod nebo odpadů za den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A9DE037"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0667C7FB"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774E662"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2.7.</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0AB71E0A"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Čistírny odpadních vod s celkovou projektovanou kapacitou pro 10 000 a více ekvivalentních obyvatel</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E081058"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03972FE1"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66F8AA6"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2.8.</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1026F16D"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Sušení čistírenských kalů, sušení znečištěného skla nebo opalování znečištěných kovů nebo znečištěného skla</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108A463"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100</w:t>
            </w:r>
          </w:p>
        </w:tc>
      </w:tr>
      <w:tr w:rsidR="00E40657" w14:paraId="38BAC3BA"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A1469E8"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3.6.</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5C2FD8B3"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Rafinace minerálních nebo pyrolýzních olejů, rafinace plynů, zplyňování nebo pyrolýza uhlí, biomasy, odpadů nebo jiných organických látek (nespadají-li tyto procesy pod kód 2.1.)</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29928B0"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500</w:t>
            </w:r>
          </w:p>
        </w:tc>
      </w:tr>
      <w:tr w:rsidR="00E40657" w14:paraId="057C52B5"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F37D9A"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4.6.1</w:t>
            </w:r>
            <w:r w:rsidR="005436A9" w:rsidRPr="0030358C">
              <w:rPr>
                <w:rFonts w:ascii="Arial" w:hAnsi="Arial" w:cs="Arial"/>
                <w:b/>
                <w:bCs/>
                <w:sz w:val="22"/>
                <w:szCs w:val="22"/>
              </w:rPr>
              <w:t>.</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6B265E46"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Slévárny železných kovů; pouze jádrovny a formovny</w:t>
            </w:r>
          </w:p>
        </w:tc>
        <w:tc>
          <w:tcPr>
            <w:tcW w:w="936" w:type="pct"/>
            <w:tcBorders>
              <w:top w:val="nil"/>
              <w:left w:val="nil"/>
              <w:bottom w:val="single" w:sz="8" w:space="0" w:color="000000"/>
              <w:right w:val="single" w:sz="8" w:space="0" w:color="000000"/>
            </w:tcBorders>
            <w:tcMar>
              <w:top w:w="0" w:type="dxa"/>
              <w:left w:w="108" w:type="dxa"/>
              <w:bottom w:w="0" w:type="dxa"/>
              <w:right w:w="108" w:type="dxa"/>
            </w:tcMar>
          </w:tcPr>
          <w:p w14:paraId="39FBA1D6"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6EA3FB98"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D7D9391"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5.11.</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2592E2CA"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Kamenolomy, povrchové doly paliv nebo jiných nerostných surovin, zpracování kamene, paliv nebo jiných nerostných surovin (především těžba, vrtání, odstřel, bagrování, třídění, drcení a doprava), výroba nebo zpracování umělého kamene, ušlechtilá kamenická výroba, výroba stavebních hmot nebo betonu nebo recyklační linky stavebních hmot, o celkové projektované kapacitě 25 m</w:t>
            </w:r>
            <w:r w:rsidRPr="0030358C">
              <w:rPr>
                <w:rFonts w:ascii="Arial" w:hAnsi="Arial" w:cs="Arial"/>
                <w:b/>
                <w:bCs/>
                <w:sz w:val="22"/>
                <w:szCs w:val="22"/>
                <w:vertAlign w:val="superscript"/>
              </w:rPr>
              <w:t>3</w:t>
            </w:r>
            <w:r w:rsidRPr="0030358C">
              <w:rPr>
                <w:rFonts w:ascii="Arial" w:hAnsi="Arial" w:cs="Arial"/>
                <w:b/>
                <w:bCs/>
                <w:sz w:val="22"/>
                <w:szCs w:val="22"/>
              </w:rPr>
              <w:t xml:space="preserve"> za den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F13334E"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52E9F918"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3F7E244"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5.14.</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7B021D7"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Obalovny živičných směsí, mísírny živic, recyklace živičných povrchů anebo zpracování nebo nakládání s živicemi s výjimkou konečného nanášení na vozovku</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B0F3ED3"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300</w:t>
            </w:r>
          </w:p>
        </w:tc>
      </w:tr>
      <w:tr w:rsidR="00E40657" w14:paraId="784812DE"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50602C1"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6.5.</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2A49BAE"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 xml:space="preserve">Výroba nebo zpracování syntetických polymerů nebo kompozitů, s výjimkou výroby syntetických polymerů a kompozitů uvedených pod jiným kódem, o celkové projektované kapacitě 100 t za rok a více nebo s celkovou projektovanou spotřebou organických rozpouštědel 0,6 t za rok a více; pouze zdroje, v nichž vznikají emise styrenu </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FF51589"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1218B943"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8C75D"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6. 8.</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6BD4DFDF"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Zpracování dehtu</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09D6AD8"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560E6B07"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987FC2E"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7.1.</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0E25D6E"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Jatka o celkové projektované kapacitě porážky 50 t denně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727344F"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150</w:t>
            </w:r>
          </w:p>
        </w:tc>
      </w:tr>
      <w:tr w:rsidR="00E40657" w14:paraId="2E2D1DEF"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22CCB75"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7.2.</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B85E7CD"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Zařízení na úpravu nebo zpracování za účelem výroby potravin, krmiv nebo osiva z převážně rostlinných surovin o celkové projektované kapacitě 50 t hotových výrobků denně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B1A61F8"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5DF30890"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3E222EB"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7.3.</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5625F55"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Zařízení na úpravu nebo zpracování za účelem výroby potravin nebo krmiv z převážně živočišných surovin (s výjimkou mléka) o celkové projektované kapacitě 25 t hotových výrobků denně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9F02CCA"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300</w:t>
            </w:r>
          </w:p>
        </w:tc>
      </w:tr>
      <w:tr w:rsidR="00E40657" w14:paraId="0CEFFC5B"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F9C6B95"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7.6.</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ED802DA"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Udírny s celkovou projektovanou kapacitou na zpracování 1 t výrobků denně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FF24939"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100</w:t>
            </w:r>
          </w:p>
        </w:tc>
      </w:tr>
      <w:tr w:rsidR="00E40657" w14:paraId="54FAD7C2"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B0F138"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7.16.</w:t>
            </w:r>
          </w:p>
        </w:tc>
        <w:tc>
          <w:tcPr>
            <w:tcW w:w="3283" w:type="pct"/>
            <w:tcBorders>
              <w:top w:val="nil"/>
              <w:left w:val="nil"/>
              <w:bottom w:val="single" w:sz="8" w:space="0" w:color="000000"/>
              <w:right w:val="single" w:sz="8" w:space="0" w:color="000000"/>
            </w:tcBorders>
            <w:tcMar>
              <w:top w:w="0" w:type="dxa"/>
              <w:left w:w="108" w:type="dxa"/>
              <w:bottom w:w="0" w:type="dxa"/>
              <w:right w:w="108" w:type="dxa"/>
            </w:tcMar>
          </w:tcPr>
          <w:p w14:paraId="3822DA18"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Veterinární asanační zařízení</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C15A229"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500</w:t>
            </w:r>
          </w:p>
        </w:tc>
      </w:tr>
      <w:tr w:rsidR="00E40657" w14:paraId="2DA7F463"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63417A7"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lastRenderedPageBreak/>
              <w:t>7.18.</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77C23E9"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Výroba lihu, včetně biolihu, o celkové projektované kapacitě 10 000 hl bezvodého lihu za rok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07A44A3"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6750075C"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F574545"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8.</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2093098"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Chovy hospodářských zvířat s celkovou projektovanou roční emisí amoniaku 5 t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659A30D3"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300</w:t>
            </w:r>
          </w:p>
        </w:tc>
      </w:tr>
      <w:tr w:rsidR="00E40657" w14:paraId="68B66B97"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437462B"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9.8.</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78B88C1"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Aplikace nátěrových hmot, včetně kataforetického nanášení, nespadají-li pod činnosti uvedené pod kódy 9.9. až 9.14., s celkovou projektovanou spotřebou organických rozpouštědel 0,6 t za rok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1F0A499A"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100</w:t>
            </w:r>
          </w:p>
        </w:tc>
      </w:tr>
      <w:tr w:rsidR="00E40657" w14:paraId="1EC62060"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94A671B"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9.19.</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6625C2F"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Výroba kompozitů za použití kapalných nenasycených polyesterových pryskyřic s obsahem styrenu s celkovou projektovanou spotřebou těkavých organických látek 0,6 t za rok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6776E10"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200</w:t>
            </w:r>
          </w:p>
        </w:tc>
      </w:tr>
      <w:tr w:rsidR="00E40657" w14:paraId="55AD603E"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1D4BE12"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9.23.</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498C7F0C"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Zpracování kaučuku nebo výroba pryže s celkovou projektovanou spotřebou organických rozpouštědel 5 t za rok a více, nebo o zpracovatelské kapacitě 50 t za rok a více</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DF2C647"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100</w:t>
            </w:r>
          </w:p>
        </w:tc>
      </w:tr>
      <w:tr w:rsidR="00E40657" w14:paraId="5EFA5BBD" w14:textId="77777777" w:rsidTr="00DC2BE3">
        <w:tc>
          <w:tcPr>
            <w:tcW w:w="78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7520B2E"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9.24.</w:t>
            </w:r>
          </w:p>
        </w:tc>
        <w:tc>
          <w:tcPr>
            <w:tcW w:w="3283"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2183C9B1"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Extrakce nebo rafinace rostlinných olejů nebo živočišných tuků</w:t>
            </w:r>
          </w:p>
        </w:tc>
        <w:tc>
          <w:tcPr>
            <w:tcW w:w="93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57DD4704" w14:textId="77777777" w:rsidR="00A22E30" w:rsidRPr="0030358C" w:rsidRDefault="00000000" w:rsidP="00DC2BE3">
            <w:pPr>
              <w:pStyle w:val="121"/>
              <w:spacing w:after="0"/>
              <w:ind w:left="0"/>
              <w:jc w:val="left"/>
              <w:rPr>
                <w:rFonts w:ascii="Arial" w:hAnsi="Arial" w:cs="Arial"/>
                <w:b/>
                <w:bCs/>
                <w:sz w:val="22"/>
                <w:szCs w:val="22"/>
              </w:rPr>
            </w:pPr>
            <w:r w:rsidRPr="0030358C">
              <w:rPr>
                <w:rFonts w:ascii="Arial" w:hAnsi="Arial" w:cs="Arial"/>
                <w:b/>
                <w:bCs/>
                <w:sz w:val="22"/>
                <w:szCs w:val="22"/>
              </w:rPr>
              <w:t>250</w:t>
            </w:r>
          </w:p>
        </w:tc>
      </w:tr>
    </w:tbl>
    <w:p w14:paraId="459E4218" w14:textId="77777777" w:rsidR="00E21343" w:rsidRPr="0030358C" w:rsidRDefault="00E21343" w:rsidP="005436A9">
      <w:pPr>
        <w:pStyle w:val="25"/>
        <w:ind w:left="0" w:firstLine="0"/>
        <w:rPr>
          <w:rFonts w:ascii="Arial" w:hAnsi="Arial" w:cs="Arial"/>
          <w:b/>
          <w:bCs/>
          <w:sz w:val="22"/>
          <w:szCs w:val="22"/>
        </w:rPr>
      </w:pPr>
    </w:p>
    <w:p w14:paraId="635A63CA" w14:textId="77777777" w:rsidR="00F0459D" w:rsidRPr="0030358C" w:rsidRDefault="00000000" w:rsidP="00F0459D">
      <w:pPr>
        <w:pStyle w:val="121"/>
        <w:ind w:left="510"/>
        <w:rPr>
          <w:rFonts w:ascii="Arial" w:hAnsi="Arial" w:cs="Arial"/>
          <w:b/>
          <w:bCs/>
          <w:sz w:val="22"/>
          <w:szCs w:val="22"/>
        </w:rPr>
      </w:pPr>
      <w:r w:rsidRPr="0030358C">
        <w:rPr>
          <w:rFonts w:ascii="Arial" w:hAnsi="Arial" w:cs="Arial"/>
          <w:b/>
          <w:bCs/>
          <w:sz w:val="22"/>
          <w:szCs w:val="22"/>
        </w:rPr>
        <w:t>Část II. Plochy vymezené v územním plánu, u kterých se použijí minimální vzdálenosti uvedené v části I</w:t>
      </w:r>
    </w:p>
    <w:p w14:paraId="1DB32AC1" w14:textId="77777777" w:rsidR="00F0459D" w:rsidRPr="0030358C" w:rsidRDefault="00F0459D" w:rsidP="00F0459D">
      <w:pPr>
        <w:pStyle w:val="121"/>
        <w:ind w:left="510"/>
        <w:rPr>
          <w:rFonts w:ascii="Arial" w:hAnsi="Arial" w:cs="Arial"/>
          <w:b/>
          <w:bCs/>
          <w:sz w:val="22"/>
          <w:szCs w:val="22"/>
        </w:rPr>
      </w:pPr>
    </w:p>
    <w:p w14:paraId="7D7BF6F1" w14:textId="77777777" w:rsidR="00A22E30" w:rsidRPr="0030358C" w:rsidRDefault="00000000" w:rsidP="008B1857">
      <w:pPr>
        <w:pStyle w:val="121"/>
        <w:ind w:left="0"/>
        <w:rPr>
          <w:rFonts w:ascii="Arial" w:hAnsi="Arial" w:cs="Arial"/>
          <w:b/>
          <w:bCs/>
          <w:sz w:val="22"/>
          <w:szCs w:val="22"/>
        </w:rPr>
      </w:pPr>
      <w:r w:rsidRPr="0030358C">
        <w:rPr>
          <w:rFonts w:ascii="Arial" w:hAnsi="Arial" w:cs="Arial"/>
          <w:b/>
          <w:bCs/>
          <w:sz w:val="22"/>
          <w:szCs w:val="22"/>
        </w:rPr>
        <w:t xml:space="preserve">Minimální vzdálenosti se </w:t>
      </w:r>
      <w:r w:rsidR="00F0459D" w:rsidRPr="0030358C">
        <w:rPr>
          <w:rFonts w:ascii="Arial" w:hAnsi="Arial" w:cs="Arial"/>
          <w:b/>
          <w:bCs/>
          <w:sz w:val="22"/>
          <w:szCs w:val="22"/>
        </w:rPr>
        <w:t xml:space="preserve">použijí </w:t>
      </w:r>
      <w:r w:rsidRPr="0030358C">
        <w:rPr>
          <w:rFonts w:ascii="Arial" w:hAnsi="Arial" w:cs="Arial"/>
          <w:b/>
          <w:bCs/>
          <w:sz w:val="22"/>
          <w:szCs w:val="22"/>
        </w:rPr>
        <w:t>vůči následujícím plochám s rozdílným způsobem využití podle jednotného standardu územně plánovací dokumentace:</w:t>
      </w:r>
    </w:p>
    <w:p w14:paraId="17BD6AAC" w14:textId="77777777" w:rsidR="00A22E30" w:rsidRPr="0030358C" w:rsidRDefault="00000000" w:rsidP="008B1857">
      <w:pPr>
        <w:pStyle w:val="121"/>
        <w:ind w:left="0"/>
        <w:rPr>
          <w:rFonts w:ascii="Arial" w:hAnsi="Arial" w:cs="Arial"/>
          <w:b/>
          <w:bCs/>
          <w:sz w:val="22"/>
          <w:szCs w:val="22"/>
        </w:rPr>
      </w:pPr>
      <w:r w:rsidRPr="0030358C">
        <w:rPr>
          <w:rFonts w:ascii="Arial" w:hAnsi="Arial" w:cs="Arial"/>
          <w:b/>
          <w:bCs/>
          <w:sz w:val="22"/>
          <w:szCs w:val="22"/>
        </w:rPr>
        <w:t xml:space="preserve">1. Plochy bydlení </w:t>
      </w:r>
      <w:r w:rsidR="00F0459D" w:rsidRPr="0030358C">
        <w:rPr>
          <w:rFonts w:ascii="Arial" w:hAnsi="Arial" w:cs="Arial"/>
          <w:b/>
          <w:bCs/>
          <w:sz w:val="22"/>
          <w:szCs w:val="22"/>
        </w:rPr>
        <w:t xml:space="preserve">podle </w:t>
      </w:r>
      <w:r w:rsidRPr="0030358C">
        <w:rPr>
          <w:rFonts w:ascii="Arial" w:hAnsi="Arial" w:cs="Arial"/>
          <w:b/>
          <w:bCs/>
          <w:sz w:val="22"/>
          <w:szCs w:val="22"/>
        </w:rPr>
        <w:t>§ 15 vyhlášky č. 157/2024 Sb.</w:t>
      </w:r>
      <w:r w:rsidR="00F0459D" w:rsidRPr="0030358C">
        <w:rPr>
          <w:rFonts w:ascii="Arial" w:hAnsi="Arial" w:cs="Arial"/>
          <w:b/>
          <w:bCs/>
          <w:sz w:val="22"/>
          <w:szCs w:val="22"/>
        </w:rPr>
        <w:t>, o územně analytických podkladech, územně plánovací dokumentaci a jednotném standardu.</w:t>
      </w:r>
    </w:p>
    <w:p w14:paraId="58B20A58" w14:textId="77777777" w:rsidR="00A22E30" w:rsidRPr="0030358C" w:rsidRDefault="00000000" w:rsidP="008B1857">
      <w:pPr>
        <w:pStyle w:val="121"/>
        <w:ind w:left="0"/>
        <w:rPr>
          <w:rFonts w:ascii="Arial" w:hAnsi="Arial" w:cs="Arial"/>
          <w:b/>
          <w:bCs/>
          <w:sz w:val="22"/>
          <w:szCs w:val="22"/>
        </w:rPr>
      </w:pPr>
      <w:r w:rsidRPr="0030358C">
        <w:rPr>
          <w:rFonts w:ascii="Arial" w:hAnsi="Arial" w:cs="Arial"/>
          <w:b/>
          <w:bCs/>
          <w:sz w:val="22"/>
          <w:szCs w:val="22"/>
        </w:rPr>
        <w:t xml:space="preserve">2. Plochy občanského vybavení všeobecného, veřejného, lázeňského a hřbitovů </w:t>
      </w:r>
      <w:r w:rsidR="00F0459D" w:rsidRPr="0030358C">
        <w:rPr>
          <w:rFonts w:ascii="Arial" w:hAnsi="Arial" w:cs="Arial"/>
          <w:b/>
          <w:bCs/>
          <w:sz w:val="22"/>
          <w:szCs w:val="22"/>
        </w:rPr>
        <w:t xml:space="preserve">podle </w:t>
      </w:r>
      <w:r w:rsidRPr="0030358C">
        <w:rPr>
          <w:rFonts w:ascii="Arial" w:hAnsi="Arial" w:cs="Arial"/>
          <w:b/>
          <w:bCs/>
          <w:sz w:val="22"/>
          <w:szCs w:val="22"/>
        </w:rPr>
        <w:t>§ 17 odst. 4 písm. a), b), e) a f) vyhlášky č. 157/2024 Sb.</w:t>
      </w:r>
    </w:p>
    <w:p w14:paraId="4143C535" w14:textId="77777777" w:rsidR="00A22E30" w:rsidRPr="0030358C" w:rsidRDefault="00000000" w:rsidP="008B1857">
      <w:pPr>
        <w:pStyle w:val="121"/>
        <w:ind w:left="0"/>
        <w:rPr>
          <w:rFonts w:ascii="Arial" w:hAnsi="Arial" w:cs="Arial"/>
          <w:b/>
          <w:bCs/>
          <w:sz w:val="22"/>
          <w:szCs w:val="22"/>
        </w:rPr>
      </w:pPr>
      <w:r w:rsidRPr="0030358C">
        <w:rPr>
          <w:rFonts w:ascii="Arial" w:hAnsi="Arial" w:cs="Arial"/>
          <w:b/>
          <w:bCs/>
          <w:sz w:val="22"/>
          <w:szCs w:val="22"/>
        </w:rPr>
        <w:t xml:space="preserve">3. Plochy smíšené obytné </w:t>
      </w:r>
      <w:r w:rsidR="00F0459D" w:rsidRPr="0030358C">
        <w:rPr>
          <w:rFonts w:ascii="Arial" w:hAnsi="Arial" w:cs="Arial"/>
          <w:b/>
          <w:bCs/>
          <w:sz w:val="22"/>
          <w:szCs w:val="22"/>
        </w:rPr>
        <w:t xml:space="preserve">podle </w:t>
      </w:r>
      <w:r w:rsidRPr="0030358C">
        <w:rPr>
          <w:rFonts w:ascii="Arial" w:hAnsi="Arial" w:cs="Arial"/>
          <w:b/>
          <w:bCs/>
          <w:sz w:val="22"/>
          <w:szCs w:val="22"/>
        </w:rPr>
        <w:t>§ 20 vyhlášky č. 157/2024 Sb.</w:t>
      </w:r>
    </w:p>
    <w:p w14:paraId="5FF16A07" w14:textId="77777777" w:rsidR="00A77B3E" w:rsidRPr="0030358C" w:rsidRDefault="00A77B3E" w:rsidP="00A22E30">
      <w:pPr>
        <w:pStyle w:val="121"/>
        <w:ind w:left="0"/>
        <w:rPr>
          <w:rFonts w:ascii="Arial" w:hAnsi="Arial" w:cs="Arial"/>
          <w:b/>
          <w:bCs/>
          <w:sz w:val="22"/>
          <w:szCs w:val="22"/>
        </w:rPr>
      </w:pPr>
    </w:p>
    <w:p w14:paraId="4B7D7E56" w14:textId="77777777" w:rsidR="00CF583E" w:rsidRPr="0030358C" w:rsidRDefault="00000000">
      <w:pPr>
        <w:rPr>
          <w:rFonts w:ascii="Arial" w:hAnsi="Arial" w:cs="Arial"/>
          <w:b/>
          <w:bCs/>
          <w:sz w:val="22"/>
          <w:szCs w:val="22"/>
        </w:rPr>
      </w:pPr>
      <w:r w:rsidRPr="0030358C">
        <w:rPr>
          <w:rFonts w:ascii="Arial" w:hAnsi="Arial" w:cs="Arial"/>
          <w:b/>
          <w:bCs/>
          <w:sz w:val="22"/>
          <w:szCs w:val="22"/>
        </w:rPr>
        <w:br w:type="page"/>
      </w:r>
    </w:p>
    <w:p w14:paraId="28648362" w14:textId="77777777" w:rsidR="00CF583E" w:rsidRPr="0030358C" w:rsidRDefault="00000000" w:rsidP="00CF583E">
      <w:pPr>
        <w:pStyle w:val="121"/>
        <w:ind w:left="0"/>
        <w:jc w:val="right"/>
        <w:rPr>
          <w:rFonts w:ascii="Arial" w:hAnsi="Arial" w:cs="Arial"/>
          <w:b/>
          <w:bCs/>
          <w:sz w:val="22"/>
          <w:szCs w:val="22"/>
        </w:rPr>
      </w:pPr>
      <w:r w:rsidRPr="0030358C">
        <w:rPr>
          <w:rFonts w:ascii="Arial" w:hAnsi="Arial" w:cs="Arial"/>
          <w:b/>
          <w:bCs/>
          <w:sz w:val="22"/>
          <w:szCs w:val="22"/>
        </w:rPr>
        <w:lastRenderedPageBreak/>
        <w:t>Příloha č. 21 k vyhlášce č. 415/2012 Sb.</w:t>
      </w:r>
    </w:p>
    <w:p w14:paraId="33110DC9" w14:textId="77777777" w:rsidR="00CF583E" w:rsidRPr="0030358C" w:rsidRDefault="00CF583E" w:rsidP="00A22E30">
      <w:pPr>
        <w:pStyle w:val="121"/>
        <w:ind w:left="0"/>
        <w:rPr>
          <w:rFonts w:ascii="Arial" w:hAnsi="Arial" w:cs="Arial"/>
          <w:b/>
          <w:bCs/>
          <w:sz w:val="22"/>
          <w:szCs w:val="22"/>
        </w:rPr>
      </w:pPr>
    </w:p>
    <w:p w14:paraId="304AA0ED" w14:textId="77777777" w:rsidR="00CF583E" w:rsidRPr="0030358C" w:rsidRDefault="00000000" w:rsidP="00CF583E">
      <w:pPr>
        <w:pBdr>
          <w:top w:val="nil"/>
          <w:left w:val="nil"/>
          <w:bottom w:val="nil"/>
          <w:right w:val="nil"/>
        </w:pBdr>
        <w:jc w:val="center"/>
        <w:rPr>
          <w:rFonts w:ascii="Arial" w:hAnsi="Arial" w:cs="Arial"/>
          <w:b/>
          <w:bCs/>
          <w:sz w:val="22"/>
          <w:szCs w:val="22"/>
        </w:rPr>
      </w:pPr>
      <w:r w:rsidRPr="0030358C">
        <w:rPr>
          <w:rFonts w:ascii="Arial" w:eastAsia="Arial" w:hAnsi="Arial" w:cs="Arial"/>
          <w:b/>
          <w:bCs/>
          <w:color w:val="000000"/>
          <w:sz w:val="22"/>
          <w:szCs w:val="22"/>
        </w:rPr>
        <w:t>Náležitosti hlášení o plnění opatření programu zlepšování kvality ovzduší a náležitosti časového plánu provádění opatření programu zlepšování kvality ovzduší</w:t>
      </w:r>
    </w:p>
    <w:p w14:paraId="3A0C73D2" w14:textId="77777777" w:rsidR="00CF583E" w:rsidRPr="0030358C" w:rsidRDefault="00000000" w:rsidP="00CF583E">
      <w:pPr>
        <w:pBdr>
          <w:top w:val="nil"/>
          <w:left w:val="nil"/>
          <w:bottom w:val="nil"/>
          <w:right w:val="nil"/>
        </w:pBdr>
        <w:jc w:val="both"/>
        <w:rPr>
          <w:rFonts w:ascii="Arial" w:hAnsi="Arial" w:cs="Arial"/>
          <w:b/>
          <w:bCs/>
          <w:sz w:val="22"/>
          <w:szCs w:val="22"/>
        </w:rPr>
      </w:pPr>
      <w:r w:rsidRPr="0030358C">
        <w:rPr>
          <w:rFonts w:ascii="Arial" w:eastAsia="Arial" w:hAnsi="Arial" w:cs="Arial"/>
          <w:b/>
          <w:bCs/>
          <w:color w:val="000000"/>
          <w:sz w:val="22"/>
          <w:szCs w:val="22"/>
        </w:rPr>
        <w:t> </w:t>
      </w:r>
    </w:p>
    <w:p w14:paraId="0AC42352" w14:textId="77777777" w:rsidR="00A3243D" w:rsidRPr="0030358C" w:rsidRDefault="00000000" w:rsidP="007E1156">
      <w:pPr>
        <w:pStyle w:val="Odstavecseseznamem"/>
        <w:numPr>
          <w:ilvl w:val="0"/>
          <w:numId w:val="204"/>
        </w:numPr>
        <w:pBdr>
          <w:top w:val="nil"/>
          <w:left w:val="nil"/>
          <w:bottom w:val="nil"/>
          <w:right w:val="nil"/>
        </w:pBdr>
        <w:jc w:val="both"/>
        <w:rPr>
          <w:rFonts w:ascii="Arial" w:eastAsia="Arial" w:hAnsi="Arial" w:cs="Arial"/>
          <w:b/>
          <w:bCs/>
          <w:color w:val="000000"/>
        </w:rPr>
      </w:pPr>
      <w:r w:rsidRPr="0030358C">
        <w:rPr>
          <w:rFonts w:ascii="Arial" w:eastAsia="Arial" w:hAnsi="Arial" w:cs="Arial"/>
          <w:b/>
          <w:bCs/>
          <w:color w:val="000000"/>
        </w:rPr>
        <w:t>Náležitosti časového plánu provádění opatření programu zlepšování kvality ovzduší podle § 9 odst. 5 zákona</w:t>
      </w:r>
    </w:p>
    <w:tbl>
      <w:tblPr>
        <w:tblStyle w:val="Mkatabulky"/>
        <w:tblW w:w="5281" w:type="pct"/>
        <w:tblBorders>
          <w:top w:val="nil"/>
          <w:left w:val="nil"/>
          <w:bottom w:val="nil"/>
          <w:right w:val="nil"/>
          <w:insideH w:val="nil"/>
          <w:insideV w:val="nil"/>
        </w:tblBorders>
        <w:tblLook w:val="04A0" w:firstRow="1" w:lastRow="0" w:firstColumn="1" w:lastColumn="0" w:noHBand="0" w:noVBand="1"/>
      </w:tblPr>
      <w:tblGrid>
        <w:gridCol w:w="1099"/>
        <w:gridCol w:w="1123"/>
        <w:gridCol w:w="877"/>
        <w:gridCol w:w="1011"/>
        <w:gridCol w:w="1046"/>
        <w:gridCol w:w="1092"/>
        <w:gridCol w:w="1439"/>
        <w:gridCol w:w="1874"/>
      </w:tblGrid>
      <w:tr w:rsidR="00E40657" w14:paraId="3D0B7529" w14:textId="77777777" w:rsidTr="00130B72">
        <w:trPr>
          <w:trHeight w:val="598"/>
        </w:trPr>
        <w:tc>
          <w:tcPr>
            <w:tcW w:w="110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8BC713"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(1) </w:t>
            </w:r>
          </w:p>
          <w:p w14:paraId="0A60E5EB"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Kód opatření </w:t>
            </w:r>
          </w:p>
        </w:tc>
        <w:tc>
          <w:tcPr>
            <w:tcW w:w="113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2611CD2"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(2)</w:t>
            </w:r>
          </w:p>
          <w:p w14:paraId="229B83D3"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Název opatření</w:t>
            </w:r>
          </w:p>
        </w:tc>
        <w:tc>
          <w:tcPr>
            <w:tcW w:w="87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31CFFD5"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(3) Gesce</w:t>
            </w:r>
          </w:p>
        </w:tc>
        <w:tc>
          <w:tcPr>
            <w:tcW w:w="326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A8F6179"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Způsob provádění opatření</w:t>
            </w:r>
          </w:p>
        </w:tc>
        <w:tc>
          <w:tcPr>
            <w:tcW w:w="143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99B49A7"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(7) </w:t>
            </w:r>
          </w:p>
          <w:p w14:paraId="55657EAF"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Zdroje financování</w:t>
            </w:r>
          </w:p>
        </w:tc>
        <w:tc>
          <w:tcPr>
            <w:tcW w:w="209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1B9D285"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(8)</w:t>
            </w:r>
          </w:p>
          <w:p w14:paraId="40CE1514"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Termín splnění</w:t>
            </w:r>
          </w:p>
        </w:tc>
      </w:tr>
      <w:tr w:rsidR="00E40657" w14:paraId="1645BD68" w14:textId="77777777" w:rsidTr="00130B72">
        <w:trPr>
          <w:trHeight w:val="597"/>
        </w:trPr>
        <w:tc>
          <w:tcPr>
            <w:tcW w:w="1102" w:type="dxa"/>
            <w:vMerge/>
            <w:tcBorders>
              <w:top w:val="single" w:sz="8" w:space="0" w:color="000000"/>
              <w:left w:val="single" w:sz="8" w:space="0" w:color="000000"/>
              <w:bottom w:val="single" w:sz="8" w:space="0" w:color="000000"/>
              <w:right w:val="single" w:sz="8" w:space="0" w:color="000000"/>
            </w:tcBorders>
          </w:tcPr>
          <w:p w14:paraId="7B9A7803" w14:textId="77777777" w:rsidR="00A3243D" w:rsidRPr="0030358C" w:rsidRDefault="00A3243D" w:rsidP="0045777C">
            <w:pPr>
              <w:rPr>
                <w:rFonts w:ascii="Arial" w:hAnsi="Arial" w:cs="Arial"/>
                <w:b/>
                <w:bCs/>
                <w:sz w:val="22"/>
                <w:szCs w:val="22"/>
              </w:rPr>
            </w:pPr>
          </w:p>
        </w:tc>
        <w:tc>
          <w:tcPr>
            <w:tcW w:w="1133" w:type="dxa"/>
            <w:vMerge/>
            <w:tcBorders>
              <w:top w:val="single" w:sz="8" w:space="0" w:color="000000"/>
              <w:left w:val="nil"/>
              <w:bottom w:val="single" w:sz="8" w:space="0" w:color="000000"/>
              <w:right w:val="single" w:sz="8" w:space="0" w:color="000000"/>
            </w:tcBorders>
          </w:tcPr>
          <w:p w14:paraId="6FFB0E49" w14:textId="77777777" w:rsidR="00A3243D" w:rsidRPr="0030358C" w:rsidRDefault="00A3243D" w:rsidP="0045777C">
            <w:pPr>
              <w:rPr>
                <w:rFonts w:ascii="Arial" w:hAnsi="Arial" w:cs="Arial"/>
                <w:b/>
                <w:bCs/>
                <w:sz w:val="22"/>
                <w:szCs w:val="22"/>
              </w:rPr>
            </w:pPr>
          </w:p>
        </w:tc>
        <w:tc>
          <w:tcPr>
            <w:tcW w:w="877" w:type="dxa"/>
            <w:vMerge/>
            <w:tcBorders>
              <w:top w:val="single" w:sz="8" w:space="0" w:color="000000"/>
              <w:left w:val="nil"/>
              <w:bottom w:val="single" w:sz="8" w:space="0" w:color="000000"/>
              <w:right w:val="single" w:sz="8" w:space="0" w:color="000000"/>
            </w:tcBorders>
          </w:tcPr>
          <w:p w14:paraId="0D6008D3" w14:textId="77777777" w:rsidR="00A3243D" w:rsidRPr="0030358C" w:rsidRDefault="00A3243D" w:rsidP="0045777C">
            <w:pPr>
              <w:rPr>
                <w:rFonts w:ascii="Arial" w:hAnsi="Arial" w:cs="Arial"/>
                <w:b/>
                <w:bCs/>
                <w:sz w:val="22"/>
                <w:szCs w:val="22"/>
              </w:rPr>
            </w:pP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83F3555"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(4) Aktivita</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BEDDDEF"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(5) </w:t>
            </w:r>
          </w:p>
          <w:p w14:paraId="1F6814C9"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Dílčí kroky</w:t>
            </w:r>
          </w:p>
        </w:tc>
        <w:tc>
          <w:tcPr>
            <w:tcW w:w="114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6F21957"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(6) </w:t>
            </w:r>
          </w:p>
          <w:p w14:paraId="40C312E5"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Interní gesce</w:t>
            </w:r>
          </w:p>
        </w:tc>
        <w:tc>
          <w:tcPr>
            <w:tcW w:w="1439" w:type="dxa"/>
            <w:vMerge/>
            <w:tcBorders>
              <w:top w:val="single" w:sz="8" w:space="0" w:color="000000"/>
              <w:left w:val="nil"/>
              <w:bottom w:val="single" w:sz="8" w:space="0" w:color="000000"/>
              <w:right w:val="single" w:sz="8" w:space="0" w:color="000000"/>
            </w:tcBorders>
          </w:tcPr>
          <w:p w14:paraId="16B8B170" w14:textId="77777777" w:rsidR="00A3243D" w:rsidRPr="0030358C" w:rsidRDefault="00A3243D" w:rsidP="0045777C">
            <w:pPr>
              <w:rPr>
                <w:rFonts w:ascii="Arial" w:hAnsi="Arial" w:cs="Arial"/>
                <w:b/>
                <w:bCs/>
                <w:sz w:val="22"/>
                <w:szCs w:val="22"/>
              </w:rPr>
            </w:pPr>
          </w:p>
        </w:tc>
        <w:tc>
          <w:tcPr>
            <w:tcW w:w="2099" w:type="dxa"/>
            <w:vMerge/>
            <w:tcBorders>
              <w:top w:val="single" w:sz="8" w:space="0" w:color="000000"/>
              <w:left w:val="nil"/>
              <w:bottom w:val="single" w:sz="8" w:space="0" w:color="000000"/>
              <w:right w:val="single" w:sz="8" w:space="0" w:color="000000"/>
            </w:tcBorders>
          </w:tcPr>
          <w:p w14:paraId="467BCBC9" w14:textId="77777777" w:rsidR="00A3243D" w:rsidRPr="0030358C" w:rsidRDefault="00A3243D" w:rsidP="0045777C">
            <w:pPr>
              <w:rPr>
                <w:rFonts w:ascii="Arial" w:hAnsi="Arial" w:cs="Arial"/>
                <w:b/>
                <w:bCs/>
                <w:sz w:val="22"/>
                <w:szCs w:val="22"/>
              </w:rPr>
            </w:pPr>
          </w:p>
        </w:tc>
      </w:tr>
      <w:tr w:rsidR="00E40657" w14:paraId="0697402C" w14:textId="77777777" w:rsidTr="00130B72">
        <w:trPr>
          <w:trHeight w:val="597"/>
        </w:trPr>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7FFB07"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33" w:type="dxa"/>
            <w:tcBorders>
              <w:top w:val="nil"/>
              <w:left w:val="nil"/>
              <w:bottom w:val="single" w:sz="8" w:space="0" w:color="000000"/>
              <w:right w:val="single" w:sz="8" w:space="0" w:color="000000"/>
            </w:tcBorders>
            <w:tcMar>
              <w:top w:w="0" w:type="dxa"/>
              <w:left w:w="108" w:type="dxa"/>
              <w:bottom w:w="0" w:type="dxa"/>
              <w:right w:w="108" w:type="dxa"/>
            </w:tcMar>
          </w:tcPr>
          <w:p w14:paraId="24CDF085"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877" w:type="dxa"/>
            <w:tcBorders>
              <w:top w:val="nil"/>
              <w:left w:val="nil"/>
              <w:bottom w:val="single" w:sz="8" w:space="0" w:color="000000"/>
              <w:right w:val="single" w:sz="8" w:space="0" w:color="000000"/>
            </w:tcBorders>
            <w:tcMar>
              <w:top w:w="0" w:type="dxa"/>
              <w:left w:w="108" w:type="dxa"/>
              <w:bottom w:w="0" w:type="dxa"/>
              <w:right w:w="108" w:type="dxa"/>
            </w:tcMar>
          </w:tcPr>
          <w:p w14:paraId="0B90E1E8"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0372E9D"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00412C0"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4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7504828"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439" w:type="dxa"/>
            <w:tcBorders>
              <w:top w:val="nil"/>
              <w:left w:val="nil"/>
              <w:bottom w:val="single" w:sz="8" w:space="0" w:color="000000"/>
              <w:right w:val="single" w:sz="8" w:space="0" w:color="000000"/>
            </w:tcBorders>
            <w:tcMar>
              <w:top w:w="0" w:type="dxa"/>
              <w:left w:w="108" w:type="dxa"/>
              <w:bottom w:w="0" w:type="dxa"/>
              <w:right w:w="108" w:type="dxa"/>
            </w:tcMar>
          </w:tcPr>
          <w:p w14:paraId="0DED22D7"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2099" w:type="dxa"/>
            <w:tcBorders>
              <w:top w:val="nil"/>
              <w:left w:val="nil"/>
              <w:bottom w:val="single" w:sz="8" w:space="0" w:color="000000"/>
              <w:right w:val="single" w:sz="8" w:space="0" w:color="000000"/>
            </w:tcBorders>
            <w:tcMar>
              <w:top w:w="0" w:type="dxa"/>
              <w:left w:w="108" w:type="dxa"/>
              <w:bottom w:w="0" w:type="dxa"/>
              <w:right w:w="108" w:type="dxa"/>
            </w:tcMar>
          </w:tcPr>
          <w:p w14:paraId="5D5E52B1"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r w:rsidR="00E40657" w14:paraId="3F00DC2E" w14:textId="77777777" w:rsidTr="00130B72">
        <w:trPr>
          <w:trHeight w:val="597"/>
        </w:trPr>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8592BA"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33" w:type="dxa"/>
            <w:tcBorders>
              <w:top w:val="nil"/>
              <w:left w:val="nil"/>
              <w:bottom w:val="single" w:sz="8" w:space="0" w:color="000000"/>
              <w:right w:val="single" w:sz="8" w:space="0" w:color="000000"/>
            </w:tcBorders>
            <w:tcMar>
              <w:top w:w="0" w:type="dxa"/>
              <w:left w:w="108" w:type="dxa"/>
              <w:bottom w:w="0" w:type="dxa"/>
              <w:right w:w="108" w:type="dxa"/>
            </w:tcMar>
          </w:tcPr>
          <w:p w14:paraId="665AD2FE"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877" w:type="dxa"/>
            <w:tcBorders>
              <w:top w:val="nil"/>
              <w:left w:val="nil"/>
              <w:bottom w:val="single" w:sz="8" w:space="0" w:color="000000"/>
              <w:right w:val="single" w:sz="8" w:space="0" w:color="000000"/>
            </w:tcBorders>
            <w:tcMar>
              <w:top w:w="0" w:type="dxa"/>
              <w:left w:w="108" w:type="dxa"/>
              <w:bottom w:w="0" w:type="dxa"/>
              <w:right w:w="108" w:type="dxa"/>
            </w:tcMar>
          </w:tcPr>
          <w:p w14:paraId="455D49FE"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6EC6872"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66FA8B7"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4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4A86361"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439" w:type="dxa"/>
            <w:tcBorders>
              <w:top w:val="nil"/>
              <w:left w:val="nil"/>
              <w:bottom w:val="single" w:sz="8" w:space="0" w:color="000000"/>
              <w:right w:val="single" w:sz="8" w:space="0" w:color="000000"/>
            </w:tcBorders>
            <w:tcMar>
              <w:top w:w="0" w:type="dxa"/>
              <w:left w:w="108" w:type="dxa"/>
              <w:bottom w:w="0" w:type="dxa"/>
              <w:right w:w="108" w:type="dxa"/>
            </w:tcMar>
          </w:tcPr>
          <w:p w14:paraId="1AF92D1F"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2099" w:type="dxa"/>
            <w:tcBorders>
              <w:top w:val="nil"/>
              <w:left w:val="nil"/>
              <w:bottom w:val="single" w:sz="8" w:space="0" w:color="000000"/>
              <w:right w:val="single" w:sz="8" w:space="0" w:color="000000"/>
            </w:tcBorders>
            <w:tcMar>
              <w:top w:w="0" w:type="dxa"/>
              <w:left w:w="108" w:type="dxa"/>
              <w:bottom w:w="0" w:type="dxa"/>
              <w:right w:w="108" w:type="dxa"/>
            </w:tcMar>
          </w:tcPr>
          <w:p w14:paraId="6444D088"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r w:rsidR="00E40657" w14:paraId="44343D9F" w14:textId="77777777" w:rsidTr="00130B72">
        <w:trPr>
          <w:trHeight w:val="597"/>
        </w:trPr>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0BA455"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33" w:type="dxa"/>
            <w:tcBorders>
              <w:top w:val="nil"/>
              <w:left w:val="nil"/>
              <w:bottom w:val="single" w:sz="8" w:space="0" w:color="000000"/>
              <w:right w:val="single" w:sz="8" w:space="0" w:color="000000"/>
            </w:tcBorders>
            <w:tcMar>
              <w:top w:w="0" w:type="dxa"/>
              <w:left w:w="108" w:type="dxa"/>
              <w:bottom w:w="0" w:type="dxa"/>
              <w:right w:w="108" w:type="dxa"/>
            </w:tcMar>
          </w:tcPr>
          <w:p w14:paraId="1CAC1FA2"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877" w:type="dxa"/>
            <w:tcBorders>
              <w:top w:val="nil"/>
              <w:left w:val="nil"/>
              <w:bottom w:val="single" w:sz="8" w:space="0" w:color="000000"/>
              <w:right w:val="single" w:sz="8" w:space="0" w:color="000000"/>
            </w:tcBorders>
            <w:tcMar>
              <w:top w:w="0" w:type="dxa"/>
              <w:left w:w="108" w:type="dxa"/>
              <w:bottom w:w="0" w:type="dxa"/>
              <w:right w:w="108" w:type="dxa"/>
            </w:tcMar>
          </w:tcPr>
          <w:p w14:paraId="124639A9"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1EB787"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473732F"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4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C16B44E"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439" w:type="dxa"/>
            <w:tcBorders>
              <w:top w:val="nil"/>
              <w:left w:val="nil"/>
              <w:bottom w:val="single" w:sz="8" w:space="0" w:color="000000"/>
              <w:right w:val="single" w:sz="8" w:space="0" w:color="000000"/>
            </w:tcBorders>
            <w:tcMar>
              <w:top w:w="0" w:type="dxa"/>
              <w:left w:w="108" w:type="dxa"/>
              <w:bottom w:w="0" w:type="dxa"/>
              <w:right w:w="108" w:type="dxa"/>
            </w:tcMar>
          </w:tcPr>
          <w:p w14:paraId="3E0FF332"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2099" w:type="dxa"/>
            <w:tcBorders>
              <w:top w:val="nil"/>
              <w:left w:val="nil"/>
              <w:bottom w:val="single" w:sz="8" w:space="0" w:color="000000"/>
              <w:right w:val="single" w:sz="8" w:space="0" w:color="000000"/>
            </w:tcBorders>
            <w:tcMar>
              <w:top w:w="0" w:type="dxa"/>
              <w:left w:w="108" w:type="dxa"/>
              <w:bottom w:w="0" w:type="dxa"/>
              <w:right w:w="108" w:type="dxa"/>
            </w:tcMar>
          </w:tcPr>
          <w:p w14:paraId="04F19D82"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r w:rsidR="00E40657" w14:paraId="4D408120" w14:textId="77777777" w:rsidTr="00130B72">
        <w:trPr>
          <w:trHeight w:val="597"/>
        </w:trPr>
        <w:tc>
          <w:tcPr>
            <w:tcW w:w="110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CDBD9"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33" w:type="dxa"/>
            <w:tcBorders>
              <w:top w:val="nil"/>
              <w:left w:val="nil"/>
              <w:bottom w:val="single" w:sz="8" w:space="0" w:color="000000"/>
              <w:right w:val="single" w:sz="8" w:space="0" w:color="000000"/>
            </w:tcBorders>
            <w:tcMar>
              <w:top w:w="0" w:type="dxa"/>
              <w:left w:w="108" w:type="dxa"/>
              <w:bottom w:w="0" w:type="dxa"/>
              <w:right w:w="108" w:type="dxa"/>
            </w:tcMar>
          </w:tcPr>
          <w:p w14:paraId="0AFADA91"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877" w:type="dxa"/>
            <w:tcBorders>
              <w:top w:val="nil"/>
              <w:left w:val="nil"/>
              <w:bottom w:val="single" w:sz="8" w:space="0" w:color="000000"/>
              <w:right w:val="single" w:sz="8" w:space="0" w:color="000000"/>
            </w:tcBorders>
            <w:tcMar>
              <w:top w:w="0" w:type="dxa"/>
              <w:left w:w="108" w:type="dxa"/>
              <w:bottom w:w="0" w:type="dxa"/>
              <w:right w:w="108" w:type="dxa"/>
            </w:tcMar>
          </w:tcPr>
          <w:p w14:paraId="549FB222"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1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D81AACE"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2825C41"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4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E1A0507" w14:textId="77777777" w:rsidR="00A3243D" w:rsidRPr="0030358C" w:rsidRDefault="00000000" w:rsidP="0045777C">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439" w:type="dxa"/>
            <w:tcBorders>
              <w:top w:val="nil"/>
              <w:left w:val="nil"/>
              <w:bottom w:val="single" w:sz="8" w:space="0" w:color="000000"/>
              <w:right w:val="single" w:sz="8" w:space="0" w:color="000000"/>
            </w:tcBorders>
            <w:tcMar>
              <w:top w:w="0" w:type="dxa"/>
              <w:left w:w="108" w:type="dxa"/>
              <w:bottom w:w="0" w:type="dxa"/>
              <w:right w:w="108" w:type="dxa"/>
            </w:tcMar>
          </w:tcPr>
          <w:p w14:paraId="673FA818"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2099" w:type="dxa"/>
            <w:tcBorders>
              <w:top w:val="nil"/>
              <w:left w:val="nil"/>
              <w:bottom w:val="single" w:sz="8" w:space="0" w:color="000000"/>
              <w:right w:val="single" w:sz="8" w:space="0" w:color="000000"/>
            </w:tcBorders>
            <w:tcMar>
              <w:top w:w="0" w:type="dxa"/>
              <w:left w:w="108" w:type="dxa"/>
              <w:bottom w:w="0" w:type="dxa"/>
              <w:right w:w="108" w:type="dxa"/>
            </w:tcMar>
          </w:tcPr>
          <w:p w14:paraId="102096A9" w14:textId="77777777" w:rsidR="00A3243D" w:rsidRPr="0030358C" w:rsidRDefault="00000000" w:rsidP="0045777C">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bl>
    <w:p w14:paraId="3EA67726" w14:textId="77777777" w:rsidR="00626B2B" w:rsidRPr="0030358C" w:rsidRDefault="00626B2B" w:rsidP="00CF583E">
      <w:pPr>
        <w:pBdr>
          <w:top w:val="nil"/>
          <w:left w:val="nil"/>
          <w:bottom w:val="nil"/>
          <w:right w:val="nil"/>
        </w:pBdr>
        <w:jc w:val="both"/>
        <w:rPr>
          <w:rFonts w:ascii="Arial" w:eastAsia="Arial" w:hAnsi="Arial" w:cs="Arial"/>
          <w:b/>
          <w:bCs/>
          <w:color w:val="000000"/>
          <w:sz w:val="22"/>
          <w:szCs w:val="22"/>
        </w:rPr>
      </w:pPr>
    </w:p>
    <w:p w14:paraId="1335D46F" w14:textId="77777777" w:rsidR="00212AEA" w:rsidRPr="0030358C" w:rsidRDefault="00000000" w:rsidP="00CF583E">
      <w:pPr>
        <w:pBdr>
          <w:top w:val="nil"/>
          <w:left w:val="nil"/>
          <w:bottom w:val="nil"/>
          <w:right w:val="nil"/>
        </w:pBdr>
        <w:jc w:val="both"/>
        <w:rPr>
          <w:rFonts w:ascii="Arial" w:eastAsia="Arial" w:hAnsi="Arial" w:cs="Arial"/>
          <w:b/>
          <w:bCs/>
          <w:color w:val="000000"/>
          <w:sz w:val="22"/>
          <w:szCs w:val="22"/>
        </w:rPr>
      </w:pPr>
      <w:r w:rsidRPr="0030358C">
        <w:rPr>
          <w:rFonts w:ascii="Arial" w:eastAsia="Arial" w:hAnsi="Arial" w:cs="Arial"/>
          <w:b/>
          <w:bCs/>
          <w:color w:val="000000"/>
          <w:sz w:val="22"/>
          <w:szCs w:val="22"/>
        </w:rPr>
        <w:t>Poznámky:</w:t>
      </w:r>
    </w:p>
    <w:p w14:paraId="132361D2" w14:textId="77777777" w:rsidR="00212AEA" w:rsidRPr="0030358C" w:rsidRDefault="00000000" w:rsidP="00212AEA">
      <w:pPr>
        <w:pBdr>
          <w:top w:val="nil"/>
          <w:left w:val="nil"/>
          <w:bottom w:val="nil"/>
          <w:right w:val="nil"/>
        </w:pBdr>
        <w:jc w:val="both"/>
        <w:rPr>
          <w:rFonts w:ascii="Arial" w:eastAsia="Arial" w:hAnsi="Arial" w:cs="Arial"/>
          <w:b/>
          <w:bCs/>
          <w:color w:val="000000"/>
          <w:sz w:val="22"/>
          <w:szCs w:val="22"/>
        </w:rPr>
      </w:pPr>
      <w:r w:rsidRPr="0030358C">
        <w:rPr>
          <w:rFonts w:ascii="Arial" w:eastAsia="Arial" w:hAnsi="Arial" w:cs="Arial"/>
          <w:b/>
          <w:bCs/>
          <w:color w:val="000000"/>
          <w:sz w:val="22"/>
          <w:szCs w:val="22"/>
        </w:rPr>
        <w:t xml:space="preserve">Časový plán bude zpracován ve strojově čitelné tabelární formě. </w:t>
      </w:r>
    </w:p>
    <w:p w14:paraId="4F6C714E" w14:textId="77777777" w:rsidR="00CF583E" w:rsidRPr="0030358C" w:rsidRDefault="00000000" w:rsidP="00212AEA">
      <w:pPr>
        <w:pBdr>
          <w:top w:val="nil"/>
          <w:left w:val="nil"/>
          <w:bottom w:val="nil"/>
          <w:right w:val="nil"/>
        </w:pBdr>
        <w:jc w:val="both"/>
        <w:rPr>
          <w:rFonts w:ascii="Arial" w:eastAsia="Arial" w:hAnsi="Arial" w:cs="Arial"/>
          <w:b/>
          <w:bCs/>
          <w:color w:val="000000"/>
          <w:sz w:val="22"/>
          <w:szCs w:val="22"/>
        </w:rPr>
      </w:pPr>
      <w:r w:rsidRPr="0030358C">
        <w:rPr>
          <w:rFonts w:ascii="Arial" w:eastAsia="Arial" w:hAnsi="Arial" w:cs="Arial"/>
          <w:b/>
          <w:bCs/>
          <w:color w:val="000000"/>
          <w:sz w:val="22"/>
          <w:szCs w:val="22"/>
        </w:rPr>
        <w:t>Počet řádků tabulky je ilustrativní.</w:t>
      </w:r>
    </w:p>
    <w:p w14:paraId="0E43AA23" w14:textId="77777777" w:rsidR="007E1156" w:rsidRPr="0030358C" w:rsidRDefault="007E1156" w:rsidP="00212AEA">
      <w:pPr>
        <w:pBdr>
          <w:top w:val="nil"/>
          <w:left w:val="nil"/>
          <w:bottom w:val="nil"/>
          <w:right w:val="nil"/>
        </w:pBdr>
        <w:jc w:val="both"/>
        <w:rPr>
          <w:rFonts w:ascii="Arial" w:hAnsi="Arial" w:cs="Arial"/>
          <w:b/>
          <w:bCs/>
          <w:sz w:val="22"/>
          <w:szCs w:val="22"/>
        </w:rPr>
      </w:pPr>
    </w:p>
    <w:p w14:paraId="54E2AA4D" w14:textId="77777777" w:rsidR="00626B2B" w:rsidRPr="0030358C" w:rsidRDefault="00000000" w:rsidP="007E1156">
      <w:pPr>
        <w:pStyle w:val="Odstavecseseznamem"/>
        <w:numPr>
          <w:ilvl w:val="0"/>
          <w:numId w:val="205"/>
        </w:numPr>
        <w:pBdr>
          <w:top w:val="nil"/>
          <w:left w:val="nil"/>
          <w:bottom w:val="nil"/>
          <w:right w:val="nil"/>
        </w:pBdr>
        <w:jc w:val="both"/>
        <w:rPr>
          <w:rFonts w:ascii="Arial" w:hAnsi="Arial" w:cs="Arial"/>
          <w:b/>
          <w:bCs/>
          <w:color w:val="000000" w:themeColor="text1"/>
        </w:rPr>
      </w:pPr>
      <w:r w:rsidRPr="0030358C">
        <w:rPr>
          <w:rFonts w:ascii="Arial" w:eastAsia="Arial" w:hAnsi="Arial" w:cs="Arial"/>
          <w:b/>
          <w:bCs/>
          <w:color w:val="000000"/>
        </w:rPr>
        <w:t>Náležitosti hlášení o plnění opatření programu zlepšování kvality ovzduší podle § 9 odst. 4 zákona</w:t>
      </w:r>
    </w:p>
    <w:p w14:paraId="16AC1E8C" w14:textId="77777777" w:rsidR="00CF583E" w:rsidRPr="0030358C" w:rsidRDefault="00000000" w:rsidP="00CF583E">
      <w:pPr>
        <w:pBdr>
          <w:top w:val="nil"/>
          <w:left w:val="nil"/>
          <w:bottom w:val="nil"/>
          <w:right w:val="nil"/>
        </w:pBdr>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bl>
      <w:tblPr>
        <w:tblStyle w:val="Mkatabulky"/>
        <w:tblW w:w="5400" w:type="pct"/>
        <w:tblBorders>
          <w:top w:val="nil"/>
          <w:left w:val="nil"/>
          <w:bottom w:val="nil"/>
          <w:right w:val="nil"/>
          <w:insideH w:val="nil"/>
          <w:insideV w:val="nil"/>
        </w:tblBorders>
        <w:tblLook w:val="04A0" w:firstRow="1" w:lastRow="0" w:firstColumn="1" w:lastColumn="0" w:noHBand="0" w:noVBand="1"/>
      </w:tblPr>
      <w:tblGrid>
        <w:gridCol w:w="1084"/>
        <w:gridCol w:w="1084"/>
        <w:gridCol w:w="877"/>
        <w:gridCol w:w="1011"/>
        <w:gridCol w:w="882"/>
        <w:gridCol w:w="949"/>
        <w:gridCol w:w="1439"/>
        <w:gridCol w:w="987"/>
        <w:gridCol w:w="1463"/>
      </w:tblGrid>
      <w:tr w:rsidR="00E40657" w14:paraId="6802630A" w14:textId="77777777" w:rsidTr="00773B69">
        <w:trPr>
          <w:trHeight w:val="598"/>
        </w:trPr>
        <w:tc>
          <w:tcPr>
            <w:tcW w:w="10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1C9AC7"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(1) </w:t>
            </w:r>
          </w:p>
          <w:p w14:paraId="386AADCB"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Kód opatření </w:t>
            </w:r>
          </w:p>
        </w:tc>
        <w:tc>
          <w:tcPr>
            <w:tcW w:w="105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F9A14FE"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(2)</w:t>
            </w:r>
          </w:p>
          <w:p w14:paraId="052442B9"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Název opatření</w:t>
            </w:r>
          </w:p>
        </w:tc>
        <w:tc>
          <w:tcPr>
            <w:tcW w:w="79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B205CCA"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(3) Gesce</w:t>
            </w:r>
          </w:p>
        </w:tc>
        <w:tc>
          <w:tcPr>
            <w:tcW w:w="3059"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394AA52"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Způsob provádění opatření</w:t>
            </w:r>
          </w:p>
        </w:tc>
        <w:tc>
          <w:tcPr>
            <w:tcW w:w="132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956C5B5"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(7) </w:t>
            </w:r>
          </w:p>
          <w:p w14:paraId="10EB9A42"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Zdroje financování</w:t>
            </w:r>
          </w:p>
        </w:tc>
        <w:tc>
          <w:tcPr>
            <w:tcW w:w="92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9897FDD"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(8)</w:t>
            </w:r>
          </w:p>
          <w:p w14:paraId="6AFB095D"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Termín splnění</w:t>
            </w:r>
          </w:p>
        </w:tc>
        <w:tc>
          <w:tcPr>
            <w:tcW w:w="118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BA32AF3"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(9)</w:t>
            </w:r>
          </w:p>
          <w:p w14:paraId="7DB370FC"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Zhodnocení plnění</w:t>
            </w:r>
          </w:p>
        </w:tc>
      </w:tr>
      <w:tr w:rsidR="00E40657" w14:paraId="4E119D86" w14:textId="77777777" w:rsidTr="00773B69">
        <w:trPr>
          <w:trHeight w:val="597"/>
        </w:trPr>
        <w:tc>
          <w:tcPr>
            <w:tcW w:w="0" w:type="auto"/>
            <w:vMerge/>
            <w:tcBorders>
              <w:top w:val="single" w:sz="8" w:space="0" w:color="000000"/>
              <w:left w:val="single" w:sz="8" w:space="0" w:color="000000"/>
              <w:bottom w:val="single" w:sz="8" w:space="0" w:color="000000"/>
              <w:right w:val="single" w:sz="8" w:space="0" w:color="000000"/>
            </w:tcBorders>
          </w:tcPr>
          <w:p w14:paraId="3E9E5B43" w14:textId="77777777" w:rsidR="00CF583E" w:rsidRPr="0030358C" w:rsidRDefault="00CF583E" w:rsidP="00773B69">
            <w:pPr>
              <w:rPr>
                <w:rFonts w:ascii="Arial" w:hAnsi="Arial" w:cs="Arial"/>
                <w:b/>
                <w:bCs/>
                <w:sz w:val="22"/>
                <w:szCs w:val="22"/>
              </w:rPr>
            </w:pPr>
          </w:p>
        </w:tc>
        <w:tc>
          <w:tcPr>
            <w:tcW w:w="0" w:type="auto"/>
            <w:vMerge/>
            <w:tcBorders>
              <w:top w:val="single" w:sz="8" w:space="0" w:color="000000"/>
              <w:left w:val="nil"/>
              <w:bottom w:val="single" w:sz="8" w:space="0" w:color="000000"/>
              <w:right w:val="single" w:sz="8" w:space="0" w:color="000000"/>
            </w:tcBorders>
          </w:tcPr>
          <w:p w14:paraId="5C1FF101" w14:textId="77777777" w:rsidR="00CF583E" w:rsidRPr="0030358C" w:rsidRDefault="00CF583E" w:rsidP="00773B69">
            <w:pPr>
              <w:rPr>
                <w:rFonts w:ascii="Arial" w:hAnsi="Arial" w:cs="Arial"/>
                <w:b/>
                <w:bCs/>
                <w:sz w:val="22"/>
                <w:szCs w:val="22"/>
              </w:rPr>
            </w:pPr>
          </w:p>
        </w:tc>
        <w:tc>
          <w:tcPr>
            <w:tcW w:w="0" w:type="auto"/>
            <w:vMerge/>
            <w:tcBorders>
              <w:top w:val="single" w:sz="8" w:space="0" w:color="000000"/>
              <w:left w:val="nil"/>
              <w:bottom w:val="single" w:sz="8" w:space="0" w:color="000000"/>
              <w:right w:val="single" w:sz="8" w:space="0" w:color="000000"/>
            </w:tcBorders>
          </w:tcPr>
          <w:p w14:paraId="506DA122" w14:textId="77777777" w:rsidR="00CF583E" w:rsidRPr="0030358C" w:rsidRDefault="00CF583E" w:rsidP="00773B69">
            <w:pPr>
              <w:rPr>
                <w:rFonts w:ascii="Arial" w:hAnsi="Arial" w:cs="Arial"/>
                <w:b/>
                <w:bCs/>
                <w:sz w:val="22"/>
                <w:szCs w:val="22"/>
              </w:rPr>
            </w:pPr>
          </w:p>
        </w:tc>
        <w:tc>
          <w:tcPr>
            <w:tcW w:w="9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CB732A"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(4) Aktivita</w:t>
            </w:r>
          </w:p>
        </w:tc>
        <w:tc>
          <w:tcPr>
            <w:tcW w:w="105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00DD59E"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(5) </w:t>
            </w:r>
          </w:p>
          <w:p w14:paraId="3DC8F38D"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Dílčí kroky</w:t>
            </w:r>
          </w:p>
        </w:tc>
        <w:tc>
          <w:tcPr>
            <w:tcW w:w="108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1344A4D"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xml:space="preserve">(6) </w:t>
            </w:r>
          </w:p>
          <w:p w14:paraId="2E136343"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Interní gesce</w:t>
            </w:r>
          </w:p>
        </w:tc>
        <w:tc>
          <w:tcPr>
            <w:tcW w:w="0" w:type="auto"/>
            <w:vMerge/>
            <w:tcBorders>
              <w:top w:val="single" w:sz="8" w:space="0" w:color="000000"/>
              <w:left w:val="nil"/>
              <w:bottom w:val="single" w:sz="8" w:space="0" w:color="000000"/>
              <w:right w:val="single" w:sz="8" w:space="0" w:color="000000"/>
            </w:tcBorders>
          </w:tcPr>
          <w:p w14:paraId="38D3BB69" w14:textId="77777777" w:rsidR="00CF583E" w:rsidRPr="0030358C" w:rsidRDefault="00CF583E" w:rsidP="00773B69">
            <w:pPr>
              <w:rPr>
                <w:rFonts w:ascii="Arial" w:hAnsi="Arial" w:cs="Arial"/>
                <w:b/>
                <w:bCs/>
                <w:sz w:val="22"/>
                <w:szCs w:val="22"/>
              </w:rPr>
            </w:pPr>
          </w:p>
        </w:tc>
        <w:tc>
          <w:tcPr>
            <w:tcW w:w="0" w:type="auto"/>
            <w:vMerge/>
            <w:tcBorders>
              <w:top w:val="single" w:sz="8" w:space="0" w:color="000000"/>
              <w:left w:val="nil"/>
              <w:bottom w:val="single" w:sz="8" w:space="0" w:color="000000"/>
              <w:right w:val="single" w:sz="8" w:space="0" w:color="000000"/>
            </w:tcBorders>
          </w:tcPr>
          <w:p w14:paraId="2DC97C38" w14:textId="77777777" w:rsidR="00CF583E" w:rsidRPr="0030358C" w:rsidRDefault="00CF583E" w:rsidP="00773B69">
            <w:pPr>
              <w:rPr>
                <w:rFonts w:ascii="Arial" w:hAnsi="Arial" w:cs="Arial"/>
                <w:b/>
                <w:bCs/>
                <w:sz w:val="22"/>
                <w:szCs w:val="22"/>
              </w:rPr>
            </w:pPr>
          </w:p>
        </w:tc>
        <w:tc>
          <w:tcPr>
            <w:tcW w:w="0" w:type="auto"/>
            <w:vMerge/>
            <w:tcBorders>
              <w:top w:val="single" w:sz="8" w:space="0" w:color="000000"/>
              <w:left w:val="nil"/>
              <w:bottom w:val="single" w:sz="8" w:space="0" w:color="000000"/>
              <w:right w:val="single" w:sz="8" w:space="0" w:color="000000"/>
            </w:tcBorders>
          </w:tcPr>
          <w:p w14:paraId="25AF385A" w14:textId="77777777" w:rsidR="00CF583E" w:rsidRPr="0030358C" w:rsidRDefault="00CF583E" w:rsidP="00773B69">
            <w:pPr>
              <w:rPr>
                <w:rFonts w:ascii="Arial" w:hAnsi="Arial" w:cs="Arial"/>
                <w:b/>
                <w:bCs/>
                <w:sz w:val="22"/>
                <w:szCs w:val="22"/>
              </w:rPr>
            </w:pPr>
          </w:p>
        </w:tc>
      </w:tr>
      <w:tr w:rsidR="00E40657" w14:paraId="785FFFA1" w14:textId="77777777" w:rsidTr="00773B69">
        <w:trPr>
          <w:trHeight w:val="597"/>
        </w:trPr>
        <w:tc>
          <w:tcPr>
            <w:tcW w:w="102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D50CCD"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tcPr>
          <w:p w14:paraId="4C58D642"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792" w:type="dxa"/>
            <w:tcBorders>
              <w:top w:val="nil"/>
              <w:left w:val="nil"/>
              <w:bottom w:val="single" w:sz="8" w:space="0" w:color="000000"/>
              <w:right w:val="single" w:sz="8" w:space="0" w:color="000000"/>
            </w:tcBorders>
            <w:tcMar>
              <w:top w:w="0" w:type="dxa"/>
              <w:left w:w="108" w:type="dxa"/>
              <w:bottom w:w="0" w:type="dxa"/>
              <w:right w:w="108" w:type="dxa"/>
            </w:tcMar>
          </w:tcPr>
          <w:p w14:paraId="07208E40"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6FDF2CA"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757D213"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8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230090"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321" w:type="dxa"/>
            <w:tcBorders>
              <w:top w:val="nil"/>
              <w:left w:val="nil"/>
              <w:bottom w:val="single" w:sz="8" w:space="0" w:color="000000"/>
              <w:right w:val="single" w:sz="8" w:space="0" w:color="000000"/>
            </w:tcBorders>
            <w:tcMar>
              <w:top w:w="0" w:type="dxa"/>
              <w:left w:w="108" w:type="dxa"/>
              <w:bottom w:w="0" w:type="dxa"/>
              <w:right w:w="108" w:type="dxa"/>
            </w:tcMar>
          </w:tcPr>
          <w:p w14:paraId="5CD97019"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22" w:type="dxa"/>
            <w:tcBorders>
              <w:top w:val="nil"/>
              <w:left w:val="nil"/>
              <w:bottom w:val="single" w:sz="8" w:space="0" w:color="000000"/>
              <w:right w:val="single" w:sz="8" w:space="0" w:color="000000"/>
            </w:tcBorders>
            <w:tcMar>
              <w:top w:w="0" w:type="dxa"/>
              <w:left w:w="108" w:type="dxa"/>
              <w:bottom w:w="0" w:type="dxa"/>
              <w:right w:w="108" w:type="dxa"/>
            </w:tcMar>
          </w:tcPr>
          <w:p w14:paraId="1CAE5C7B"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81" w:type="dxa"/>
            <w:tcBorders>
              <w:top w:val="nil"/>
              <w:left w:val="nil"/>
              <w:bottom w:val="single" w:sz="8" w:space="0" w:color="000000"/>
              <w:right w:val="single" w:sz="8" w:space="0" w:color="000000"/>
            </w:tcBorders>
            <w:tcMar>
              <w:top w:w="0" w:type="dxa"/>
              <w:left w:w="108" w:type="dxa"/>
              <w:bottom w:w="0" w:type="dxa"/>
              <w:right w:w="108" w:type="dxa"/>
            </w:tcMar>
          </w:tcPr>
          <w:p w14:paraId="681E95A6"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r w:rsidR="00E40657" w14:paraId="023D328B" w14:textId="77777777" w:rsidTr="00773B69">
        <w:trPr>
          <w:trHeight w:val="597"/>
        </w:trPr>
        <w:tc>
          <w:tcPr>
            <w:tcW w:w="102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DECD22"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tcPr>
          <w:p w14:paraId="1F705EC1"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792" w:type="dxa"/>
            <w:tcBorders>
              <w:top w:val="nil"/>
              <w:left w:val="nil"/>
              <w:bottom w:val="single" w:sz="8" w:space="0" w:color="000000"/>
              <w:right w:val="single" w:sz="8" w:space="0" w:color="000000"/>
            </w:tcBorders>
            <w:tcMar>
              <w:top w:w="0" w:type="dxa"/>
              <w:left w:w="108" w:type="dxa"/>
              <w:bottom w:w="0" w:type="dxa"/>
              <w:right w:w="108" w:type="dxa"/>
            </w:tcMar>
          </w:tcPr>
          <w:p w14:paraId="34EFDDF1"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122397E"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90499E6"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8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090E199"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321" w:type="dxa"/>
            <w:tcBorders>
              <w:top w:val="nil"/>
              <w:left w:val="nil"/>
              <w:bottom w:val="single" w:sz="8" w:space="0" w:color="000000"/>
              <w:right w:val="single" w:sz="8" w:space="0" w:color="000000"/>
            </w:tcBorders>
            <w:tcMar>
              <w:top w:w="0" w:type="dxa"/>
              <w:left w:w="108" w:type="dxa"/>
              <w:bottom w:w="0" w:type="dxa"/>
              <w:right w:w="108" w:type="dxa"/>
            </w:tcMar>
          </w:tcPr>
          <w:p w14:paraId="612B8AA3"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22" w:type="dxa"/>
            <w:tcBorders>
              <w:top w:val="nil"/>
              <w:left w:val="nil"/>
              <w:bottom w:val="single" w:sz="8" w:space="0" w:color="000000"/>
              <w:right w:val="single" w:sz="8" w:space="0" w:color="000000"/>
            </w:tcBorders>
            <w:tcMar>
              <w:top w:w="0" w:type="dxa"/>
              <w:left w:w="108" w:type="dxa"/>
              <w:bottom w:w="0" w:type="dxa"/>
              <w:right w:w="108" w:type="dxa"/>
            </w:tcMar>
          </w:tcPr>
          <w:p w14:paraId="5E728A2C"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81" w:type="dxa"/>
            <w:tcBorders>
              <w:top w:val="nil"/>
              <w:left w:val="nil"/>
              <w:bottom w:val="single" w:sz="8" w:space="0" w:color="000000"/>
              <w:right w:val="single" w:sz="8" w:space="0" w:color="000000"/>
            </w:tcBorders>
            <w:tcMar>
              <w:top w:w="0" w:type="dxa"/>
              <w:left w:w="108" w:type="dxa"/>
              <w:bottom w:w="0" w:type="dxa"/>
              <w:right w:w="108" w:type="dxa"/>
            </w:tcMar>
          </w:tcPr>
          <w:p w14:paraId="6B2B9698"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r w:rsidR="00E40657" w14:paraId="076E9AE4" w14:textId="77777777" w:rsidTr="00773B69">
        <w:trPr>
          <w:trHeight w:val="597"/>
        </w:trPr>
        <w:tc>
          <w:tcPr>
            <w:tcW w:w="102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C8B293"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tcPr>
          <w:p w14:paraId="2E776E19"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792" w:type="dxa"/>
            <w:tcBorders>
              <w:top w:val="nil"/>
              <w:left w:val="nil"/>
              <w:bottom w:val="single" w:sz="8" w:space="0" w:color="000000"/>
              <w:right w:val="single" w:sz="8" w:space="0" w:color="000000"/>
            </w:tcBorders>
            <w:tcMar>
              <w:top w:w="0" w:type="dxa"/>
              <w:left w:w="108" w:type="dxa"/>
              <w:bottom w:w="0" w:type="dxa"/>
              <w:right w:w="108" w:type="dxa"/>
            </w:tcMar>
          </w:tcPr>
          <w:p w14:paraId="36C78480"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32FDE1"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2425498"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8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5B3F301"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321" w:type="dxa"/>
            <w:tcBorders>
              <w:top w:val="nil"/>
              <w:left w:val="nil"/>
              <w:bottom w:val="single" w:sz="8" w:space="0" w:color="000000"/>
              <w:right w:val="single" w:sz="8" w:space="0" w:color="000000"/>
            </w:tcBorders>
            <w:tcMar>
              <w:top w:w="0" w:type="dxa"/>
              <w:left w:w="108" w:type="dxa"/>
              <w:bottom w:w="0" w:type="dxa"/>
              <w:right w:w="108" w:type="dxa"/>
            </w:tcMar>
          </w:tcPr>
          <w:p w14:paraId="237E5884"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22" w:type="dxa"/>
            <w:tcBorders>
              <w:top w:val="nil"/>
              <w:left w:val="nil"/>
              <w:bottom w:val="single" w:sz="8" w:space="0" w:color="000000"/>
              <w:right w:val="single" w:sz="8" w:space="0" w:color="000000"/>
            </w:tcBorders>
            <w:tcMar>
              <w:top w:w="0" w:type="dxa"/>
              <w:left w:w="108" w:type="dxa"/>
              <w:bottom w:w="0" w:type="dxa"/>
              <w:right w:w="108" w:type="dxa"/>
            </w:tcMar>
          </w:tcPr>
          <w:p w14:paraId="411680B1"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81" w:type="dxa"/>
            <w:tcBorders>
              <w:top w:val="nil"/>
              <w:left w:val="nil"/>
              <w:bottom w:val="single" w:sz="8" w:space="0" w:color="000000"/>
              <w:right w:val="single" w:sz="8" w:space="0" w:color="000000"/>
            </w:tcBorders>
            <w:tcMar>
              <w:top w:w="0" w:type="dxa"/>
              <w:left w:w="108" w:type="dxa"/>
              <w:bottom w:w="0" w:type="dxa"/>
              <w:right w:w="108" w:type="dxa"/>
            </w:tcMar>
          </w:tcPr>
          <w:p w14:paraId="1753DDBF"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r w:rsidR="00E40657" w14:paraId="763151C4" w14:textId="77777777" w:rsidTr="00773B69">
        <w:trPr>
          <w:trHeight w:val="597"/>
        </w:trPr>
        <w:tc>
          <w:tcPr>
            <w:tcW w:w="102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38E0A4"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tcPr>
          <w:p w14:paraId="560EB5D0"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792" w:type="dxa"/>
            <w:tcBorders>
              <w:top w:val="nil"/>
              <w:left w:val="nil"/>
              <w:bottom w:val="single" w:sz="8" w:space="0" w:color="000000"/>
              <w:right w:val="single" w:sz="8" w:space="0" w:color="000000"/>
            </w:tcBorders>
            <w:tcMar>
              <w:top w:w="0" w:type="dxa"/>
              <w:left w:w="108" w:type="dxa"/>
              <w:bottom w:w="0" w:type="dxa"/>
              <w:right w:w="108" w:type="dxa"/>
            </w:tcMar>
          </w:tcPr>
          <w:p w14:paraId="0D61DC49"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E4C8953"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5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93D26D1"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08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A070EE6" w14:textId="77777777" w:rsidR="00CF583E" w:rsidRPr="0030358C" w:rsidRDefault="00000000" w:rsidP="00773B69">
            <w:pPr>
              <w:pBdr>
                <w:top w:val="nil"/>
                <w:left w:val="nil"/>
                <w:bottom w:val="nil"/>
                <w:right w:val="nil"/>
              </w:pBdr>
              <w:tabs>
                <w:tab w:val="left" w:pos="7088"/>
              </w:tabs>
              <w:jc w:val="center"/>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321" w:type="dxa"/>
            <w:tcBorders>
              <w:top w:val="nil"/>
              <w:left w:val="nil"/>
              <w:bottom w:val="single" w:sz="8" w:space="0" w:color="000000"/>
              <w:right w:val="single" w:sz="8" w:space="0" w:color="000000"/>
            </w:tcBorders>
            <w:tcMar>
              <w:top w:w="0" w:type="dxa"/>
              <w:left w:w="108" w:type="dxa"/>
              <w:bottom w:w="0" w:type="dxa"/>
              <w:right w:w="108" w:type="dxa"/>
            </w:tcMar>
          </w:tcPr>
          <w:p w14:paraId="1BD34168"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922" w:type="dxa"/>
            <w:tcBorders>
              <w:top w:val="nil"/>
              <w:left w:val="nil"/>
              <w:bottom w:val="single" w:sz="8" w:space="0" w:color="000000"/>
              <w:right w:val="single" w:sz="8" w:space="0" w:color="000000"/>
            </w:tcBorders>
            <w:tcMar>
              <w:top w:w="0" w:type="dxa"/>
              <w:left w:w="108" w:type="dxa"/>
              <w:bottom w:w="0" w:type="dxa"/>
              <w:right w:w="108" w:type="dxa"/>
            </w:tcMar>
          </w:tcPr>
          <w:p w14:paraId="128100EF"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c>
          <w:tcPr>
            <w:tcW w:w="1181" w:type="dxa"/>
            <w:tcBorders>
              <w:top w:val="nil"/>
              <w:left w:val="nil"/>
              <w:bottom w:val="single" w:sz="8" w:space="0" w:color="000000"/>
              <w:right w:val="single" w:sz="8" w:space="0" w:color="000000"/>
            </w:tcBorders>
            <w:tcMar>
              <w:top w:w="0" w:type="dxa"/>
              <w:left w:w="108" w:type="dxa"/>
              <w:bottom w:w="0" w:type="dxa"/>
              <w:right w:w="108" w:type="dxa"/>
            </w:tcMar>
          </w:tcPr>
          <w:p w14:paraId="7A0D959B" w14:textId="77777777" w:rsidR="00CF583E" w:rsidRPr="0030358C" w:rsidRDefault="00000000" w:rsidP="00773B69">
            <w:pPr>
              <w:pBdr>
                <w:top w:val="nil"/>
                <w:left w:val="nil"/>
                <w:bottom w:val="nil"/>
                <w:right w:val="nil"/>
              </w:pBdr>
              <w:tabs>
                <w:tab w:val="left" w:pos="7088"/>
              </w:tabs>
              <w:rPr>
                <w:rFonts w:ascii="Arial" w:hAnsi="Arial" w:cs="Arial"/>
                <w:b/>
                <w:bCs/>
                <w:color w:val="000000" w:themeColor="text1"/>
                <w:sz w:val="22"/>
                <w:szCs w:val="22"/>
              </w:rPr>
            </w:pPr>
            <w:r w:rsidRPr="0030358C">
              <w:rPr>
                <w:rFonts w:ascii="Arial" w:eastAsia="Arial" w:hAnsi="Arial" w:cs="Arial"/>
                <w:b/>
                <w:bCs/>
                <w:color w:val="000000" w:themeColor="text1"/>
                <w:sz w:val="22"/>
                <w:szCs w:val="22"/>
              </w:rPr>
              <w:t> </w:t>
            </w:r>
          </w:p>
        </w:tc>
      </w:tr>
    </w:tbl>
    <w:p w14:paraId="5D1AD326" w14:textId="77777777" w:rsidR="00CF583E" w:rsidRPr="0030358C" w:rsidRDefault="00000000" w:rsidP="00CF583E">
      <w:pPr>
        <w:pBdr>
          <w:top w:val="nil"/>
          <w:left w:val="nil"/>
          <w:bottom w:val="nil"/>
          <w:right w:val="nil"/>
        </w:pBdr>
        <w:jc w:val="both"/>
        <w:rPr>
          <w:rFonts w:ascii="Arial" w:hAnsi="Arial" w:cs="Arial"/>
          <w:b/>
          <w:bCs/>
          <w:sz w:val="22"/>
          <w:szCs w:val="22"/>
        </w:rPr>
      </w:pPr>
      <w:r w:rsidRPr="0030358C">
        <w:rPr>
          <w:rFonts w:ascii="Arial" w:eastAsia="Arial" w:hAnsi="Arial" w:cs="Arial"/>
          <w:b/>
          <w:bCs/>
          <w:color w:val="000000"/>
          <w:sz w:val="22"/>
          <w:szCs w:val="22"/>
        </w:rPr>
        <w:t> </w:t>
      </w:r>
    </w:p>
    <w:p w14:paraId="692337E3" w14:textId="77777777" w:rsidR="00626B2B" w:rsidRPr="0030358C" w:rsidRDefault="00000000" w:rsidP="00626B2B">
      <w:pPr>
        <w:pBdr>
          <w:top w:val="nil"/>
          <w:left w:val="nil"/>
          <w:bottom w:val="nil"/>
          <w:right w:val="nil"/>
        </w:pBdr>
        <w:jc w:val="both"/>
        <w:rPr>
          <w:rFonts w:ascii="Arial" w:eastAsia="Arial" w:hAnsi="Arial" w:cs="Arial"/>
          <w:b/>
          <w:bCs/>
          <w:color w:val="000000"/>
          <w:sz w:val="22"/>
          <w:szCs w:val="22"/>
        </w:rPr>
      </w:pPr>
      <w:r w:rsidRPr="0030358C">
        <w:rPr>
          <w:rFonts w:ascii="Arial" w:eastAsia="Arial" w:hAnsi="Arial" w:cs="Arial"/>
          <w:b/>
          <w:bCs/>
          <w:color w:val="000000"/>
          <w:sz w:val="22"/>
          <w:szCs w:val="22"/>
        </w:rPr>
        <w:t>Poznámka:</w:t>
      </w:r>
    </w:p>
    <w:p w14:paraId="0723EC90" w14:textId="77777777" w:rsidR="00212AEA" w:rsidRPr="0030358C" w:rsidRDefault="00000000" w:rsidP="00626B2B">
      <w:pPr>
        <w:pBdr>
          <w:top w:val="nil"/>
          <w:left w:val="nil"/>
          <w:bottom w:val="nil"/>
          <w:right w:val="nil"/>
        </w:pBdr>
        <w:jc w:val="both"/>
        <w:rPr>
          <w:rFonts w:ascii="Arial" w:eastAsia="Arial" w:hAnsi="Arial" w:cs="Arial"/>
          <w:b/>
          <w:bCs/>
          <w:color w:val="000000"/>
          <w:sz w:val="22"/>
          <w:szCs w:val="22"/>
        </w:rPr>
      </w:pPr>
      <w:r w:rsidRPr="0030358C">
        <w:rPr>
          <w:rFonts w:ascii="Arial" w:eastAsia="Arial" w:hAnsi="Arial" w:cs="Arial"/>
          <w:b/>
          <w:bCs/>
          <w:color w:val="000000"/>
          <w:sz w:val="22"/>
          <w:szCs w:val="22"/>
        </w:rPr>
        <w:t>Náležitosti hlášení o plnění opatření dle §</w:t>
      </w:r>
      <w:r w:rsidRPr="0030358C">
        <w:rPr>
          <w:rFonts w:ascii="Arial" w:eastAsia="Arial" w:hAnsi="Arial" w:cs="Arial"/>
          <w:b/>
          <w:bCs/>
          <w:color w:val="000000" w:themeColor="text1"/>
          <w:sz w:val="22"/>
          <w:szCs w:val="22"/>
        </w:rPr>
        <w:t xml:space="preserve"> 9 odst. 4 zákona uvedené ve sloupci 1 až 8 odpovídají údajům </w:t>
      </w:r>
      <w:r w:rsidR="0056103F" w:rsidRPr="0030358C">
        <w:rPr>
          <w:rFonts w:ascii="Arial" w:eastAsia="Arial" w:hAnsi="Arial" w:cs="Arial"/>
          <w:b/>
          <w:bCs/>
          <w:color w:val="000000" w:themeColor="text1"/>
          <w:sz w:val="22"/>
          <w:szCs w:val="22"/>
        </w:rPr>
        <w:t xml:space="preserve">uvedeným ve schváleném </w:t>
      </w:r>
      <w:r w:rsidR="0056103F" w:rsidRPr="0030358C">
        <w:rPr>
          <w:rFonts w:ascii="Arial" w:eastAsia="Arial" w:hAnsi="Arial" w:cs="Arial"/>
          <w:b/>
          <w:bCs/>
          <w:color w:val="000000"/>
          <w:sz w:val="22"/>
          <w:szCs w:val="22"/>
        </w:rPr>
        <w:t>časovém plánu provádění opatření programu zlepšování kvality ovzduší podle § 9 odst. 5 zákona.</w:t>
      </w:r>
    </w:p>
    <w:p w14:paraId="083715C6" w14:textId="77777777" w:rsidR="00212AEA" w:rsidRPr="0030358C" w:rsidRDefault="00000000" w:rsidP="00626B2B">
      <w:pPr>
        <w:pBdr>
          <w:top w:val="nil"/>
          <w:left w:val="nil"/>
          <w:bottom w:val="nil"/>
          <w:right w:val="nil"/>
        </w:pBdr>
        <w:jc w:val="both"/>
        <w:rPr>
          <w:rFonts w:ascii="Arial" w:eastAsia="Arial" w:hAnsi="Arial" w:cs="Arial"/>
          <w:b/>
          <w:bCs/>
          <w:color w:val="000000" w:themeColor="text1"/>
          <w:sz w:val="22"/>
          <w:szCs w:val="22"/>
        </w:rPr>
      </w:pPr>
      <w:r w:rsidRPr="0030358C">
        <w:rPr>
          <w:rFonts w:ascii="Arial" w:eastAsia="Arial" w:hAnsi="Arial" w:cs="Arial"/>
          <w:b/>
          <w:bCs/>
          <w:color w:val="000000"/>
          <w:sz w:val="22"/>
          <w:szCs w:val="22"/>
        </w:rPr>
        <w:t>I</w:t>
      </w:r>
      <w:r w:rsidR="00626B2B" w:rsidRPr="0030358C">
        <w:rPr>
          <w:rFonts w:ascii="Arial" w:eastAsia="Arial" w:hAnsi="Arial" w:cs="Arial"/>
          <w:b/>
          <w:bCs/>
          <w:color w:val="000000" w:themeColor="text1"/>
          <w:sz w:val="22"/>
          <w:szCs w:val="22"/>
        </w:rPr>
        <w:t>nformace uvedené ve sloupci 9 odpovídají skutečnému stavu plnění opatření programu zlepšování kvality ovzduší</w:t>
      </w:r>
      <w:r w:rsidRPr="0030358C">
        <w:rPr>
          <w:rFonts w:ascii="Arial" w:eastAsia="Arial" w:hAnsi="Arial" w:cs="Arial"/>
          <w:b/>
          <w:bCs/>
          <w:color w:val="000000" w:themeColor="text1"/>
          <w:sz w:val="22"/>
          <w:szCs w:val="22"/>
        </w:rPr>
        <w:t xml:space="preserve"> v</w:t>
      </w:r>
      <w:r w:rsidR="00626B2B" w:rsidRPr="0030358C">
        <w:rPr>
          <w:rFonts w:ascii="Arial" w:eastAsia="Arial" w:hAnsi="Arial" w:cs="Arial"/>
          <w:b/>
          <w:bCs/>
          <w:color w:val="000000" w:themeColor="text1"/>
          <w:sz w:val="22"/>
          <w:szCs w:val="22"/>
        </w:rPr>
        <w:t xml:space="preserve"> době zpracování hlášení. </w:t>
      </w:r>
    </w:p>
    <w:p w14:paraId="444B0F04" w14:textId="77777777" w:rsidR="00212AEA" w:rsidRPr="0030358C" w:rsidRDefault="00000000" w:rsidP="00626B2B">
      <w:pPr>
        <w:pBdr>
          <w:top w:val="nil"/>
          <w:left w:val="nil"/>
          <w:bottom w:val="nil"/>
          <w:right w:val="nil"/>
        </w:pBdr>
        <w:jc w:val="both"/>
        <w:rPr>
          <w:rFonts w:ascii="Arial" w:eastAsia="Arial" w:hAnsi="Arial" w:cs="Arial"/>
          <w:b/>
          <w:bCs/>
          <w:color w:val="000000" w:themeColor="text1"/>
          <w:sz w:val="22"/>
          <w:szCs w:val="22"/>
        </w:rPr>
      </w:pPr>
      <w:r w:rsidRPr="0030358C">
        <w:rPr>
          <w:rFonts w:ascii="Arial" w:eastAsia="Arial" w:hAnsi="Arial" w:cs="Arial"/>
          <w:b/>
          <w:bCs/>
          <w:color w:val="000000" w:themeColor="text1"/>
          <w:sz w:val="22"/>
          <w:szCs w:val="22"/>
        </w:rPr>
        <w:lastRenderedPageBreak/>
        <w:t xml:space="preserve">Hlášení bude zpracováno ve strojově čitelné tabelární formě. </w:t>
      </w:r>
    </w:p>
    <w:p w14:paraId="0E8BEE3D" w14:textId="77777777" w:rsidR="00626B2B" w:rsidRPr="0030358C" w:rsidRDefault="00000000" w:rsidP="00626B2B">
      <w:pPr>
        <w:pBdr>
          <w:top w:val="nil"/>
          <w:left w:val="nil"/>
          <w:bottom w:val="nil"/>
          <w:right w:val="nil"/>
        </w:pBdr>
        <w:jc w:val="both"/>
        <w:rPr>
          <w:rFonts w:ascii="Arial" w:eastAsia="Arial" w:hAnsi="Arial" w:cs="Arial"/>
          <w:b/>
          <w:bCs/>
          <w:color w:val="000000"/>
          <w:sz w:val="22"/>
          <w:szCs w:val="22"/>
        </w:rPr>
      </w:pPr>
      <w:r w:rsidRPr="0030358C">
        <w:rPr>
          <w:rFonts w:ascii="Arial" w:eastAsia="Arial" w:hAnsi="Arial" w:cs="Arial"/>
          <w:b/>
          <w:bCs/>
          <w:color w:val="000000" w:themeColor="text1"/>
          <w:sz w:val="22"/>
          <w:szCs w:val="22"/>
        </w:rPr>
        <w:t>Počet řádk</w:t>
      </w:r>
      <w:r w:rsidR="00212AEA" w:rsidRPr="0030358C">
        <w:rPr>
          <w:rFonts w:ascii="Arial" w:eastAsia="Arial" w:hAnsi="Arial" w:cs="Arial"/>
          <w:b/>
          <w:bCs/>
          <w:color w:val="000000" w:themeColor="text1"/>
          <w:sz w:val="22"/>
          <w:szCs w:val="22"/>
        </w:rPr>
        <w:t>ů</w:t>
      </w:r>
      <w:r w:rsidRPr="0030358C">
        <w:rPr>
          <w:rFonts w:ascii="Arial" w:eastAsia="Arial" w:hAnsi="Arial" w:cs="Arial"/>
          <w:b/>
          <w:bCs/>
          <w:color w:val="000000" w:themeColor="text1"/>
          <w:sz w:val="22"/>
          <w:szCs w:val="22"/>
        </w:rPr>
        <w:t xml:space="preserve"> tabulky je ilustrativní.</w:t>
      </w:r>
    </w:p>
    <w:p w14:paraId="293F4F36" w14:textId="77777777" w:rsidR="00626B2B" w:rsidRPr="0030358C" w:rsidRDefault="00626B2B" w:rsidP="00CF583E">
      <w:pPr>
        <w:pBdr>
          <w:top w:val="nil"/>
          <w:left w:val="nil"/>
          <w:bottom w:val="nil"/>
          <w:right w:val="nil"/>
        </w:pBdr>
        <w:jc w:val="both"/>
        <w:rPr>
          <w:rFonts w:ascii="Arial" w:eastAsia="Arial" w:hAnsi="Arial" w:cs="Arial"/>
          <w:b/>
          <w:bCs/>
          <w:color w:val="000000"/>
          <w:sz w:val="22"/>
          <w:szCs w:val="22"/>
        </w:rPr>
      </w:pPr>
    </w:p>
    <w:p w14:paraId="7CCE952B" w14:textId="77777777" w:rsidR="00CF583E" w:rsidRPr="0030358C" w:rsidRDefault="00000000" w:rsidP="007E1156">
      <w:pPr>
        <w:pStyle w:val="Odstavecseseznamem"/>
        <w:numPr>
          <w:ilvl w:val="0"/>
          <w:numId w:val="72"/>
        </w:numPr>
        <w:pBdr>
          <w:top w:val="nil"/>
          <w:left w:val="nil"/>
          <w:bottom w:val="nil"/>
          <w:right w:val="nil"/>
        </w:pBdr>
        <w:jc w:val="both"/>
        <w:rPr>
          <w:rFonts w:ascii="Arial" w:hAnsi="Arial" w:cs="Arial"/>
          <w:b/>
          <w:bCs/>
        </w:rPr>
      </w:pPr>
      <w:r w:rsidRPr="0030358C">
        <w:rPr>
          <w:rFonts w:ascii="Arial" w:eastAsia="Arial" w:hAnsi="Arial" w:cs="Arial"/>
          <w:b/>
          <w:bCs/>
          <w:color w:val="000000"/>
        </w:rPr>
        <w:t>Vysvětlivky k</w:t>
      </w:r>
      <w:r w:rsidR="00212AEA" w:rsidRPr="0030358C">
        <w:rPr>
          <w:rFonts w:ascii="Arial" w:eastAsia="Arial" w:hAnsi="Arial" w:cs="Arial"/>
          <w:b/>
          <w:bCs/>
          <w:color w:val="000000"/>
        </w:rPr>
        <w:t> sloupcům v tabulkách podle bodu 1 a 2</w:t>
      </w:r>
    </w:p>
    <w:p w14:paraId="1C3D8890"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themeColor="text1"/>
          <w:sz w:val="22"/>
          <w:szCs w:val="22"/>
        </w:rPr>
        <w:t xml:space="preserve">Kód </w:t>
      </w:r>
      <w:r w:rsidR="005436A9" w:rsidRPr="0030358C">
        <w:rPr>
          <w:rFonts w:ascii="Arial" w:eastAsia="Arial" w:hAnsi="Arial" w:cs="Arial"/>
          <w:b/>
          <w:bCs/>
          <w:color w:val="000000" w:themeColor="text1"/>
          <w:sz w:val="22"/>
          <w:szCs w:val="22"/>
        </w:rPr>
        <w:t>opatření – kódové</w:t>
      </w:r>
      <w:r w:rsidRPr="0030358C">
        <w:rPr>
          <w:rFonts w:ascii="Arial" w:eastAsia="Arial" w:hAnsi="Arial" w:cs="Arial"/>
          <w:b/>
          <w:bCs/>
          <w:color w:val="000000"/>
          <w:sz w:val="22"/>
          <w:szCs w:val="22"/>
        </w:rPr>
        <w:t xml:space="preserve"> označení příslušného opatření uvedené v programu zlepšování kvality ovzduší.</w:t>
      </w:r>
    </w:p>
    <w:p w14:paraId="7FACAC30"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themeColor="text1"/>
          <w:sz w:val="22"/>
          <w:szCs w:val="22"/>
        </w:rPr>
        <w:t xml:space="preserve">Název </w:t>
      </w:r>
      <w:r w:rsidR="005436A9" w:rsidRPr="0030358C">
        <w:rPr>
          <w:rFonts w:ascii="Arial" w:eastAsia="Arial" w:hAnsi="Arial" w:cs="Arial"/>
          <w:b/>
          <w:bCs/>
          <w:color w:val="000000" w:themeColor="text1"/>
          <w:sz w:val="22"/>
          <w:szCs w:val="22"/>
        </w:rPr>
        <w:t>opatření</w:t>
      </w:r>
      <w:r w:rsidR="005436A9" w:rsidRPr="0030358C">
        <w:rPr>
          <w:rFonts w:ascii="Arial" w:eastAsia="Arial" w:hAnsi="Arial" w:cs="Arial"/>
          <w:b/>
          <w:bCs/>
          <w:color w:val="000000"/>
          <w:sz w:val="22"/>
          <w:szCs w:val="22"/>
        </w:rPr>
        <w:t xml:space="preserve"> – úplný</w:t>
      </w:r>
      <w:r w:rsidRPr="0030358C">
        <w:rPr>
          <w:rFonts w:ascii="Arial" w:eastAsia="Arial" w:hAnsi="Arial" w:cs="Arial"/>
          <w:b/>
          <w:bCs/>
          <w:color w:val="000000"/>
          <w:sz w:val="22"/>
          <w:szCs w:val="22"/>
        </w:rPr>
        <w:t xml:space="preserve"> název příslušného opatření dle programu zlepšování kvality ovzduší.</w:t>
      </w:r>
    </w:p>
    <w:p w14:paraId="1E56B044"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themeColor="text1"/>
          <w:sz w:val="22"/>
          <w:szCs w:val="22"/>
        </w:rPr>
        <w:t>Gesce</w:t>
      </w:r>
      <w:r w:rsidRPr="0030358C">
        <w:rPr>
          <w:rFonts w:ascii="Arial" w:eastAsia="Arial" w:hAnsi="Arial" w:cs="Arial"/>
          <w:b/>
          <w:bCs/>
          <w:color w:val="000000"/>
          <w:sz w:val="22"/>
          <w:szCs w:val="22"/>
        </w:rPr>
        <w:t xml:space="preserve"> – Orgán zodpovědný za plnění příslušného opatření určený v programu zlepšování kvality ovzduší.</w:t>
      </w:r>
    </w:p>
    <w:p w14:paraId="7EB4D9DF"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sz w:val="22"/>
          <w:szCs w:val="22"/>
        </w:rPr>
        <w:t>Jednotlivé aktivity (resp. úkony), které je nezbytné gestorem provést pro úspěšné splnění příslušného opatření programu zlepšování kvality ovzduší. U každého opatření programu zlepšování kvality ovzduší bude obvykle nutné vykonat gestorem více aktivit</w:t>
      </w:r>
      <w:r w:rsidR="00212AEA" w:rsidRPr="0030358C">
        <w:rPr>
          <w:rFonts w:ascii="Arial" w:eastAsia="Arial" w:hAnsi="Arial" w:cs="Arial"/>
          <w:b/>
          <w:bCs/>
          <w:color w:val="000000"/>
          <w:sz w:val="22"/>
          <w:szCs w:val="22"/>
        </w:rPr>
        <w:t xml:space="preserve">. </w:t>
      </w:r>
      <w:r w:rsidRPr="0030358C">
        <w:rPr>
          <w:rFonts w:ascii="Arial" w:eastAsia="Arial" w:hAnsi="Arial" w:cs="Arial"/>
          <w:b/>
          <w:bCs/>
          <w:color w:val="000000"/>
          <w:sz w:val="22"/>
          <w:szCs w:val="22"/>
        </w:rPr>
        <w:t xml:space="preserve"> </w:t>
      </w:r>
      <w:r w:rsidR="00212AEA" w:rsidRPr="0030358C">
        <w:rPr>
          <w:rFonts w:ascii="Arial" w:eastAsia="Arial" w:hAnsi="Arial" w:cs="Arial"/>
          <w:b/>
          <w:bCs/>
          <w:color w:val="000000"/>
          <w:sz w:val="22"/>
          <w:szCs w:val="22"/>
        </w:rPr>
        <w:t>A</w:t>
      </w:r>
      <w:r w:rsidRPr="0030358C">
        <w:rPr>
          <w:rFonts w:ascii="Arial" w:eastAsia="Arial" w:hAnsi="Arial" w:cs="Arial"/>
          <w:b/>
          <w:bCs/>
          <w:color w:val="000000"/>
          <w:sz w:val="22"/>
          <w:szCs w:val="22"/>
        </w:rPr>
        <w:t xml:space="preserve">ktivitou jsou obvykle míněny větší ucelenější úkony související s daným opatřením např. realizace obchvatu, zavedení nízkoemisní zóny, podpora výměny kotlů v domácnostech apod. Aktivity by měly být řazeny v tabulce chronologicky a měly by jít logicky za sebou tak jak </w:t>
      </w:r>
      <w:r w:rsidR="005436A9" w:rsidRPr="0030358C">
        <w:rPr>
          <w:rFonts w:ascii="Arial" w:eastAsia="Arial" w:hAnsi="Arial" w:cs="Arial"/>
          <w:b/>
          <w:bCs/>
          <w:color w:val="000000"/>
          <w:sz w:val="22"/>
          <w:szCs w:val="22"/>
        </w:rPr>
        <w:t>jsou nezbytné</w:t>
      </w:r>
      <w:r w:rsidRPr="0030358C">
        <w:rPr>
          <w:rFonts w:ascii="Arial" w:eastAsia="Arial" w:hAnsi="Arial" w:cs="Arial"/>
          <w:b/>
          <w:bCs/>
          <w:color w:val="000000"/>
          <w:sz w:val="22"/>
          <w:szCs w:val="22"/>
        </w:rPr>
        <w:t xml:space="preserve"> pro splnění příslušného opatření programu zlepšování kvality ovzduší. Každá aktivita </w:t>
      </w:r>
      <w:r w:rsidR="00CA7CD4" w:rsidRPr="0030358C">
        <w:rPr>
          <w:rFonts w:ascii="Arial" w:eastAsia="Arial" w:hAnsi="Arial" w:cs="Arial"/>
          <w:b/>
          <w:bCs/>
          <w:color w:val="000000"/>
          <w:sz w:val="22"/>
          <w:szCs w:val="22"/>
        </w:rPr>
        <w:t>musí být uveden</w:t>
      </w:r>
      <w:r w:rsidR="00BA4AA7" w:rsidRPr="0030358C">
        <w:rPr>
          <w:rFonts w:ascii="Arial" w:eastAsia="Arial" w:hAnsi="Arial" w:cs="Arial"/>
          <w:b/>
          <w:bCs/>
          <w:color w:val="000000"/>
          <w:sz w:val="22"/>
          <w:szCs w:val="22"/>
        </w:rPr>
        <w:t>a</w:t>
      </w:r>
      <w:r w:rsidRPr="0030358C">
        <w:rPr>
          <w:rFonts w:ascii="Arial" w:eastAsia="Arial" w:hAnsi="Arial" w:cs="Arial"/>
          <w:b/>
          <w:bCs/>
          <w:color w:val="000000"/>
          <w:sz w:val="22"/>
          <w:szCs w:val="22"/>
        </w:rPr>
        <w:t xml:space="preserve"> </w:t>
      </w:r>
      <w:r w:rsidR="00CA7CD4" w:rsidRPr="0030358C">
        <w:rPr>
          <w:rFonts w:ascii="Arial" w:eastAsia="Arial" w:hAnsi="Arial" w:cs="Arial"/>
          <w:b/>
          <w:bCs/>
          <w:color w:val="000000"/>
          <w:sz w:val="22"/>
          <w:szCs w:val="22"/>
        </w:rPr>
        <w:t xml:space="preserve">na </w:t>
      </w:r>
      <w:r w:rsidRPr="0030358C">
        <w:rPr>
          <w:rFonts w:ascii="Arial" w:eastAsia="Arial" w:hAnsi="Arial" w:cs="Arial"/>
          <w:b/>
          <w:bCs/>
          <w:color w:val="000000"/>
          <w:sz w:val="22"/>
          <w:szCs w:val="22"/>
        </w:rPr>
        <w:t>samostatn</w:t>
      </w:r>
      <w:r w:rsidR="00CA7CD4" w:rsidRPr="0030358C">
        <w:rPr>
          <w:rFonts w:ascii="Arial" w:eastAsia="Arial" w:hAnsi="Arial" w:cs="Arial"/>
          <w:b/>
          <w:bCs/>
          <w:color w:val="000000"/>
          <w:sz w:val="22"/>
          <w:szCs w:val="22"/>
        </w:rPr>
        <w:t>ém</w:t>
      </w:r>
      <w:r w:rsidRPr="0030358C">
        <w:rPr>
          <w:rFonts w:ascii="Arial" w:eastAsia="Arial" w:hAnsi="Arial" w:cs="Arial"/>
          <w:b/>
          <w:bCs/>
          <w:color w:val="000000"/>
          <w:sz w:val="22"/>
          <w:szCs w:val="22"/>
        </w:rPr>
        <w:t xml:space="preserve"> řádk</w:t>
      </w:r>
      <w:r w:rsidR="00CA7CD4" w:rsidRPr="0030358C">
        <w:rPr>
          <w:rFonts w:ascii="Arial" w:eastAsia="Arial" w:hAnsi="Arial" w:cs="Arial"/>
          <w:b/>
          <w:bCs/>
          <w:color w:val="000000"/>
          <w:sz w:val="22"/>
          <w:szCs w:val="22"/>
        </w:rPr>
        <w:t>u</w:t>
      </w:r>
      <w:r w:rsidRPr="0030358C">
        <w:rPr>
          <w:rFonts w:ascii="Arial" w:eastAsia="Arial" w:hAnsi="Arial" w:cs="Arial"/>
          <w:b/>
          <w:bCs/>
          <w:color w:val="000000"/>
          <w:sz w:val="22"/>
          <w:szCs w:val="22"/>
        </w:rPr>
        <w:t xml:space="preserve"> a být navázána na příslušné opatření programu zlepšování kvality ovzduší. </w:t>
      </w:r>
    </w:p>
    <w:p w14:paraId="7B17308D"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sz w:val="22"/>
          <w:szCs w:val="22"/>
        </w:rPr>
        <w:t>Dílčí procesní kroky, které musí gestor</w:t>
      </w:r>
      <w:r w:rsidR="00CA7CD4" w:rsidRPr="0030358C">
        <w:rPr>
          <w:rFonts w:ascii="Arial" w:eastAsia="Arial" w:hAnsi="Arial" w:cs="Arial"/>
          <w:b/>
          <w:bCs/>
          <w:color w:val="000000"/>
          <w:sz w:val="22"/>
          <w:szCs w:val="22"/>
        </w:rPr>
        <w:t xml:space="preserve"> nebo</w:t>
      </w:r>
      <w:r w:rsidRPr="0030358C">
        <w:rPr>
          <w:rFonts w:ascii="Arial" w:eastAsia="Arial" w:hAnsi="Arial" w:cs="Arial"/>
          <w:b/>
          <w:bCs/>
          <w:color w:val="000000"/>
          <w:sz w:val="22"/>
          <w:szCs w:val="22"/>
        </w:rPr>
        <w:t xml:space="preserve"> jím určený interní gestor vykonat k naplnění dané aktivity (může se jednat např.: sběr dat, analýzy, vyhlášení výběrového řízení, technické konzultace apod.). Každý dílčí krok </w:t>
      </w:r>
      <w:r w:rsidR="00BA4AA7" w:rsidRPr="0030358C">
        <w:rPr>
          <w:rFonts w:ascii="Arial" w:eastAsia="Arial" w:hAnsi="Arial" w:cs="Arial"/>
          <w:b/>
          <w:bCs/>
          <w:color w:val="000000"/>
          <w:sz w:val="22"/>
          <w:szCs w:val="22"/>
        </w:rPr>
        <w:t xml:space="preserve">musí </w:t>
      </w:r>
      <w:r w:rsidR="00CA7CD4" w:rsidRPr="0030358C">
        <w:rPr>
          <w:rFonts w:ascii="Arial" w:eastAsia="Arial" w:hAnsi="Arial" w:cs="Arial"/>
          <w:b/>
          <w:bCs/>
          <w:color w:val="000000"/>
          <w:sz w:val="22"/>
          <w:szCs w:val="22"/>
        </w:rPr>
        <w:t>být uveden</w:t>
      </w:r>
      <w:r w:rsidRPr="0030358C">
        <w:rPr>
          <w:rFonts w:ascii="Arial" w:eastAsia="Arial" w:hAnsi="Arial" w:cs="Arial"/>
          <w:b/>
          <w:bCs/>
          <w:color w:val="000000"/>
          <w:sz w:val="22"/>
          <w:szCs w:val="22"/>
        </w:rPr>
        <w:t xml:space="preserve"> </w:t>
      </w:r>
      <w:r w:rsidR="00BA4AA7" w:rsidRPr="0030358C">
        <w:rPr>
          <w:rFonts w:ascii="Arial" w:eastAsia="Arial" w:hAnsi="Arial" w:cs="Arial"/>
          <w:b/>
          <w:bCs/>
          <w:color w:val="000000"/>
          <w:sz w:val="22"/>
          <w:szCs w:val="22"/>
        </w:rPr>
        <w:t xml:space="preserve">na </w:t>
      </w:r>
      <w:r w:rsidRPr="0030358C">
        <w:rPr>
          <w:rFonts w:ascii="Arial" w:eastAsia="Arial" w:hAnsi="Arial" w:cs="Arial"/>
          <w:b/>
          <w:bCs/>
          <w:color w:val="000000"/>
          <w:sz w:val="22"/>
          <w:szCs w:val="22"/>
        </w:rPr>
        <w:t xml:space="preserve">samostatný řádek a být jasně navázán na příslušnou aktivitu. </w:t>
      </w:r>
    </w:p>
    <w:p w14:paraId="43AE8AD5"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sz w:val="22"/>
          <w:szCs w:val="22"/>
        </w:rPr>
        <w:t xml:space="preserve">Interní </w:t>
      </w:r>
      <w:r w:rsidR="005436A9" w:rsidRPr="0030358C">
        <w:rPr>
          <w:rFonts w:ascii="Arial" w:eastAsia="Arial" w:hAnsi="Arial" w:cs="Arial"/>
          <w:b/>
          <w:bCs/>
          <w:color w:val="000000"/>
          <w:sz w:val="22"/>
          <w:szCs w:val="22"/>
        </w:rPr>
        <w:t>gesce – Konkrétní</w:t>
      </w:r>
      <w:r w:rsidRPr="0030358C">
        <w:rPr>
          <w:rFonts w:ascii="Arial" w:eastAsia="Arial" w:hAnsi="Arial" w:cs="Arial"/>
          <w:b/>
          <w:bCs/>
          <w:color w:val="000000"/>
          <w:sz w:val="22"/>
          <w:szCs w:val="22"/>
        </w:rPr>
        <w:t xml:space="preserve"> útvar nebo funkce, spadající pod působnost gestora, kterému gestor interně přidělil plnění aktivity nebo dílčího kroku. Konkrétní jména a příjmení se neuvádí.  </w:t>
      </w:r>
    </w:p>
    <w:p w14:paraId="1A10DFBA"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themeColor="text1"/>
          <w:sz w:val="22"/>
          <w:szCs w:val="22"/>
        </w:rPr>
        <w:t xml:space="preserve">Zdroje </w:t>
      </w:r>
      <w:r w:rsidR="005436A9" w:rsidRPr="0030358C">
        <w:rPr>
          <w:rFonts w:ascii="Arial" w:eastAsia="Arial" w:hAnsi="Arial" w:cs="Arial"/>
          <w:b/>
          <w:bCs/>
          <w:color w:val="000000" w:themeColor="text1"/>
          <w:sz w:val="22"/>
          <w:szCs w:val="22"/>
        </w:rPr>
        <w:t>financování</w:t>
      </w:r>
      <w:r w:rsidR="005436A9" w:rsidRPr="0030358C">
        <w:rPr>
          <w:rFonts w:ascii="Arial" w:eastAsia="Arial" w:hAnsi="Arial" w:cs="Arial"/>
          <w:b/>
          <w:bCs/>
          <w:color w:val="000000"/>
          <w:sz w:val="22"/>
          <w:szCs w:val="22"/>
        </w:rPr>
        <w:t xml:space="preserve"> – Zdroj</w:t>
      </w:r>
      <w:r w:rsidRPr="0030358C">
        <w:rPr>
          <w:rFonts w:ascii="Arial" w:eastAsia="Arial" w:hAnsi="Arial" w:cs="Arial"/>
          <w:b/>
          <w:bCs/>
          <w:color w:val="000000"/>
          <w:sz w:val="22"/>
          <w:szCs w:val="22"/>
        </w:rPr>
        <w:t xml:space="preserve"> financování aktivity </w:t>
      </w:r>
      <w:r w:rsidR="00BA4AA7" w:rsidRPr="0030358C">
        <w:rPr>
          <w:rFonts w:ascii="Arial" w:eastAsia="Arial" w:hAnsi="Arial" w:cs="Arial"/>
          <w:b/>
          <w:bCs/>
          <w:color w:val="000000"/>
          <w:sz w:val="22"/>
          <w:szCs w:val="22"/>
        </w:rPr>
        <w:t>nebo</w:t>
      </w:r>
      <w:r w:rsidRPr="0030358C">
        <w:rPr>
          <w:rFonts w:ascii="Arial" w:eastAsia="Arial" w:hAnsi="Arial" w:cs="Arial"/>
          <w:b/>
          <w:bCs/>
          <w:color w:val="000000"/>
          <w:sz w:val="22"/>
          <w:szCs w:val="22"/>
        </w:rPr>
        <w:t xml:space="preserve"> dílčího kroku. Může se jednat o pojmenování zdrojů v dispozici gestora, dotační zdroje, o které gestor hodlá požádat poskytovatele dotace, nebo jiný zdroj financování. Pokud je známa konkrétní částka v Kč, je možné ji zde rovněž uvést. </w:t>
      </w:r>
    </w:p>
    <w:p w14:paraId="1463ADF3" w14:textId="77777777" w:rsidR="00CF583E" w:rsidRPr="0030358C" w:rsidRDefault="00000000" w:rsidP="00CF583E">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themeColor="text1"/>
          <w:sz w:val="22"/>
          <w:szCs w:val="22"/>
        </w:rPr>
        <w:t xml:space="preserve">Termín </w:t>
      </w:r>
      <w:r w:rsidR="005436A9" w:rsidRPr="0030358C">
        <w:rPr>
          <w:rFonts w:ascii="Arial" w:eastAsia="Arial" w:hAnsi="Arial" w:cs="Arial"/>
          <w:b/>
          <w:bCs/>
          <w:color w:val="000000" w:themeColor="text1"/>
          <w:sz w:val="22"/>
          <w:szCs w:val="22"/>
        </w:rPr>
        <w:t>splnění</w:t>
      </w:r>
      <w:r w:rsidR="005436A9" w:rsidRPr="0030358C">
        <w:rPr>
          <w:rFonts w:ascii="Arial" w:eastAsia="Arial" w:hAnsi="Arial" w:cs="Arial"/>
          <w:b/>
          <w:bCs/>
          <w:color w:val="000000"/>
          <w:sz w:val="22"/>
          <w:szCs w:val="22"/>
        </w:rPr>
        <w:t xml:space="preserve"> – Termín</w:t>
      </w:r>
      <w:r w:rsidRPr="0030358C">
        <w:rPr>
          <w:rFonts w:ascii="Arial" w:eastAsia="Arial" w:hAnsi="Arial" w:cs="Arial"/>
          <w:b/>
          <w:bCs/>
          <w:color w:val="000000"/>
          <w:sz w:val="22"/>
          <w:szCs w:val="22"/>
        </w:rPr>
        <w:t xml:space="preserve">, kdy do kdy má být aktivita nebo dílčí krok gestorem nebo interním gestorem splněn. Termín splnění nesmí být v rozporu s rámcovým časovým harmonogramem stanovým pro příslušné opatření v programu zlepšování kvality ovzduší (tzn. </w:t>
      </w:r>
      <w:r w:rsidR="00BA4AA7" w:rsidRPr="0030358C">
        <w:rPr>
          <w:rFonts w:ascii="Arial" w:eastAsia="Arial" w:hAnsi="Arial" w:cs="Arial"/>
          <w:b/>
          <w:bCs/>
          <w:color w:val="000000"/>
          <w:sz w:val="22"/>
          <w:szCs w:val="22"/>
        </w:rPr>
        <w:t xml:space="preserve">pro </w:t>
      </w:r>
      <w:r w:rsidRPr="0030358C">
        <w:rPr>
          <w:rFonts w:ascii="Arial" w:eastAsia="Arial" w:hAnsi="Arial" w:cs="Arial"/>
          <w:b/>
          <w:bCs/>
          <w:color w:val="000000"/>
          <w:sz w:val="22"/>
          <w:szCs w:val="22"/>
        </w:rPr>
        <w:t xml:space="preserve">jednotlivé aktivity nebo dílčí kroky, nesmí mít stanovený pozdější termín splnění než termín, který stanovuje pro příslušné opatření rámcový časový harmonogram programu zlepšování kvality ovzduší). Termín splnění může být uveden jako konkrétní datum (den, měsíc, rok), případně se může jednat o označení pouze měsíce či kvartálu daného roku. V případě aktivit a dílčích kroků, u kterých nelze oprávněně předvídat konkrétní termín splnění, </w:t>
      </w:r>
      <w:r w:rsidR="00BA4AA7" w:rsidRPr="0030358C">
        <w:rPr>
          <w:rFonts w:ascii="Arial" w:eastAsia="Arial" w:hAnsi="Arial" w:cs="Arial"/>
          <w:b/>
          <w:bCs/>
          <w:color w:val="000000"/>
          <w:sz w:val="22"/>
          <w:szCs w:val="22"/>
        </w:rPr>
        <w:t>protože</w:t>
      </w:r>
      <w:r w:rsidRPr="0030358C">
        <w:rPr>
          <w:rFonts w:ascii="Arial" w:eastAsia="Arial" w:hAnsi="Arial" w:cs="Arial"/>
          <w:b/>
          <w:bCs/>
          <w:color w:val="000000"/>
          <w:sz w:val="22"/>
          <w:szCs w:val="22"/>
        </w:rPr>
        <w:t xml:space="preserve"> </w:t>
      </w:r>
      <w:r w:rsidR="00BA4AA7" w:rsidRPr="0030358C">
        <w:rPr>
          <w:rFonts w:ascii="Arial" w:eastAsia="Arial" w:hAnsi="Arial" w:cs="Arial"/>
          <w:b/>
          <w:bCs/>
          <w:color w:val="000000"/>
          <w:sz w:val="22"/>
          <w:szCs w:val="22"/>
        </w:rPr>
        <w:t xml:space="preserve">se mají </w:t>
      </w:r>
      <w:r w:rsidRPr="0030358C">
        <w:rPr>
          <w:rFonts w:ascii="Arial" w:eastAsia="Arial" w:hAnsi="Arial" w:cs="Arial"/>
          <w:b/>
          <w:bCs/>
          <w:color w:val="000000"/>
          <w:sz w:val="22"/>
          <w:szCs w:val="22"/>
        </w:rPr>
        <w:t>plnit po celou dobu realizace opatření programu zlepšování kvality ovzduší nebo se jedná o periodicky se opakující úkony, je možné do tabulky uvést termín plnění „průběžně“.</w:t>
      </w:r>
    </w:p>
    <w:p w14:paraId="4F1512C7" w14:textId="77777777" w:rsidR="00CF583E" w:rsidRPr="0030358C" w:rsidRDefault="00000000" w:rsidP="00390E5F">
      <w:pPr>
        <w:numPr>
          <w:ilvl w:val="0"/>
          <w:numId w:val="55"/>
        </w:numPr>
        <w:pBdr>
          <w:top w:val="nil"/>
          <w:left w:val="nil"/>
          <w:bottom w:val="nil"/>
          <w:right w:val="nil"/>
        </w:pBdr>
        <w:spacing w:line="259" w:lineRule="auto"/>
        <w:jc w:val="both"/>
        <w:rPr>
          <w:rFonts w:ascii="Arial" w:hAnsi="Arial" w:cs="Arial"/>
          <w:b/>
          <w:bCs/>
          <w:sz w:val="22"/>
          <w:szCs w:val="22"/>
        </w:rPr>
      </w:pPr>
      <w:r w:rsidRPr="0030358C">
        <w:rPr>
          <w:rFonts w:ascii="Arial" w:eastAsia="Arial" w:hAnsi="Arial" w:cs="Arial"/>
          <w:b/>
          <w:bCs/>
          <w:color w:val="000000" w:themeColor="text1"/>
          <w:sz w:val="22"/>
          <w:szCs w:val="22"/>
        </w:rPr>
        <w:t xml:space="preserve">Zhodnocení </w:t>
      </w:r>
      <w:r w:rsidR="005436A9" w:rsidRPr="0030358C">
        <w:rPr>
          <w:rFonts w:ascii="Arial" w:eastAsia="Arial" w:hAnsi="Arial" w:cs="Arial"/>
          <w:b/>
          <w:bCs/>
          <w:color w:val="000000" w:themeColor="text1"/>
          <w:sz w:val="22"/>
          <w:szCs w:val="22"/>
        </w:rPr>
        <w:t>plnění</w:t>
      </w:r>
      <w:r w:rsidR="005436A9" w:rsidRPr="0030358C">
        <w:rPr>
          <w:rFonts w:ascii="Arial" w:eastAsia="Arial" w:hAnsi="Arial" w:cs="Arial"/>
          <w:b/>
          <w:bCs/>
          <w:color w:val="000000"/>
          <w:sz w:val="22"/>
          <w:szCs w:val="22"/>
        </w:rPr>
        <w:t xml:space="preserve"> – Sloupec</w:t>
      </w:r>
      <w:r w:rsidRPr="0030358C">
        <w:rPr>
          <w:rFonts w:ascii="Arial" w:eastAsia="Arial" w:hAnsi="Arial" w:cs="Arial"/>
          <w:b/>
          <w:bCs/>
          <w:color w:val="000000"/>
          <w:sz w:val="22"/>
          <w:szCs w:val="22"/>
        </w:rPr>
        <w:t xml:space="preserve"> je uveden v hlášení o plnění opatření programu zlepšování kvality ovzduší dle § 9 odst. 4 zákona. Jedná se o slovní popis</w:t>
      </w:r>
      <w:r w:rsidR="001733BA" w:rsidRPr="0030358C">
        <w:rPr>
          <w:rFonts w:ascii="Arial" w:eastAsia="Arial" w:hAnsi="Arial" w:cs="Arial"/>
          <w:b/>
          <w:bCs/>
          <w:color w:val="000000"/>
          <w:sz w:val="22"/>
          <w:szCs w:val="22"/>
        </w:rPr>
        <w:t>, případně číselné vyjádření (např. procentně),</w:t>
      </w:r>
      <w:r w:rsidRPr="0030358C">
        <w:rPr>
          <w:rFonts w:ascii="Arial" w:eastAsia="Arial" w:hAnsi="Arial" w:cs="Arial"/>
          <w:b/>
          <w:bCs/>
          <w:color w:val="000000"/>
          <w:sz w:val="22"/>
          <w:szCs w:val="22"/>
        </w:rPr>
        <w:t xml:space="preserve"> stavu plnění aktivit nebo dílčích </w:t>
      </w:r>
      <w:r w:rsidR="005436A9" w:rsidRPr="0030358C">
        <w:rPr>
          <w:rFonts w:ascii="Arial" w:eastAsia="Arial" w:hAnsi="Arial" w:cs="Arial"/>
          <w:b/>
          <w:bCs/>
          <w:color w:val="000000"/>
          <w:sz w:val="22"/>
          <w:szCs w:val="22"/>
        </w:rPr>
        <w:t>kroků v</w:t>
      </w:r>
      <w:r w:rsidRPr="0030358C">
        <w:rPr>
          <w:rFonts w:ascii="Arial" w:eastAsia="Arial" w:hAnsi="Arial" w:cs="Arial"/>
          <w:b/>
          <w:bCs/>
          <w:color w:val="000000"/>
          <w:sz w:val="22"/>
          <w:szCs w:val="22"/>
        </w:rPr>
        <w:t xml:space="preserve"> době zpracování hlášení. Pokud popis plnění uvádí, že aktivita nebo dílčí krok není splněn, přestože by podle termínu splnění, který byl uveden v časovém plánu dle § 9 odst. 5, splněn být měl, uvádí se </w:t>
      </w:r>
      <w:r w:rsidR="001733BA" w:rsidRPr="0030358C">
        <w:rPr>
          <w:rFonts w:ascii="Arial" w:eastAsia="Arial" w:hAnsi="Arial" w:cs="Arial"/>
          <w:b/>
          <w:bCs/>
          <w:color w:val="000000"/>
          <w:sz w:val="22"/>
          <w:szCs w:val="22"/>
        </w:rPr>
        <w:t xml:space="preserve">rovněž </w:t>
      </w:r>
      <w:r w:rsidRPr="0030358C">
        <w:rPr>
          <w:rFonts w:ascii="Arial" w:eastAsia="Arial" w:hAnsi="Arial" w:cs="Arial"/>
          <w:b/>
          <w:bCs/>
          <w:color w:val="000000"/>
          <w:sz w:val="22"/>
          <w:szCs w:val="22"/>
        </w:rPr>
        <w:t>nápravné řešení, které má zajistit, že realizace příslušného opatření programu zlepšování kvality ovzduší nebude ohrožena a imisního limitu nebo cíle snížení expozice bude dosaženo co nejdříve ve smyslu § 9 odst. 4 zákona.</w:t>
      </w:r>
    </w:p>
    <w:p w14:paraId="767E2B6A" w14:textId="77777777" w:rsidR="00074166" w:rsidRPr="0030358C" w:rsidRDefault="00074166" w:rsidP="00130492">
      <w:pPr>
        <w:pStyle w:val="121"/>
        <w:ind w:left="0"/>
        <w:jc w:val="right"/>
        <w:rPr>
          <w:rFonts w:ascii="Arial" w:hAnsi="Arial" w:cs="Arial"/>
          <w:b/>
          <w:bCs/>
          <w:sz w:val="22"/>
          <w:szCs w:val="22"/>
        </w:rPr>
      </w:pPr>
    </w:p>
    <w:p w14:paraId="61547A84" w14:textId="77777777" w:rsidR="00CF583E" w:rsidRPr="0030358C" w:rsidRDefault="00000000" w:rsidP="00130492">
      <w:pPr>
        <w:pStyle w:val="121"/>
        <w:ind w:left="0"/>
        <w:jc w:val="right"/>
        <w:rPr>
          <w:rFonts w:ascii="Arial" w:hAnsi="Arial" w:cs="Arial"/>
          <w:b/>
          <w:bCs/>
          <w:sz w:val="22"/>
          <w:szCs w:val="22"/>
        </w:rPr>
      </w:pPr>
      <w:bookmarkStart w:id="79" w:name="_Hlk184977555"/>
      <w:r w:rsidRPr="0030358C">
        <w:rPr>
          <w:rFonts w:ascii="Arial" w:hAnsi="Arial" w:cs="Arial"/>
          <w:b/>
          <w:bCs/>
          <w:sz w:val="22"/>
          <w:szCs w:val="22"/>
        </w:rPr>
        <w:t>Příloha č. 22 k vyhlášce č. 415/2012 Sb.</w:t>
      </w:r>
    </w:p>
    <w:p w14:paraId="00ED0149" w14:textId="77777777" w:rsidR="00074166" w:rsidRPr="0030358C" w:rsidRDefault="00074166" w:rsidP="00130492">
      <w:pPr>
        <w:pStyle w:val="121"/>
        <w:ind w:left="0"/>
        <w:jc w:val="right"/>
        <w:rPr>
          <w:rFonts w:ascii="Arial" w:hAnsi="Arial" w:cs="Arial"/>
          <w:b/>
          <w:bCs/>
          <w:sz w:val="22"/>
          <w:szCs w:val="22"/>
        </w:rPr>
      </w:pPr>
    </w:p>
    <w:p w14:paraId="1F56ED24" w14:textId="77777777" w:rsidR="00074166" w:rsidRPr="0030358C" w:rsidRDefault="00000000" w:rsidP="00074166">
      <w:pPr>
        <w:pStyle w:val="121"/>
        <w:ind w:left="0"/>
        <w:jc w:val="center"/>
        <w:rPr>
          <w:rFonts w:ascii="Arial" w:hAnsi="Arial" w:cs="Arial"/>
          <w:b/>
          <w:bCs/>
          <w:sz w:val="22"/>
          <w:szCs w:val="22"/>
        </w:rPr>
      </w:pPr>
      <w:bookmarkStart w:id="80" w:name="_Hlk181884397"/>
      <w:r w:rsidRPr="0030358C">
        <w:rPr>
          <w:rFonts w:ascii="Arial" w:hAnsi="Arial" w:cs="Arial"/>
          <w:b/>
          <w:bCs/>
          <w:sz w:val="22"/>
          <w:szCs w:val="22"/>
        </w:rPr>
        <w:t>Formát a struktura řádného a dodatečného poplatkového přiznání</w:t>
      </w:r>
    </w:p>
    <w:bookmarkEnd w:id="80"/>
    <w:p w14:paraId="64D44A94" w14:textId="77777777" w:rsidR="00074166" w:rsidRPr="0030358C" w:rsidRDefault="00074166" w:rsidP="00130492">
      <w:pPr>
        <w:pStyle w:val="121"/>
        <w:ind w:left="0"/>
        <w:jc w:val="right"/>
        <w:rPr>
          <w:rFonts w:ascii="Arial" w:hAnsi="Arial" w:cs="Arial"/>
          <w:b/>
          <w:bCs/>
          <w:sz w:val="22"/>
          <w:szCs w:val="22"/>
        </w:rPr>
      </w:pPr>
    </w:p>
    <w:p w14:paraId="3F3E0691"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 </w:t>
      </w:r>
    </w:p>
    <w:p w14:paraId="498EAEF5"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1. Obecné pokyny k vyplňování formulářů pro poplatkové přiznání: </w:t>
      </w:r>
    </w:p>
    <w:p w14:paraId="01DAD562" w14:textId="77777777" w:rsidR="00074166" w:rsidRPr="0030358C" w:rsidRDefault="00000000" w:rsidP="00A73B92">
      <w:pPr>
        <w:rPr>
          <w:rFonts w:ascii="Arial" w:hAnsi="Arial" w:cs="Arial"/>
          <w:b/>
          <w:bCs/>
          <w:sz w:val="22"/>
          <w:szCs w:val="22"/>
        </w:rPr>
      </w:pPr>
      <w:r w:rsidRPr="0030358C">
        <w:rPr>
          <w:rFonts w:ascii="Arial" w:hAnsi="Arial" w:cs="Arial"/>
          <w:b/>
          <w:bCs/>
          <w:sz w:val="22"/>
          <w:szCs w:val="22"/>
        </w:rPr>
        <w:t>a) Provozovatel zdroj</w:t>
      </w:r>
      <w:r w:rsidR="00652B32" w:rsidRPr="0030358C">
        <w:rPr>
          <w:rFonts w:ascii="Arial" w:hAnsi="Arial" w:cs="Arial"/>
          <w:b/>
          <w:bCs/>
          <w:sz w:val="22"/>
          <w:szCs w:val="22"/>
        </w:rPr>
        <w:t>e</w:t>
      </w:r>
      <w:r w:rsidR="00B64C45" w:rsidRPr="0030358C">
        <w:rPr>
          <w:rFonts w:ascii="Arial" w:hAnsi="Arial" w:cs="Arial"/>
          <w:b/>
          <w:bCs/>
          <w:sz w:val="22"/>
          <w:szCs w:val="22"/>
        </w:rPr>
        <w:t>, kter</w:t>
      </w:r>
      <w:r w:rsidR="00652B32" w:rsidRPr="0030358C">
        <w:rPr>
          <w:rFonts w:ascii="Arial" w:hAnsi="Arial" w:cs="Arial"/>
          <w:b/>
          <w:bCs/>
          <w:sz w:val="22"/>
          <w:szCs w:val="22"/>
        </w:rPr>
        <w:t>ý</w:t>
      </w:r>
      <w:r w:rsidR="00B64C45" w:rsidRPr="0030358C">
        <w:rPr>
          <w:rFonts w:ascii="Arial" w:hAnsi="Arial" w:cs="Arial"/>
          <w:b/>
          <w:bCs/>
          <w:sz w:val="22"/>
          <w:szCs w:val="22"/>
        </w:rPr>
        <w:t xml:space="preserve"> m</w:t>
      </w:r>
      <w:r w:rsidR="00652B32" w:rsidRPr="0030358C">
        <w:rPr>
          <w:rFonts w:ascii="Arial" w:hAnsi="Arial" w:cs="Arial"/>
          <w:b/>
          <w:bCs/>
          <w:sz w:val="22"/>
          <w:szCs w:val="22"/>
        </w:rPr>
        <w:t>ůže</w:t>
      </w:r>
      <w:r w:rsidR="00B64C45" w:rsidRPr="0030358C">
        <w:rPr>
          <w:rFonts w:ascii="Arial" w:hAnsi="Arial" w:cs="Arial"/>
          <w:b/>
          <w:bCs/>
          <w:sz w:val="22"/>
          <w:szCs w:val="22"/>
        </w:rPr>
        <w:t xml:space="preserve"> být provozován na více místech, a kter</w:t>
      </w:r>
      <w:r w:rsidR="00652B32" w:rsidRPr="0030358C">
        <w:rPr>
          <w:rFonts w:ascii="Arial" w:hAnsi="Arial" w:cs="Arial"/>
          <w:b/>
          <w:bCs/>
          <w:sz w:val="22"/>
          <w:szCs w:val="22"/>
        </w:rPr>
        <w:t>ý</w:t>
      </w:r>
      <w:r w:rsidR="00B64C45" w:rsidRPr="0030358C">
        <w:rPr>
          <w:rFonts w:ascii="Arial" w:hAnsi="Arial" w:cs="Arial"/>
          <w:b/>
          <w:bCs/>
          <w:sz w:val="22"/>
          <w:szCs w:val="22"/>
        </w:rPr>
        <w:t xml:space="preserve"> j</w:t>
      </w:r>
      <w:r w:rsidR="00652B32" w:rsidRPr="0030358C">
        <w:rPr>
          <w:rFonts w:ascii="Arial" w:hAnsi="Arial" w:cs="Arial"/>
          <w:b/>
          <w:bCs/>
          <w:sz w:val="22"/>
          <w:szCs w:val="22"/>
        </w:rPr>
        <w:t>e</w:t>
      </w:r>
      <w:r w:rsidRPr="0030358C">
        <w:rPr>
          <w:rFonts w:ascii="Arial" w:hAnsi="Arial" w:cs="Arial"/>
          <w:b/>
          <w:bCs/>
          <w:sz w:val="22"/>
          <w:szCs w:val="22"/>
        </w:rPr>
        <w:t xml:space="preserve"> </w:t>
      </w:r>
      <w:r w:rsidR="00B64C45" w:rsidRPr="0030358C">
        <w:rPr>
          <w:rFonts w:ascii="Arial" w:hAnsi="Arial" w:cs="Arial"/>
          <w:b/>
          <w:bCs/>
          <w:sz w:val="22"/>
          <w:szCs w:val="22"/>
        </w:rPr>
        <w:t xml:space="preserve">povolen </w:t>
      </w:r>
      <w:r w:rsidRPr="0030358C">
        <w:rPr>
          <w:rFonts w:ascii="Arial" w:hAnsi="Arial" w:cs="Arial"/>
          <w:b/>
          <w:bCs/>
          <w:sz w:val="22"/>
          <w:szCs w:val="22"/>
        </w:rPr>
        <w:t xml:space="preserve">k provozu </w:t>
      </w:r>
      <w:r w:rsidR="008F7575" w:rsidRPr="0030358C">
        <w:rPr>
          <w:rFonts w:ascii="Arial" w:hAnsi="Arial" w:cs="Arial"/>
          <w:b/>
          <w:bCs/>
          <w:sz w:val="22"/>
          <w:szCs w:val="22"/>
        </w:rPr>
        <w:t>pro celé</w:t>
      </w:r>
      <w:r w:rsidRPr="0030358C">
        <w:rPr>
          <w:rFonts w:ascii="Arial" w:hAnsi="Arial" w:cs="Arial"/>
          <w:b/>
          <w:bCs/>
          <w:sz w:val="22"/>
          <w:szCs w:val="22"/>
        </w:rPr>
        <w:t xml:space="preserve"> území kraje</w:t>
      </w:r>
      <w:r w:rsidR="00C065C5" w:rsidRPr="0030358C">
        <w:rPr>
          <w:rFonts w:ascii="Arial" w:hAnsi="Arial" w:cs="Arial"/>
          <w:b/>
          <w:bCs/>
          <w:sz w:val="22"/>
          <w:szCs w:val="22"/>
        </w:rPr>
        <w:t>,</w:t>
      </w:r>
      <w:r w:rsidRPr="0030358C">
        <w:rPr>
          <w:rFonts w:ascii="Arial" w:hAnsi="Arial" w:cs="Arial"/>
          <w:b/>
          <w:bCs/>
          <w:sz w:val="22"/>
          <w:szCs w:val="22"/>
        </w:rPr>
        <w:t xml:space="preserve"> sečte pro účely podání poplatkového přiznání veškeré emise </w:t>
      </w:r>
      <w:r w:rsidR="00652B32" w:rsidRPr="0030358C">
        <w:rPr>
          <w:rFonts w:ascii="Arial" w:hAnsi="Arial" w:cs="Arial"/>
          <w:b/>
          <w:bCs/>
          <w:sz w:val="22"/>
          <w:szCs w:val="22"/>
        </w:rPr>
        <w:t xml:space="preserve">z tohoto </w:t>
      </w:r>
      <w:r w:rsidRPr="0030358C">
        <w:rPr>
          <w:rFonts w:ascii="Arial" w:hAnsi="Arial" w:cs="Arial"/>
          <w:b/>
          <w:bCs/>
          <w:sz w:val="22"/>
          <w:szCs w:val="22"/>
        </w:rPr>
        <w:t>zdroj</w:t>
      </w:r>
      <w:r w:rsidR="00652B32" w:rsidRPr="0030358C">
        <w:rPr>
          <w:rFonts w:ascii="Arial" w:hAnsi="Arial" w:cs="Arial"/>
          <w:b/>
          <w:bCs/>
          <w:sz w:val="22"/>
          <w:szCs w:val="22"/>
        </w:rPr>
        <w:t>e</w:t>
      </w:r>
      <w:r w:rsidRPr="0030358C">
        <w:rPr>
          <w:rFonts w:ascii="Arial" w:hAnsi="Arial" w:cs="Arial"/>
          <w:b/>
          <w:bCs/>
          <w:sz w:val="22"/>
          <w:szCs w:val="22"/>
        </w:rPr>
        <w:t xml:space="preserve"> na území kraje.</w:t>
      </w:r>
    </w:p>
    <w:p w14:paraId="4338C50D" w14:textId="77777777" w:rsidR="00074166" w:rsidRPr="0030358C" w:rsidRDefault="00000000" w:rsidP="00A73B92">
      <w:pPr>
        <w:rPr>
          <w:rFonts w:ascii="Arial" w:hAnsi="Arial" w:cs="Arial"/>
          <w:b/>
          <w:bCs/>
          <w:sz w:val="22"/>
          <w:szCs w:val="22"/>
        </w:rPr>
      </w:pPr>
      <w:r w:rsidRPr="0030358C">
        <w:rPr>
          <w:rFonts w:ascii="Arial" w:hAnsi="Arial" w:cs="Arial"/>
          <w:b/>
          <w:bCs/>
          <w:sz w:val="22"/>
          <w:szCs w:val="22"/>
        </w:rPr>
        <w:t>b) Součástí poplatkového přiznání je podrobný výpočet množství emisí jednotlivých zdrojů včetně výpočtu uplatnění nevyměření poplatku podle § 15 odst. 6 zákona nebo snížení poplatku podle § 15 odst. 5 zákona. V případě uplatnění nevyměření poplatku podle § 15 odst. 6 zákona, uvede provozovatel kalendářní rok, za který je nevyměření poplatku uplatněno.</w:t>
      </w:r>
    </w:p>
    <w:p w14:paraId="73EC6341" w14:textId="77777777" w:rsidR="00074166" w:rsidRPr="0030358C" w:rsidRDefault="00074166" w:rsidP="00074166">
      <w:pPr>
        <w:rPr>
          <w:rFonts w:ascii="Arial" w:hAnsi="Arial" w:cs="Arial"/>
          <w:b/>
          <w:bCs/>
          <w:sz w:val="22"/>
          <w:szCs w:val="22"/>
        </w:rPr>
      </w:pPr>
    </w:p>
    <w:p w14:paraId="4EA8BC28"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2. Podání poplatku, identifikace provozovatele a provozovny</w:t>
      </w:r>
    </w:p>
    <w:p w14:paraId="3A473B00" w14:textId="77777777" w:rsidR="00A73B92" w:rsidRPr="0030358C" w:rsidRDefault="00A73B92" w:rsidP="00074166">
      <w:pPr>
        <w:rPr>
          <w:rFonts w:ascii="Arial" w:hAnsi="Arial" w:cs="Arial"/>
          <w:b/>
          <w:bCs/>
          <w:sz w:val="22"/>
          <w:szCs w:val="22"/>
        </w:rPr>
      </w:pPr>
    </w:p>
    <w:tbl>
      <w:tblPr>
        <w:tblW w:w="0" w:type="auto"/>
        <w:tblCellSpacing w:w="0" w:type="dxa"/>
        <w:tblLook w:val="04A0" w:firstRow="1" w:lastRow="0" w:firstColumn="1" w:lastColumn="0" w:noHBand="0" w:noVBand="1"/>
      </w:tblPr>
      <w:tblGrid>
        <w:gridCol w:w="6160"/>
        <w:gridCol w:w="468"/>
      </w:tblGrid>
      <w:tr w:rsidR="00E40657" w14:paraId="604EC6B0" w14:textId="77777777" w:rsidTr="00D60655">
        <w:trPr>
          <w:trHeight w:val="61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59AF3B20"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Typ podání</w:t>
            </w:r>
            <w:r w:rsidRPr="0030358C">
              <w:rPr>
                <w:rFonts w:ascii="Arial" w:hAnsi="Arial" w:cs="Arial"/>
                <w:b/>
                <w:bCs/>
                <w:sz w:val="22"/>
                <w:szCs w:val="22"/>
                <w:vertAlign w:val="superscript"/>
              </w:rPr>
              <w:t>1</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327C2972"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7628742A" w14:textId="77777777" w:rsidTr="00D60655">
        <w:trPr>
          <w:trHeight w:val="61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49294AB1"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xml:space="preserve"> Název správce poplatku</w:t>
            </w:r>
            <w:r w:rsidRPr="0030358C">
              <w:rPr>
                <w:rFonts w:ascii="Arial" w:hAnsi="Arial" w:cs="Arial"/>
                <w:b/>
                <w:bCs/>
                <w:sz w:val="22"/>
                <w:szCs w:val="22"/>
                <w:vertAlign w:val="superscript"/>
              </w:rPr>
              <w:t>2</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tcPr>
          <w:p w14:paraId="502352B3" w14:textId="77777777" w:rsidR="00074166" w:rsidRPr="0030358C" w:rsidRDefault="00074166" w:rsidP="00D60655">
            <w:pPr>
              <w:rPr>
                <w:rFonts w:ascii="Arial" w:hAnsi="Arial" w:cs="Arial"/>
                <w:b/>
                <w:bCs/>
                <w:sz w:val="22"/>
                <w:szCs w:val="22"/>
              </w:rPr>
            </w:pPr>
          </w:p>
        </w:tc>
      </w:tr>
      <w:tr w:rsidR="00E40657" w14:paraId="2C197661"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08FD78FB"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xml:space="preserve"> Poplatkové přiznání za rok:</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7F16E343"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5A9480E2" w14:textId="77777777" w:rsidTr="00D60655">
        <w:trPr>
          <w:trHeight w:val="61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67DF3696"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1a. Údaje o provozovateli</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793E000A"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20C7B783" w14:textId="77777777" w:rsidTr="00D60655">
        <w:trPr>
          <w:trHeight w:val="450"/>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0E2144AF"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Identifikační číslo (IČO)</w:t>
            </w:r>
            <w:r w:rsidRPr="0030358C">
              <w:rPr>
                <w:rFonts w:ascii="Arial" w:hAnsi="Arial" w:cs="Arial"/>
                <w:b/>
                <w:bCs/>
                <w:sz w:val="22"/>
                <w:szCs w:val="22"/>
                <w:vertAlign w:val="superscript"/>
              </w:rPr>
              <w:t>3</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D54943D"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21E82937" w14:textId="77777777" w:rsidTr="00D60655">
        <w:trPr>
          <w:trHeight w:val="720"/>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8D7DDC7"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Název provozovatele (obchodní firma nebo název nebo příjmení a jméno):</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7C63F62D"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279BE4A0"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6281E909"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Adresa sídla provozovatele:</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CD5F81B"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04A43C1F"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29E862C"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xml:space="preserve"> 1b. Údaje o provozovně</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368E1ABB"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4250F9DE"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BA32FFA"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Identifikační číslo provozovny (IČP)</w:t>
            </w:r>
            <w:r w:rsidRPr="0030358C">
              <w:rPr>
                <w:rFonts w:ascii="Arial" w:hAnsi="Arial" w:cs="Arial"/>
                <w:b/>
                <w:bCs/>
                <w:sz w:val="22"/>
                <w:szCs w:val="22"/>
                <w:vertAlign w:val="superscript"/>
              </w:rPr>
              <w:t>4</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E7464EF"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73C0F7F1"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378E99B5"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Územně technická jednotka (ÚTJ)</w:t>
            </w:r>
            <w:r w:rsidRPr="0030358C">
              <w:rPr>
                <w:rFonts w:ascii="Arial" w:hAnsi="Arial" w:cs="Arial"/>
                <w:b/>
                <w:bCs/>
                <w:sz w:val="22"/>
                <w:szCs w:val="22"/>
                <w:vertAlign w:val="superscript"/>
              </w:rPr>
              <w:t>5</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74AB8958"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75CADCD4"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4CF4C5DF"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Název provozovny:</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6557D673"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015E3681"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0286B62B"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Adresa zapsaná v registru územní identifikace</w:t>
            </w:r>
            <w:r w:rsidRPr="0030358C">
              <w:rPr>
                <w:rFonts w:ascii="Arial" w:hAnsi="Arial" w:cs="Arial"/>
                <w:b/>
                <w:bCs/>
                <w:sz w:val="22"/>
                <w:szCs w:val="22"/>
                <w:vertAlign w:val="superscript"/>
              </w:rPr>
              <w:t>6</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05073A8F"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2BE977BC" w14:textId="77777777" w:rsidTr="00D60655">
        <w:trPr>
          <w:trHeight w:val="375"/>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165D9FF7"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Parcela</w:t>
            </w:r>
            <w:r w:rsidRPr="0030358C">
              <w:rPr>
                <w:rFonts w:ascii="Arial" w:hAnsi="Arial" w:cs="Arial"/>
                <w:b/>
                <w:bCs/>
                <w:sz w:val="22"/>
                <w:szCs w:val="22"/>
                <w:vertAlign w:val="superscript"/>
              </w:rPr>
              <w:t>7</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0CE784A"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r w:rsidR="00E40657" w14:paraId="199ECAC4" w14:textId="77777777" w:rsidTr="00D60655">
        <w:trPr>
          <w:trHeight w:val="283"/>
          <w:tblCellSpacing w:w="0" w:type="dxa"/>
        </w:trPr>
        <w:tc>
          <w:tcPr>
            <w:tcW w:w="6160"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36A32830"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Název kraje</w:t>
            </w:r>
            <w:r w:rsidRPr="0030358C">
              <w:rPr>
                <w:rFonts w:ascii="Arial" w:hAnsi="Arial" w:cs="Arial"/>
                <w:b/>
                <w:bCs/>
                <w:sz w:val="22"/>
                <w:szCs w:val="22"/>
                <w:vertAlign w:val="superscript"/>
              </w:rPr>
              <w:t>8</w:t>
            </w:r>
            <w:r w:rsidR="00A73B92" w:rsidRPr="0030358C">
              <w:rPr>
                <w:rFonts w:ascii="Arial" w:hAnsi="Arial" w:cs="Arial"/>
                <w:b/>
                <w:bCs/>
                <w:sz w:val="22"/>
                <w:szCs w:val="22"/>
                <w:vertAlign w:val="superscript"/>
              </w:rPr>
              <w:t>)</w:t>
            </w:r>
            <w:r w:rsidRPr="0030358C">
              <w:rPr>
                <w:rFonts w:ascii="Arial" w:hAnsi="Arial" w:cs="Arial"/>
                <w:b/>
                <w:bCs/>
                <w:sz w:val="22"/>
                <w:szCs w:val="22"/>
              </w:rPr>
              <w:t>:</w:t>
            </w:r>
          </w:p>
        </w:tc>
        <w:tc>
          <w:tcPr>
            <w:tcW w:w="468"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14:paraId="2C497874"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w:t>
            </w:r>
          </w:p>
        </w:tc>
      </w:tr>
    </w:tbl>
    <w:p w14:paraId="7BD585C2" w14:textId="77777777" w:rsidR="00074166" w:rsidRPr="0030358C" w:rsidRDefault="00074166" w:rsidP="00074166">
      <w:pPr>
        <w:rPr>
          <w:rFonts w:ascii="Arial" w:hAnsi="Arial" w:cs="Arial"/>
          <w:b/>
          <w:bCs/>
          <w:sz w:val="22"/>
          <w:szCs w:val="22"/>
        </w:rPr>
      </w:pPr>
    </w:p>
    <w:p w14:paraId="49796B65"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Vysvětlivky:</w:t>
      </w:r>
    </w:p>
    <w:p w14:paraId="5219EEB6" w14:textId="77777777" w:rsidR="00A73B92" w:rsidRPr="0030358C" w:rsidRDefault="00A73B92" w:rsidP="00074166">
      <w:pPr>
        <w:rPr>
          <w:rFonts w:ascii="Arial" w:hAnsi="Arial" w:cs="Arial"/>
          <w:b/>
          <w:bCs/>
          <w:sz w:val="22"/>
          <w:szCs w:val="22"/>
        </w:rPr>
      </w:pPr>
    </w:p>
    <w:p w14:paraId="47E7A0F8"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1) Řádné poplatkové přiznání / Dodatečné poplatkové přiznání.</w:t>
      </w:r>
    </w:p>
    <w:p w14:paraId="1C1736AB"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2) Název správce poplatku podle místní příslušnosti provozovny.</w:t>
      </w:r>
    </w:p>
    <w:p w14:paraId="4198F92A" w14:textId="77777777" w:rsidR="00604595" w:rsidRPr="0030358C" w:rsidRDefault="00000000" w:rsidP="00604595">
      <w:pPr>
        <w:rPr>
          <w:rFonts w:ascii="Arial" w:hAnsi="Arial" w:cs="Arial"/>
          <w:b/>
          <w:bCs/>
          <w:sz w:val="22"/>
          <w:szCs w:val="22"/>
        </w:rPr>
      </w:pPr>
      <w:r w:rsidRPr="0030358C">
        <w:rPr>
          <w:rFonts w:ascii="Arial" w:hAnsi="Arial" w:cs="Arial"/>
          <w:b/>
          <w:bCs/>
          <w:sz w:val="22"/>
          <w:szCs w:val="22"/>
        </w:rPr>
        <w:t>3) Identifikační číslo (IČO), bylo-li přiděleno. Fyzické osoby bez IČO vyplní ID přidělené v ISPOP.</w:t>
      </w:r>
    </w:p>
    <w:p w14:paraId="249B9F32" w14:textId="77777777" w:rsidR="00604595" w:rsidRPr="0030358C" w:rsidRDefault="00000000" w:rsidP="00604595">
      <w:pPr>
        <w:rPr>
          <w:rFonts w:ascii="Arial" w:hAnsi="Arial" w:cs="Arial"/>
          <w:b/>
          <w:bCs/>
          <w:sz w:val="22"/>
          <w:szCs w:val="22"/>
        </w:rPr>
      </w:pPr>
      <w:r w:rsidRPr="0030358C">
        <w:rPr>
          <w:rFonts w:ascii="Arial" w:hAnsi="Arial" w:cs="Arial"/>
          <w:b/>
          <w:bCs/>
          <w:sz w:val="22"/>
          <w:szCs w:val="22"/>
        </w:rPr>
        <w:lastRenderedPageBreak/>
        <w:t>4) Identifikační číslo provozovny (IČP) přidělené v ISPOP – označení provozovny, ve které je provozován jeden nebo více stacionárních zdrojů nebo jeden nebo více stacionárních zdrojů s povolením provozu na území kraje.</w:t>
      </w:r>
    </w:p>
    <w:p w14:paraId="0136F9F7"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5) Územně technickou jednotkou se rozumí jednotka, která je vymezena jako katastrální území nebo jeho část. Názvy a kódy ÚTJ jsou součástí METIS, vedeného ČSÚ, který je garantem vedení číselníku územně technických jednotek.</w:t>
      </w:r>
    </w:p>
    <w:p w14:paraId="35202012"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 xml:space="preserve">6) Adresa evidovaná v Registru územní identifikace, adres a nemovitostí podle </w:t>
      </w:r>
      <w:r w:rsidR="00A73B92" w:rsidRPr="0030358C">
        <w:rPr>
          <w:rFonts w:ascii="Arial" w:hAnsi="Arial" w:cs="Arial"/>
          <w:b/>
          <w:bCs/>
          <w:sz w:val="22"/>
          <w:szCs w:val="22"/>
        </w:rPr>
        <w:t>vyhlášky č. </w:t>
      </w:r>
      <w:r w:rsidRPr="0030358C">
        <w:rPr>
          <w:rFonts w:ascii="Arial" w:hAnsi="Arial" w:cs="Arial"/>
          <w:b/>
          <w:bCs/>
          <w:sz w:val="22"/>
          <w:szCs w:val="22"/>
        </w:rPr>
        <w:t>359/2011 Sb.</w:t>
      </w:r>
      <w:r w:rsidR="00A73B92" w:rsidRPr="0030358C">
        <w:rPr>
          <w:rFonts w:ascii="Arial" w:hAnsi="Arial" w:cs="Arial"/>
          <w:b/>
          <w:bCs/>
          <w:sz w:val="22"/>
          <w:szCs w:val="22"/>
        </w:rPr>
        <w:t>,</w:t>
      </w:r>
      <w:r w:rsidRPr="0030358C">
        <w:rPr>
          <w:rFonts w:ascii="Arial" w:hAnsi="Arial" w:cs="Arial"/>
          <w:b/>
          <w:bCs/>
          <w:sz w:val="22"/>
          <w:szCs w:val="22"/>
        </w:rPr>
        <w:t xml:space="preserve"> o základním registru územní identifikace, adres a nemovitostí.</w:t>
      </w:r>
    </w:p>
    <w:p w14:paraId="2C7B13E1"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7) Parcela související s provozem zdroje/zdrojů v případě, že není k dispozici adresa evidovaná v Registru územní identifikace, adres a nemovitostí. Pokyny k výběru parcely určuje provozovatel ISPOP.</w:t>
      </w:r>
    </w:p>
    <w:p w14:paraId="08B66CB4"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 xml:space="preserve">8) </w:t>
      </w:r>
      <w:r w:rsidR="00BF29E1" w:rsidRPr="0030358C">
        <w:rPr>
          <w:rFonts w:ascii="Arial" w:hAnsi="Arial" w:cs="Arial"/>
          <w:b/>
          <w:bCs/>
          <w:sz w:val="22"/>
          <w:szCs w:val="22"/>
        </w:rPr>
        <w:t>V případě zdroj</w:t>
      </w:r>
      <w:r w:rsidR="00652B32" w:rsidRPr="0030358C">
        <w:rPr>
          <w:rFonts w:ascii="Arial" w:hAnsi="Arial" w:cs="Arial"/>
          <w:b/>
          <w:bCs/>
          <w:sz w:val="22"/>
          <w:szCs w:val="22"/>
        </w:rPr>
        <w:t>e</w:t>
      </w:r>
      <w:r w:rsidR="00BF29E1" w:rsidRPr="0030358C">
        <w:rPr>
          <w:rFonts w:ascii="Arial" w:hAnsi="Arial" w:cs="Arial"/>
          <w:b/>
          <w:bCs/>
          <w:sz w:val="22"/>
          <w:szCs w:val="22"/>
        </w:rPr>
        <w:t xml:space="preserve"> uveden</w:t>
      </w:r>
      <w:r w:rsidR="00652B32" w:rsidRPr="0030358C">
        <w:rPr>
          <w:rFonts w:ascii="Arial" w:hAnsi="Arial" w:cs="Arial"/>
          <w:b/>
          <w:bCs/>
          <w:sz w:val="22"/>
          <w:szCs w:val="22"/>
        </w:rPr>
        <w:t>ého</w:t>
      </w:r>
      <w:r w:rsidR="00BF29E1" w:rsidRPr="0030358C">
        <w:rPr>
          <w:rFonts w:ascii="Arial" w:hAnsi="Arial" w:cs="Arial"/>
          <w:b/>
          <w:bCs/>
          <w:sz w:val="22"/>
          <w:szCs w:val="22"/>
        </w:rPr>
        <w:t xml:space="preserve"> v bodě 1 písm. a), kter</w:t>
      </w:r>
      <w:r w:rsidR="00652B32" w:rsidRPr="0030358C">
        <w:rPr>
          <w:rFonts w:ascii="Arial" w:hAnsi="Arial" w:cs="Arial"/>
          <w:b/>
          <w:bCs/>
          <w:sz w:val="22"/>
          <w:szCs w:val="22"/>
        </w:rPr>
        <w:t>ý</w:t>
      </w:r>
      <w:r w:rsidR="00BF29E1" w:rsidRPr="0030358C">
        <w:rPr>
          <w:rFonts w:ascii="Arial" w:hAnsi="Arial" w:cs="Arial"/>
          <w:b/>
          <w:bCs/>
          <w:sz w:val="22"/>
          <w:szCs w:val="22"/>
        </w:rPr>
        <w:t xml:space="preserve"> m</w:t>
      </w:r>
      <w:r w:rsidR="00652B32" w:rsidRPr="0030358C">
        <w:rPr>
          <w:rFonts w:ascii="Arial" w:hAnsi="Arial" w:cs="Arial"/>
          <w:b/>
          <w:bCs/>
          <w:sz w:val="22"/>
          <w:szCs w:val="22"/>
        </w:rPr>
        <w:t>ůže</w:t>
      </w:r>
      <w:r w:rsidR="00BF29E1" w:rsidRPr="0030358C">
        <w:rPr>
          <w:rFonts w:ascii="Arial" w:hAnsi="Arial" w:cs="Arial"/>
          <w:b/>
          <w:bCs/>
          <w:sz w:val="22"/>
          <w:szCs w:val="22"/>
        </w:rPr>
        <w:t xml:space="preserve"> být provozován na více místech, a kter</w:t>
      </w:r>
      <w:r w:rsidR="00652B32" w:rsidRPr="0030358C">
        <w:rPr>
          <w:rFonts w:ascii="Arial" w:hAnsi="Arial" w:cs="Arial"/>
          <w:b/>
          <w:bCs/>
          <w:sz w:val="22"/>
          <w:szCs w:val="22"/>
        </w:rPr>
        <w:t>ý</w:t>
      </w:r>
      <w:r w:rsidR="00BF29E1" w:rsidRPr="0030358C">
        <w:rPr>
          <w:rFonts w:ascii="Arial" w:hAnsi="Arial" w:cs="Arial"/>
          <w:b/>
          <w:bCs/>
          <w:sz w:val="22"/>
          <w:szCs w:val="22"/>
        </w:rPr>
        <w:t xml:space="preserve"> j</w:t>
      </w:r>
      <w:r w:rsidR="00652B32" w:rsidRPr="0030358C">
        <w:rPr>
          <w:rFonts w:ascii="Arial" w:hAnsi="Arial" w:cs="Arial"/>
          <w:b/>
          <w:bCs/>
          <w:sz w:val="22"/>
          <w:szCs w:val="22"/>
        </w:rPr>
        <w:t>e</w:t>
      </w:r>
      <w:r w:rsidR="00BF29E1" w:rsidRPr="0030358C">
        <w:rPr>
          <w:rFonts w:ascii="Arial" w:hAnsi="Arial" w:cs="Arial"/>
          <w:b/>
          <w:bCs/>
          <w:sz w:val="22"/>
          <w:szCs w:val="22"/>
        </w:rPr>
        <w:t xml:space="preserve"> povolen k provozu pro celé území kraje,</w:t>
      </w:r>
      <w:r w:rsidR="00C065C5" w:rsidRPr="0030358C">
        <w:rPr>
          <w:rFonts w:ascii="Arial" w:hAnsi="Arial" w:cs="Arial"/>
          <w:b/>
          <w:bCs/>
          <w:sz w:val="22"/>
          <w:szCs w:val="22"/>
        </w:rPr>
        <w:t xml:space="preserve"> se</w:t>
      </w:r>
      <w:r w:rsidRPr="0030358C">
        <w:rPr>
          <w:rFonts w:ascii="Arial" w:hAnsi="Arial" w:cs="Arial"/>
          <w:b/>
          <w:bCs/>
          <w:sz w:val="22"/>
          <w:szCs w:val="22"/>
        </w:rPr>
        <w:t xml:space="preserve"> </w:t>
      </w:r>
      <w:r w:rsidR="00BF29E1" w:rsidRPr="0030358C">
        <w:rPr>
          <w:rFonts w:ascii="Arial" w:hAnsi="Arial" w:cs="Arial"/>
          <w:b/>
          <w:bCs/>
          <w:sz w:val="22"/>
          <w:szCs w:val="22"/>
        </w:rPr>
        <w:t xml:space="preserve">uvede </w:t>
      </w:r>
      <w:r w:rsidRPr="0030358C">
        <w:rPr>
          <w:rFonts w:ascii="Arial" w:hAnsi="Arial" w:cs="Arial"/>
          <w:b/>
          <w:bCs/>
          <w:sz w:val="22"/>
          <w:szCs w:val="22"/>
        </w:rPr>
        <w:t>název krajského úřadu, který vydal povolení provozu.</w:t>
      </w:r>
    </w:p>
    <w:p w14:paraId="5974FBEF" w14:textId="77777777" w:rsidR="00074166" w:rsidRPr="0030358C" w:rsidRDefault="00074166" w:rsidP="00074166">
      <w:pPr>
        <w:rPr>
          <w:rFonts w:ascii="Arial" w:hAnsi="Arial" w:cs="Arial"/>
          <w:b/>
          <w:bCs/>
          <w:sz w:val="22"/>
          <w:szCs w:val="22"/>
        </w:rPr>
      </w:pPr>
    </w:p>
    <w:p w14:paraId="77F1ED67"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2.1. Poplatek za provozovnu bez uplatnění nevyměření poplatku dle § 15 odst. 6</w:t>
      </w:r>
      <w:r w:rsidR="00340098" w:rsidRPr="0030358C">
        <w:rPr>
          <w:rFonts w:ascii="Arial" w:hAnsi="Arial" w:cs="Arial"/>
          <w:b/>
          <w:bCs/>
          <w:sz w:val="22"/>
          <w:szCs w:val="22"/>
        </w:rPr>
        <w:t xml:space="preserve"> zákona</w:t>
      </w:r>
      <w:r w:rsidR="00C96854" w:rsidRPr="0030358C">
        <w:rPr>
          <w:rFonts w:ascii="Arial" w:hAnsi="Arial" w:cs="Arial"/>
          <w:b/>
          <w:bCs/>
          <w:sz w:val="22"/>
          <w:szCs w:val="22"/>
        </w:rPr>
        <w:t xml:space="preserve"> </w:t>
      </w:r>
      <w:r w:rsidRPr="0030358C">
        <w:rPr>
          <w:rFonts w:ascii="Arial" w:hAnsi="Arial" w:cs="Arial"/>
          <w:b/>
          <w:bCs/>
          <w:sz w:val="22"/>
          <w:szCs w:val="22"/>
        </w:rPr>
        <w:t>nebo snížení poplatku dle § 15 odst. 5 zákona</w:t>
      </w:r>
    </w:p>
    <w:p w14:paraId="172D8E64" w14:textId="77777777" w:rsidR="00C065C5" w:rsidRPr="0030358C" w:rsidRDefault="00C065C5" w:rsidP="00074166">
      <w:pPr>
        <w:rPr>
          <w:rFonts w:ascii="Arial" w:hAnsi="Arial" w:cs="Arial"/>
          <w:b/>
          <w:bCs/>
          <w:sz w:val="22"/>
          <w:szCs w:val="22"/>
        </w:rPr>
      </w:pPr>
    </w:p>
    <w:tbl>
      <w:tblPr>
        <w:tblW w:w="949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3843"/>
        <w:gridCol w:w="3980"/>
      </w:tblGrid>
      <w:tr w:rsidR="00E40657" w14:paraId="283998EC" w14:textId="77777777" w:rsidTr="00D60655">
        <w:trPr>
          <w:trHeight w:val="375"/>
          <w:tblCellSpacing w:w="0" w:type="dxa"/>
        </w:trPr>
        <w:tc>
          <w:tcPr>
            <w:tcW w:w="1676" w:type="dxa"/>
            <w:tcMar>
              <w:top w:w="15" w:type="dxa"/>
              <w:left w:w="75" w:type="dxa"/>
              <w:bottom w:w="15" w:type="dxa"/>
              <w:right w:w="75" w:type="dxa"/>
            </w:tcMar>
            <w:vAlign w:val="center"/>
            <w:hideMark/>
          </w:tcPr>
          <w:p w14:paraId="49BC637A"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Emise TZL</w:t>
            </w:r>
          </w:p>
        </w:tc>
        <w:tc>
          <w:tcPr>
            <w:tcW w:w="3843" w:type="dxa"/>
            <w:tcMar>
              <w:top w:w="15" w:type="dxa"/>
              <w:left w:w="75" w:type="dxa"/>
              <w:bottom w:w="15" w:type="dxa"/>
              <w:right w:w="75" w:type="dxa"/>
            </w:tcMar>
            <w:vAlign w:val="center"/>
            <w:hideMark/>
          </w:tcPr>
          <w:p w14:paraId="5B410E4B"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3980" w:type="dxa"/>
            <w:tcMar>
              <w:top w:w="15" w:type="dxa"/>
              <w:left w:w="75" w:type="dxa"/>
              <w:bottom w:w="15" w:type="dxa"/>
              <w:right w:w="75" w:type="dxa"/>
            </w:tcMar>
            <w:vAlign w:val="center"/>
            <w:hideMark/>
          </w:tcPr>
          <w:p w14:paraId="69CE3E51"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r>
      <w:tr w:rsidR="00E40657" w14:paraId="012BF6DB" w14:textId="77777777" w:rsidTr="00D60655">
        <w:trPr>
          <w:trHeight w:val="375"/>
          <w:tblCellSpacing w:w="0" w:type="dxa"/>
        </w:trPr>
        <w:tc>
          <w:tcPr>
            <w:tcW w:w="1676" w:type="dxa"/>
            <w:tcMar>
              <w:top w:w="15" w:type="dxa"/>
              <w:left w:w="75" w:type="dxa"/>
              <w:bottom w:w="15" w:type="dxa"/>
              <w:right w:w="75" w:type="dxa"/>
            </w:tcMar>
            <w:vAlign w:val="center"/>
            <w:hideMark/>
          </w:tcPr>
          <w:p w14:paraId="44AC5400"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Emise SO</w:t>
            </w:r>
            <w:r w:rsidRPr="0030358C">
              <w:rPr>
                <w:rFonts w:ascii="Arial" w:hAnsi="Arial" w:cs="Arial"/>
                <w:b/>
                <w:bCs/>
                <w:sz w:val="22"/>
                <w:szCs w:val="22"/>
                <w:vertAlign w:val="subscript"/>
              </w:rPr>
              <w:t>2</w:t>
            </w:r>
          </w:p>
        </w:tc>
        <w:tc>
          <w:tcPr>
            <w:tcW w:w="3843" w:type="dxa"/>
            <w:tcMar>
              <w:top w:w="15" w:type="dxa"/>
              <w:left w:w="75" w:type="dxa"/>
              <w:bottom w:w="15" w:type="dxa"/>
              <w:right w:w="75" w:type="dxa"/>
            </w:tcMar>
            <w:vAlign w:val="center"/>
            <w:hideMark/>
          </w:tcPr>
          <w:p w14:paraId="221F5BAB"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3980" w:type="dxa"/>
            <w:tcMar>
              <w:top w:w="15" w:type="dxa"/>
              <w:left w:w="75" w:type="dxa"/>
              <w:bottom w:w="15" w:type="dxa"/>
              <w:right w:w="75" w:type="dxa"/>
            </w:tcMar>
            <w:vAlign w:val="center"/>
            <w:hideMark/>
          </w:tcPr>
          <w:p w14:paraId="280C7688"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r>
      <w:tr w:rsidR="00E40657" w14:paraId="223459EA" w14:textId="77777777" w:rsidTr="00D60655">
        <w:trPr>
          <w:trHeight w:val="375"/>
          <w:tblCellSpacing w:w="0" w:type="dxa"/>
        </w:trPr>
        <w:tc>
          <w:tcPr>
            <w:tcW w:w="1676" w:type="dxa"/>
            <w:tcMar>
              <w:top w:w="15" w:type="dxa"/>
              <w:left w:w="75" w:type="dxa"/>
              <w:bottom w:w="15" w:type="dxa"/>
              <w:right w:w="75" w:type="dxa"/>
            </w:tcMar>
            <w:vAlign w:val="center"/>
            <w:hideMark/>
          </w:tcPr>
          <w:p w14:paraId="0EA9F2EC"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Emise NO</w:t>
            </w:r>
            <w:r w:rsidRPr="0030358C">
              <w:rPr>
                <w:rFonts w:ascii="Arial" w:hAnsi="Arial" w:cs="Arial"/>
                <w:b/>
                <w:bCs/>
                <w:sz w:val="22"/>
                <w:szCs w:val="22"/>
                <w:vertAlign w:val="subscript"/>
              </w:rPr>
              <w:t>X</w:t>
            </w:r>
          </w:p>
        </w:tc>
        <w:tc>
          <w:tcPr>
            <w:tcW w:w="3843" w:type="dxa"/>
            <w:tcMar>
              <w:top w:w="15" w:type="dxa"/>
              <w:left w:w="75" w:type="dxa"/>
              <w:bottom w:w="15" w:type="dxa"/>
              <w:right w:w="75" w:type="dxa"/>
            </w:tcMar>
            <w:vAlign w:val="center"/>
            <w:hideMark/>
          </w:tcPr>
          <w:p w14:paraId="28D90687"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3980" w:type="dxa"/>
            <w:tcMar>
              <w:top w:w="15" w:type="dxa"/>
              <w:left w:w="75" w:type="dxa"/>
              <w:bottom w:w="15" w:type="dxa"/>
              <w:right w:w="75" w:type="dxa"/>
            </w:tcMar>
            <w:vAlign w:val="center"/>
            <w:hideMark/>
          </w:tcPr>
          <w:p w14:paraId="28DC3044"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r>
      <w:tr w:rsidR="00E40657" w14:paraId="02BA7633" w14:textId="77777777" w:rsidTr="00D60655">
        <w:trPr>
          <w:trHeight w:val="375"/>
          <w:tblCellSpacing w:w="0" w:type="dxa"/>
        </w:trPr>
        <w:tc>
          <w:tcPr>
            <w:tcW w:w="1676" w:type="dxa"/>
            <w:tcMar>
              <w:top w:w="15" w:type="dxa"/>
              <w:left w:w="75" w:type="dxa"/>
              <w:bottom w:w="15" w:type="dxa"/>
              <w:right w:w="75" w:type="dxa"/>
            </w:tcMar>
            <w:vAlign w:val="center"/>
            <w:hideMark/>
          </w:tcPr>
          <w:p w14:paraId="4D6A207D"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Emise VOC</w:t>
            </w:r>
            <w:r w:rsidRPr="0030358C">
              <w:rPr>
                <w:rFonts w:ascii="Arial" w:hAnsi="Arial" w:cs="Arial"/>
                <w:b/>
                <w:bCs/>
                <w:sz w:val="22"/>
                <w:szCs w:val="22"/>
                <w:vertAlign w:val="superscript"/>
              </w:rPr>
              <w:t>1)</w:t>
            </w:r>
          </w:p>
        </w:tc>
        <w:tc>
          <w:tcPr>
            <w:tcW w:w="3843" w:type="dxa"/>
            <w:tcMar>
              <w:top w:w="15" w:type="dxa"/>
              <w:left w:w="75" w:type="dxa"/>
              <w:bottom w:w="15" w:type="dxa"/>
              <w:right w:w="75" w:type="dxa"/>
            </w:tcMar>
            <w:vAlign w:val="center"/>
            <w:hideMark/>
          </w:tcPr>
          <w:p w14:paraId="7B6D3FA0"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3980" w:type="dxa"/>
            <w:tcMar>
              <w:top w:w="15" w:type="dxa"/>
              <w:left w:w="75" w:type="dxa"/>
              <w:bottom w:w="15" w:type="dxa"/>
              <w:right w:w="75" w:type="dxa"/>
            </w:tcMar>
            <w:vAlign w:val="center"/>
            <w:hideMark/>
          </w:tcPr>
          <w:p w14:paraId="292EC7F9"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r>
      <w:tr w:rsidR="00E40657" w14:paraId="74ACBF85" w14:textId="77777777" w:rsidTr="00D60655">
        <w:trPr>
          <w:trHeight w:val="375"/>
          <w:tblCellSpacing w:w="0" w:type="dxa"/>
        </w:trPr>
        <w:tc>
          <w:tcPr>
            <w:tcW w:w="1676" w:type="dxa"/>
            <w:tcMar>
              <w:top w:w="15" w:type="dxa"/>
              <w:left w:w="75" w:type="dxa"/>
              <w:bottom w:w="15" w:type="dxa"/>
              <w:right w:w="75" w:type="dxa"/>
            </w:tcMar>
            <w:vAlign w:val="center"/>
            <w:hideMark/>
          </w:tcPr>
          <w:p w14:paraId="465534BB"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Poplatek</w:t>
            </w:r>
          </w:p>
        </w:tc>
        <w:tc>
          <w:tcPr>
            <w:tcW w:w="7823" w:type="dxa"/>
            <w:gridSpan w:val="2"/>
            <w:tcMar>
              <w:top w:w="15" w:type="dxa"/>
              <w:left w:w="75" w:type="dxa"/>
              <w:bottom w:w="15" w:type="dxa"/>
              <w:right w:w="75" w:type="dxa"/>
            </w:tcMar>
            <w:vAlign w:val="center"/>
            <w:hideMark/>
          </w:tcPr>
          <w:p w14:paraId="4DD4B83C"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Poplatek za provozovnu po zaokrouhlení [Kč/rok]</w:t>
            </w:r>
          </w:p>
        </w:tc>
      </w:tr>
    </w:tbl>
    <w:p w14:paraId="223C3679"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 </w:t>
      </w:r>
    </w:p>
    <w:p w14:paraId="7B027BD2" w14:textId="77777777" w:rsidR="005436A9" w:rsidRPr="0030358C" w:rsidRDefault="00000000" w:rsidP="005436A9">
      <w:pPr>
        <w:rPr>
          <w:rFonts w:ascii="Arial" w:hAnsi="Arial" w:cs="Arial"/>
          <w:b/>
          <w:bCs/>
          <w:sz w:val="22"/>
          <w:szCs w:val="22"/>
        </w:rPr>
      </w:pPr>
      <w:r w:rsidRPr="0030358C">
        <w:rPr>
          <w:rFonts w:ascii="Arial" w:hAnsi="Arial" w:cs="Arial"/>
          <w:b/>
          <w:bCs/>
          <w:sz w:val="22"/>
          <w:szCs w:val="22"/>
        </w:rPr>
        <w:t>Vysvětlivky:</w:t>
      </w:r>
    </w:p>
    <w:p w14:paraId="29552C83" w14:textId="77777777" w:rsidR="00937FF4" w:rsidRPr="0030358C" w:rsidRDefault="00000000" w:rsidP="005436A9">
      <w:pPr>
        <w:rPr>
          <w:rFonts w:ascii="Arial" w:hAnsi="Arial" w:cs="Arial"/>
          <w:b/>
          <w:bCs/>
          <w:sz w:val="22"/>
          <w:szCs w:val="22"/>
        </w:rPr>
      </w:pPr>
      <w:r w:rsidRPr="0030358C">
        <w:rPr>
          <w:rFonts w:ascii="Arial" w:hAnsi="Arial" w:cs="Arial"/>
          <w:b/>
          <w:bCs/>
          <w:sz w:val="22"/>
          <w:szCs w:val="22"/>
        </w:rPr>
        <w:t>1) V případě emisí VOC, stanovených jako hmotnostní koncentrace těkavých organických látek vyjádřených jako celkový organický uhlík (TOC), se pro účely zpoplatnění provede přepočet TOC na VOC způsobem určeným vyhláškou.</w:t>
      </w:r>
    </w:p>
    <w:p w14:paraId="439975EE" w14:textId="77777777" w:rsidR="00074166" w:rsidRPr="0030358C" w:rsidRDefault="00000000" w:rsidP="005436A9">
      <w:pPr>
        <w:rPr>
          <w:rFonts w:ascii="Arial" w:hAnsi="Arial" w:cs="Arial"/>
          <w:b/>
          <w:bCs/>
          <w:sz w:val="22"/>
          <w:szCs w:val="22"/>
        </w:rPr>
      </w:pPr>
      <w:r w:rsidRPr="0030358C">
        <w:rPr>
          <w:rFonts w:ascii="Arial" w:hAnsi="Arial" w:cs="Arial"/>
          <w:b/>
          <w:bCs/>
          <w:sz w:val="22"/>
          <w:szCs w:val="22"/>
        </w:rPr>
        <w:t> </w:t>
      </w:r>
    </w:p>
    <w:p w14:paraId="714E0B37"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2.2. Poplatek za provozovnu s uplatněním nevyměření poplatku dle § 15 odst. 6</w:t>
      </w:r>
      <w:r w:rsidR="00340098" w:rsidRPr="0030358C">
        <w:rPr>
          <w:rFonts w:ascii="Arial" w:hAnsi="Arial" w:cs="Arial"/>
          <w:b/>
          <w:bCs/>
          <w:sz w:val="22"/>
          <w:szCs w:val="22"/>
        </w:rPr>
        <w:t xml:space="preserve"> zákona</w:t>
      </w:r>
      <w:r w:rsidR="00C96854" w:rsidRPr="0030358C">
        <w:rPr>
          <w:rFonts w:ascii="Arial" w:hAnsi="Arial" w:cs="Arial"/>
          <w:b/>
          <w:bCs/>
          <w:sz w:val="22"/>
          <w:szCs w:val="22"/>
        </w:rPr>
        <w:t xml:space="preserve"> </w:t>
      </w:r>
      <w:r w:rsidR="00533C02" w:rsidRPr="0030358C">
        <w:rPr>
          <w:rFonts w:ascii="Arial" w:hAnsi="Arial" w:cs="Arial"/>
          <w:b/>
          <w:bCs/>
          <w:sz w:val="22"/>
          <w:szCs w:val="22"/>
        </w:rPr>
        <w:t>a/</w:t>
      </w:r>
      <w:r w:rsidRPr="0030358C">
        <w:rPr>
          <w:rFonts w:ascii="Arial" w:hAnsi="Arial" w:cs="Arial"/>
          <w:b/>
          <w:bCs/>
          <w:sz w:val="22"/>
          <w:szCs w:val="22"/>
        </w:rPr>
        <w:t>nebo snížení poplatku dle § 15 odst. 5 zákona</w:t>
      </w:r>
    </w:p>
    <w:tbl>
      <w:tblPr>
        <w:tblW w:w="97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858"/>
        <w:gridCol w:w="2122"/>
        <w:gridCol w:w="2414"/>
        <w:gridCol w:w="1701"/>
      </w:tblGrid>
      <w:tr w:rsidR="00E40657" w14:paraId="3FCC2035" w14:textId="77777777" w:rsidTr="00D60655">
        <w:trPr>
          <w:trHeight w:val="375"/>
          <w:tblCellSpacing w:w="0" w:type="dxa"/>
        </w:trPr>
        <w:tc>
          <w:tcPr>
            <w:tcW w:w="1676" w:type="dxa"/>
            <w:tcMar>
              <w:top w:w="15" w:type="dxa"/>
              <w:left w:w="75" w:type="dxa"/>
              <w:bottom w:w="15" w:type="dxa"/>
              <w:right w:w="75" w:type="dxa"/>
            </w:tcMar>
            <w:vAlign w:val="center"/>
            <w:hideMark/>
          </w:tcPr>
          <w:p w14:paraId="5A11426D"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 Emise TZL</w:t>
            </w:r>
          </w:p>
        </w:tc>
        <w:tc>
          <w:tcPr>
            <w:tcW w:w="1858" w:type="dxa"/>
            <w:tcMar>
              <w:top w:w="15" w:type="dxa"/>
              <w:left w:w="75" w:type="dxa"/>
              <w:bottom w:w="15" w:type="dxa"/>
              <w:right w:w="75" w:type="dxa"/>
            </w:tcMar>
            <w:vAlign w:val="center"/>
            <w:hideMark/>
          </w:tcPr>
          <w:p w14:paraId="632E3CC4"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2122" w:type="dxa"/>
            <w:vAlign w:val="center"/>
          </w:tcPr>
          <w:p w14:paraId="7FDE1DFD"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c>
          <w:tcPr>
            <w:tcW w:w="2414" w:type="dxa"/>
            <w:vAlign w:val="center"/>
          </w:tcPr>
          <w:p w14:paraId="07317D9B"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Uplatnění nevyměření poplatku a/nebo snížení poplatku</w:t>
            </w:r>
            <w:r w:rsidRPr="0030358C">
              <w:rPr>
                <w:rFonts w:ascii="Arial" w:hAnsi="Arial" w:cs="Arial"/>
                <w:b/>
                <w:bCs/>
                <w:sz w:val="22"/>
                <w:szCs w:val="22"/>
                <w:vertAlign w:val="superscript"/>
              </w:rPr>
              <w:t>1)</w:t>
            </w:r>
          </w:p>
        </w:tc>
        <w:tc>
          <w:tcPr>
            <w:tcW w:w="1701" w:type="dxa"/>
            <w:tcMar>
              <w:top w:w="15" w:type="dxa"/>
              <w:left w:w="75" w:type="dxa"/>
              <w:bottom w:w="15" w:type="dxa"/>
              <w:right w:w="75" w:type="dxa"/>
            </w:tcMar>
            <w:vAlign w:val="center"/>
            <w:hideMark/>
          </w:tcPr>
          <w:p w14:paraId="10AC5F2E"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snížený poplatek za provozovnu [Kč/rok]</w:t>
            </w:r>
          </w:p>
        </w:tc>
      </w:tr>
      <w:tr w:rsidR="00E40657" w14:paraId="5336FA48" w14:textId="77777777" w:rsidTr="00D60655">
        <w:trPr>
          <w:trHeight w:val="375"/>
          <w:tblCellSpacing w:w="0" w:type="dxa"/>
        </w:trPr>
        <w:tc>
          <w:tcPr>
            <w:tcW w:w="1676" w:type="dxa"/>
            <w:tcMar>
              <w:top w:w="15" w:type="dxa"/>
              <w:left w:w="75" w:type="dxa"/>
              <w:bottom w:w="15" w:type="dxa"/>
              <w:right w:w="75" w:type="dxa"/>
            </w:tcMar>
            <w:vAlign w:val="center"/>
            <w:hideMark/>
          </w:tcPr>
          <w:p w14:paraId="14FC6973"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Emise SO</w:t>
            </w:r>
            <w:r w:rsidRPr="0030358C">
              <w:rPr>
                <w:rFonts w:ascii="Arial" w:hAnsi="Arial" w:cs="Arial"/>
                <w:b/>
                <w:bCs/>
                <w:sz w:val="22"/>
                <w:szCs w:val="22"/>
                <w:vertAlign w:val="subscript"/>
              </w:rPr>
              <w:t>2</w:t>
            </w:r>
          </w:p>
        </w:tc>
        <w:tc>
          <w:tcPr>
            <w:tcW w:w="1858" w:type="dxa"/>
            <w:tcMar>
              <w:top w:w="15" w:type="dxa"/>
              <w:left w:w="75" w:type="dxa"/>
              <w:bottom w:w="15" w:type="dxa"/>
              <w:right w:w="75" w:type="dxa"/>
            </w:tcMar>
            <w:vAlign w:val="center"/>
            <w:hideMark/>
          </w:tcPr>
          <w:p w14:paraId="32660C3D"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2122" w:type="dxa"/>
            <w:vAlign w:val="center"/>
          </w:tcPr>
          <w:p w14:paraId="0FF04120"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c>
          <w:tcPr>
            <w:tcW w:w="2414" w:type="dxa"/>
            <w:vAlign w:val="center"/>
          </w:tcPr>
          <w:p w14:paraId="0EFF2E9D"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Uplatnění nevyměření poplatku a/nebo snížení poplatku</w:t>
            </w:r>
            <w:r w:rsidRPr="0030358C">
              <w:rPr>
                <w:rFonts w:ascii="Arial" w:hAnsi="Arial" w:cs="Arial"/>
                <w:b/>
                <w:bCs/>
                <w:sz w:val="22"/>
                <w:szCs w:val="22"/>
                <w:vertAlign w:val="superscript"/>
              </w:rPr>
              <w:t>1)</w:t>
            </w:r>
          </w:p>
        </w:tc>
        <w:tc>
          <w:tcPr>
            <w:tcW w:w="1701" w:type="dxa"/>
            <w:tcMar>
              <w:top w:w="15" w:type="dxa"/>
              <w:left w:w="75" w:type="dxa"/>
              <w:bottom w:w="15" w:type="dxa"/>
              <w:right w:w="75" w:type="dxa"/>
            </w:tcMar>
            <w:vAlign w:val="center"/>
            <w:hideMark/>
          </w:tcPr>
          <w:p w14:paraId="6EABE32C"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snížený poplatek za provozovnu [Kč/rok]</w:t>
            </w:r>
          </w:p>
        </w:tc>
      </w:tr>
      <w:tr w:rsidR="00E40657" w14:paraId="0F75B953" w14:textId="77777777" w:rsidTr="00D60655">
        <w:trPr>
          <w:trHeight w:val="375"/>
          <w:tblCellSpacing w:w="0" w:type="dxa"/>
        </w:trPr>
        <w:tc>
          <w:tcPr>
            <w:tcW w:w="1676" w:type="dxa"/>
            <w:tcMar>
              <w:top w:w="15" w:type="dxa"/>
              <w:left w:w="75" w:type="dxa"/>
              <w:bottom w:w="15" w:type="dxa"/>
              <w:right w:w="75" w:type="dxa"/>
            </w:tcMar>
            <w:vAlign w:val="center"/>
            <w:hideMark/>
          </w:tcPr>
          <w:p w14:paraId="7F2C7A30"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Emise NO</w:t>
            </w:r>
            <w:r w:rsidRPr="0030358C">
              <w:rPr>
                <w:rFonts w:ascii="Arial" w:hAnsi="Arial" w:cs="Arial"/>
                <w:b/>
                <w:bCs/>
                <w:sz w:val="22"/>
                <w:szCs w:val="22"/>
                <w:vertAlign w:val="subscript"/>
              </w:rPr>
              <w:t>X</w:t>
            </w:r>
          </w:p>
        </w:tc>
        <w:tc>
          <w:tcPr>
            <w:tcW w:w="1858" w:type="dxa"/>
            <w:tcMar>
              <w:top w:w="15" w:type="dxa"/>
              <w:left w:w="75" w:type="dxa"/>
              <w:bottom w:w="15" w:type="dxa"/>
              <w:right w:w="75" w:type="dxa"/>
            </w:tcMar>
            <w:vAlign w:val="center"/>
            <w:hideMark/>
          </w:tcPr>
          <w:p w14:paraId="68588210"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2122" w:type="dxa"/>
            <w:vAlign w:val="center"/>
          </w:tcPr>
          <w:p w14:paraId="26829F1E"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c>
          <w:tcPr>
            <w:tcW w:w="2414" w:type="dxa"/>
            <w:vAlign w:val="center"/>
          </w:tcPr>
          <w:p w14:paraId="7C1F0CAC"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Uplatnění nevyměření poplatku a/nebo snížení poplatku</w:t>
            </w:r>
            <w:r w:rsidRPr="0030358C">
              <w:rPr>
                <w:rFonts w:ascii="Arial" w:hAnsi="Arial" w:cs="Arial"/>
                <w:b/>
                <w:bCs/>
                <w:sz w:val="22"/>
                <w:szCs w:val="22"/>
                <w:vertAlign w:val="superscript"/>
              </w:rPr>
              <w:t>1)</w:t>
            </w:r>
          </w:p>
        </w:tc>
        <w:tc>
          <w:tcPr>
            <w:tcW w:w="1701" w:type="dxa"/>
            <w:tcMar>
              <w:top w:w="15" w:type="dxa"/>
              <w:left w:w="75" w:type="dxa"/>
              <w:bottom w:w="15" w:type="dxa"/>
              <w:right w:w="75" w:type="dxa"/>
            </w:tcMar>
            <w:vAlign w:val="center"/>
            <w:hideMark/>
          </w:tcPr>
          <w:p w14:paraId="4E362D53"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snížený poplatek za provozovnu [Kč/rok]</w:t>
            </w:r>
          </w:p>
        </w:tc>
      </w:tr>
      <w:tr w:rsidR="00E40657" w14:paraId="1EDC0115" w14:textId="77777777" w:rsidTr="00D60655">
        <w:trPr>
          <w:trHeight w:val="375"/>
          <w:tblCellSpacing w:w="0" w:type="dxa"/>
        </w:trPr>
        <w:tc>
          <w:tcPr>
            <w:tcW w:w="1676" w:type="dxa"/>
            <w:tcMar>
              <w:top w:w="15" w:type="dxa"/>
              <w:left w:w="75" w:type="dxa"/>
              <w:bottom w:w="15" w:type="dxa"/>
              <w:right w:w="75" w:type="dxa"/>
            </w:tcMar>
            <w:vAlign w:val="center"/>
            <w:hideMark/>
          </w:tcPr>
          <w:p w14:paraId="32535568"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lastRenderedPageBreak/>
              <w:t>Emise VOC</w:t>
            </w:r>
            <w:r w:rsidRPr="0030358C">
              <w:rPr>
                <w:rFonts w:ascii="Arial" w:hAnsi="Arial" w:cs="Arial"/>
                <w:b/>
                <w:bCs/>
                <w:sz w:val="22"/>
                <w:szCs w:val="22"/>
                <w:vertAlign w:val="superscript"/>
              </w:rPr>
              <w:t>2)</w:t>
            </w:r>
          </w:p>
        </w:tc>
        <w:tc>
          <w:tcPr>
            <w:tcW w:w="1858" w:type="dxa"/>
            <w:tcMar>
              <w:top w:w="15" w:type="dxa"/>
              <w:left w:w="75" w:type="dxa"/>
              <w:bottom w:w="15" w:type="dxa"/>
              <w:right w:w="75" w:type="dxa"/>
            </w:tcMar>
            <w:vAlign w:val="center"/>
            <w:hideMark/>
          </w:tcPr>
          <w:p w14:paraId="42004FB9"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Součet emisí celé provozovny [t/rok]</w:t>
            </w:r>
          </w:p>
        </w:tc>
        <w:tc>
          <w:tcPr>
            <w:tcW w:w="2122" w:type="dxa"/>
            <w:vAlign w:val="center"/>
          </w:tcPr>
          <w:p w14:paraId="20FF36FD"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poplatek za provozovnu [Kč/rok]</w:t>
            </w:r>
          </w:p>
        </w:tc>
        <w:tc>
          <w:tcPr>
            <w:tcW w:w="2414" w:type="dxa"/>
            <w:vAlign w:val="center"/>
          </w:tcPr>
          <w:p w14:paraId="79ED4606"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Uplatnění nevyměření poplatku a/nebo snížení poplatku</w:t>
            </w:r>
            <w:r w:rsidRPr="0030358C">
              <w:rPr>
                <w:rFonts w:ascii="Arial" w:hAnsi="Arial" w:cs="Arial"/>
                <w:b/>
                <w:bCs/>
                <w:sz w:val="22"/>
                <w:szCs w:val="22"/>
                <w:vertAlign w:val="superscript"/>
              </w:rPr>
              <w:t>1)</w:t>
            </w:r>
          </w:p>
        </w:tc>
        <w:tc>
          <w:tcPr>
            <w:tcW w:w="1701" w:type="dxa"/>
            <w:tcMar>
              <w:top w:w="15" w:type="dxa"/>
              <w:left w:w="75" w:type="dxa"/>
              <w:bottom w:w="15" w:type="dxa"/>
              <w:right w:w="75" w:type="dxa"/>
            </w:tcMar>
            <w:vAlign w:val="center"/>
            <w:hideMark/>
          </w:tcPr>
          <w:p w14:paraId="1EA44446"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Celkový snížený poplatek za provozovnu [Kč/rok]</w:t>
            </w:r>
          </w:p>
        </w:tc>
      </w:tr>
      <w:tr w:rsidR="00E40657" w14:paraId="1E9BC073" w14:textId="77777777" w:rsidTr="00D60655">
        <w:trPr>
          <w:trHeight w:val="375"/>
          <w:tblCellSpacing w:w="0" w:type="dxa"/>
        </w:trPr>
        <w:tc>
          <w:tcPr>
            <w:tcW w:w="1676" w:type="dxa"/>
            <w:tcBorders>
              <w:top w:val="single" w:sz="4" w:space="0" w:color="auto"/>
              <w:left w:val="nil"/>
              <w:bottom w:val="single" w:sz="4" w:space="0" w:color="auto"/>
              <w:right w:val="single" w:sz="4" w:space="0" w:color="auto"/>
            </w:tcBorders>
            <w:tcMar>
              <w:top w:w="15" w:type="dxa"/>
              <w:left w:w="75" w:type="dxa"/>
              <w:bottom w:w="15" w:type="dxa"/>
              <w:right w:w="75" w:type="dxa"/>
            </w:tcMar>
            <w:vAlign w:val="center"/>
            <w:hideMark/>
          </w:tcPr>
          <w:p w14:paraId="79223953" w14:textId="77777777" w:rsidR="00074166" w:rsidRPr="0030358C" w:rsidRDefault="00000000" w:rsidP="00D60655">
            <w:pPr>
              <w:rPr>
                <w:rFonts w:ascii="Arial" w:hAnsi="Arial" w:cs="Arial"/>
                <w:b/>
                <w:bCs/>
                <w:sz w:val="22"/>
                <w:szCs w:val="22"/>
              </w:rPr>
            </w:pPr>
            <w:r w:rsidRPr="0030358C">
              <w:rPr>
                <w:rFonts w:ascii="Arial" w:hAnsi="Arial" w:cs="Arial"/>
                <w:b/>
                <w:bCs/>
                <w:sz w:val="22"/>
                <w:szCs w:val="22"/>
              </w:rPr>
              <w:t>Poplatek</w:t>
            </w:r>
          </w:p>
        </w:tc>
        <w:tc>
          <w:tcPr>
            <w:tcW w:w="8095" w:type="dxa"/>
            <w:gridSpan w:val="4"/>
            <w:tcBorders>
              <w:top w:val="single" w:sz="4" w:space="0" w:color="auto"/>
              <w:left w:val="single" w:sz="4" w:space="0" w:color="auto"/>
              <w:bottom w:val="single" w:sz="4" w:space="0" w:color="auto"/>
              <w:right w:val="nil"/>
            </w:tcBorders>
            <w:vAlign w:val="center"/>
          </w:tcPr>
          <w:p w14:paraId="30FE15EC" w14:textId="77777777" w:rsidR="00074166" w:rsidRPr="0030358C" w:rsidRDefault="00000000" w:rsidP="00D60655">
            <w:pPr>
              <w:jc w:val="center"/>
              <w:rPr>
                <w:rFonts w:ascii="Arial" w:hAnsi="Arial" w:cs="Arial"/>
                <w:b/>
                <w:bCs/>
                <w:sz w:val="22"/>
                <w:szCs w:val="22"/>
              </w:rPr>
            </w:pPr>
            <w:r w:rsidRPr="0030358C">
              <w:rPr>
                <w:rFonts w:ascii="Arial" w:hAnsi="Arial" w:cs="Arial"/>
                <w:b/>
                <w:bCs/>
                <w:sz w:val="22"/>
                <w:szCs w:val="22"/>
              </w:rPr>
              <w:t>Poplatek za provozovnu po uplatnění nevyměření poplatku dle § 15 odst. 6 a/nebo snížení poplatku dle § 15 odst. 5 zákona a po zaokrouhlení [Kč/rok]</w:t>
            </w:r>
          </w:p>
        </w:tc>
      </w:tr>
    </w:tbl>
    <w:p w14:paraId="5832BAB7" w14:textId="77777777" w:rsidR="00074166" w:rsidRPr="0030358C" w:rsidRDefault="00074166" w:rsidP="00074166">
      <w:pPr>
        <w:rPr>
          <w:rFonts w:ascii="Arial" w:hAnsi="Arial" w:cs="Arial"/>
          <w:b/>
          <w:bCs/>
          <w:sz w:val="22"/>
          <w:szCs w:val="22"/>
        </w:rPr>
      </w:pPr>
    </w:p>
    <w:p w14:paraId="2D31EE80" w14:textId="77777777" w:rsidR="00074166" w:rsidRPr="0030358C" w:rsidRDefault="00000000" w:rsidP="00074166">
      <w:pPr>
        <w:rPr>
          <w:rFonts w:ascii="Arial" w:hAnsi="Arial" w:cs="Arial"/>
          <w:b/>
          <w:bCs/>
          <w:sz w:val="22"/>
          <w:szCs w:val="22"/>
        </w:rPr>
      </w:pPr>
      <w:r w:rsidRPr="0030358C">
        <w:rPr>
          <w:rFonts w:ascii="Arial" w:hAnsi="Arial" w:cs="Arial"/>
          <w:b/>
          <w:bCs/>
          <w:sz w:val="22"/>
          <w:szCs w:val="22"/>
        </w:rPr>
        <w:t>Vysvětlivky:</w:t>
      </w:r>
    </w:p>
    <w:bookmarkEnd w:id="79"/>
    <w:p w14:paraId="6F976D2E" w14:textId="77777777" w:rsidR="005436A9" w:rsidRPr="0030358C" w:rsidRDefault="00000000" w:rsidP="005436A9">
      <w:pPr>
        <w:pStyle w:val="121"/>
        <w:ind w:left="0"/>
        <w:rPr>
          <w:rFonts w:ascii="Arial" w:hAnsi="Arial" w:cs="Arial"/>
          <w:b/>
          <w:bCs/>
          <w:sz w:val="22"/>
          <w:szCs w:val="22"/>
        </w:rPr>
      </w:pPr>
      <w:r w:rsidRPr="0030358C">
        <w:rPr>
          <w:rFonts w:ascii="Arial" w:hAnsi="Arial" w:cs="Arial"/>
          <w:b/>
          <w:bCs/>
          <w:sz w:val="22"/>
          <w:szCs w:val="22"/>
        </w:rPr>
        <w:t>1) Označí se, pokud bylo pro jeden nebo více zdrojů uplatněno nevyměření poplatku dle § 15 odst. 6 zákona nebo snížení poplatku dle § 15 odst. 5 zákona.</w:t>
      </w:r>
    </w:p>
    <w:p w14:paraId="1F445EE5" w14:textId="77777777" w:rsidR="005436A9" w:rsidRPr="0030358C" w:rsidRDefault="005436A9" w:rsidP="005436A9">
      <w:pPr>
        <w:pStyle w:val="121"/>
        <w:ind w:left="0"/>
        <w:rPr>
          <w:rFonts w:ascii="Arial" w:hAnsi="Arial" w:cs="Arial"/>
          <w:b/>
          <w:bCs/>
          <w:sz w:val="22"/>
          <w:szCs w:val="22"/>
        </w:rPr>
      </w:pPr>
    </w:p>
    <w:p w14:paraId="1CF9414C" w14:textId="77777777" w:rsidR="005436A9" w:rsidRPr="0030358C" w:rsidRDefault="00000000" w:rsidP="005436A9">
      <w:pPr>
        <w:pStyle w:val="121"/>
        <w:ind w:left="0"/>
        <w:rPr>
          <w:rFonts w:ascii="Arial" w:hAnsi="Arial" w:cs="Arial"/>
          <w:b/>
          <w:bCs/>
          <w:sz w:val="22"/>
          <w:szCs w:val="22"/>
        </w:rPr>
      </w:pPr>
      <w:r w:rsidRPr="0030358C">
        <w:rPr>
          <w:rFonts w:ascii="Arial" w:hAnsi="Arial" w:cs="Arial"/>
          <w:b/>
          <w:bCs/>
          <w:sz w:val="22"/>
          <w:szCs w:val="22"/>
        </w:rPr>
        <w:t>2) V případě emisí VOC, stanovených jako hmotnostní koncentrace těkavých organických látek vyjádřených jako celkový organický uhlík (TOC), se pro účely zpoplatnění provede přepočet TOC na VOC způsobem určeným vyhláškou.</w:t>
      </w:r>
    </w:p>
    <w:p w14:paraId="214ACCBD" w14:textId="77777777" w:rsidR="00937FF4" w:rsidRPr="0030358C" w:rsidRDefault="00937FF4" w:rsidP="005436A9">
      <w:pPr>
        <w:pStyle w:val="121"/>
        <w:ind w:left="0"/>
        <w:rPr>
          <w:rFonts w:ascii="Arial" w:hAnsi="Arial" w:cs="Arial"/>
          <w:b/>
          <w:bCs/>
          <w:sz w:val="22"/>
          <w:szCs w:val="22"/>
        </w:rPr>
      </w:pPr>
    </w:p>
    <w:p w14:paraId="4D9D371E" w14:textId="77777777" w:rsidR="00074166" w:rsidRPr="0030358C" w:rsidRDefault="00000000" w:rsidP="00074166">
      <w:pPr>
        <w:pStyle w:val="121"/>
        <w:ind w:left="0"/>
        <w:jc w:val="right"/>
        <w:rPr>
          <w:rFonts w:ascii="Arial" w:hAnsi="Arial" w:cs="Arial"/>
          <w:b/>
          <w:bCs/>
          <w:sz w:val="22"/>
          <w:szCs w:val="22"/>
        </w:rPr>
      </w:pPr>
      <w:r w:rsidRPr="0030358C">
        <w:rPr>
          <w:rFonts w:ascii="Arial" w:hAnsi="Arial" w:cs="Arial"/>
          <w:b/>
          <w:bCs/>
          <w:sz w:val="22"/>
          <w:szCs w:val="22"/>
        </w:rPr>
        <w:t>Příloha č. 23 k vyhlášce č. 415/2012 Sb.</w:t>
      </w:r>
    </w:p>
    <w:p w14:paraId="2358462D" w14:textId="77777777" w:rsidR="00130492" w:rsidRPr="0030358C" w:rsidRDefault="00130492" w:rsidP="00A22E30">
      <w:pPr>
        <w:pStyle w:val="121"/>
        <w:ind w:left="0"/>
        <w:rPr>
          <w:rFonts w:ascii="Arial" w:hAnsi="Arial" w:cs="Arial"/>
          <w:b/>
          <w:bCs/>
          <w:sz w:val="22"/>
          <w:szCs w:val="22"/>
        </w:rPr>
      </w:pPr>
    </w:p>
    <w:p w14:paraId="0C8902BE" w14:textId="77777777" w:rsidR="00130492" w:rsidRPr="0030358C" w:rsidRDefault="00000000" w:rsidP="005436A9">
      <w:pPr>
        <w:jc w:val="center"/>
        <w:rPr>
          <w:rFonts w:ascii="Arial" w:hAnsi="Arial" w:cs="Arial"/>
          <w:b/>
          <w:bCs/>
          <w:sz w:val="22"/>
          <w:szCs w:val="22"/>
        </w:rPr>
      </w:pPr>
      <w:r w:rsidRPr="0030358C">
        <w:rPr>
          <w:rFonts w:ascii="Arial" w:hAnsi="Arial" w:cs="Arial"/>
          <w:b/>
          <w:bCs/>
          <w:sz w:val="22"/>
          <w:szCs w:val="22"/>
        </w:rPr>
        <w:t>Rozsah kontroly technického stavu a provozu spalovacího stacionárního zdroje na pevná paliva o celkovém jmenovitém tepelném příkonu od 10 do 300 kW včetně</w:t>
      </w:r>
    </w:p>
    <w:p w14:paraId="7F3AF70E" w14:textId="77777777" w:rsidR="005436A9" w:rsidRPr="0030358C" w:rsidRDefault="005436A9" w:rsidP="00130492">
      <w:pPr>
        <w:rPr>
          <w:rFonts w:ascii="Arial" w:hAnsi="Arial" w:cs="Arial"/>
          <w:b/>
          <w:bCs/>
          <w:sz w:val="22"/>
          <w:szCs w:val="22"/>
        </w:rPr>
      </w:pPr>
    </w:p>
    <w:p w14:paraId="1424D198" w14:textId="77777777" w:rsidR="00130492" w:rsidRPr="0030358C" w:rsidRDefault="00000000" w:rsidP="00A328C3">
      <w:pPr>
        <w:pStyle w:val="Odstavecseseznamem"/>
        <w:numPr>
          <w:ilvl w:val="0"/>
          <w:numId w:val="13"/>
        </w:numPr>
        <w:rPr>
          <w:rFonts w:ascii="Arial" w:hAnsi="Arial" w:cs="Arial"/>
          <w:b/>
          <w:bCs/>
        </w:rPr>
      </w:pPr>
      <w:r w:rsidRPr="0030358C">
        <w:rPr>
          <w:rFonts w:ascii="Arial" w:hAnsi="Arial" w:cs="Arial"/>
          <w:b/>
          <w:bCs/>
        </w:rPr>
        <w:t xml:space="preserve">Odborně způsobilá osoba kontroluje údaje podle části A) </w:t>
      </w:r>
      <w:r w:rsidR="00CC06C4" w:rsidRPr="0030358C">
        <w:rPr>
          <w:rFonts w:ascii="Arial" w:hAnsi="Arial" w:cs="Arial"/>
          <w:b/>
          <w:bCs/>
        </w:rPr>
        <w:t xml:space="preserve">přílohy č. 18 </w:t>
      </w:r>
      <w:r w:rsidRPr="0030358C">
        <w:rPr>
          <w:rFonts w:ascii="Arial" w:hAnsi="Arial" w:cs="Arial"/>
          <w:b/>
          <w:bCs/>
        </w:rPr>
        <w:t xml:space="preserve">nejprve u studeného kotle a následně provede provozovatel zatopení a jsou kontrolovány za provozu. Kontrola během zatápění a provozu se neprovádí </w:t>
      </w:r>
    </w:p>
    <w:p w14:paraId="63897149" w14:textId="77777777" w:rsidR="00130492" w:rsidRPr="0030358C" w:rsidRDefault="00000000" w:rsidP="00130492">
      <w:pPr>
        <w:pStyle w:val="Odstavecseseznamem"/>
        <w:numPr>
          <w:ilvl w:val="0"/>
          <w:numId w:val="14"/>
        </w:numPr>
        <w:rPr>
          <w:rFonts w:ascii="Arial" w:hAnsi="Arial" w:cs="Arial"/>
          <w:b/>
          <w:bCs/>
        </w:rPr>
      </w:pPr>
      <w:r w:rsidRPr="0030358C">
        <w:rPr>
          <w:rFonts w:ascii="Arial" w:hAnsi="Arial" w:cs="Arial"/>
          <w:b/>
          <w:bCs/>
        </w:rPr>
        <w:t xml:space="preserve">u spalovacích stacionárních zdrojů, které jsou zcela automatizované, a  </w:t>
      </w:r>
    </w:p>
    <w:p w14:paraId="2ACBD8C9" w14:textId="77777777" w:rsidR="00130492" w:rsidRPr="0030358C" w:rsidRDefault="00000000" w:rsidP="00130492">
      <w:pPr>
        <w:pStyle w:val="Odstavecseseznamem"/>
        <w:numPr>
          <w:ilvl w:val="0"/>
          <w:numId w:val="14"/>
        </w:numPr>
        <w:rPr>
          <w:rFonts w:ascii="Arial" w:hAnsi="Arial" w:cs="Arial"/>
          <w:b/>
          <w:bCs/>
        </w:rPr>
      </w:pPr>
      <w:r w:rsidRPr="0030358C">
        <w:rPr>
          <w:rFonts w:ascii="Arial" w:hAnsi="Arial" w:cs="Arial"/>
          <w:b/>
          <w:bCs/>
        </w:rPr>
        <w:t xml:space="preserve">pokud by teplotní podmínky nevedly k zajištění dostatečného tahu. </w:t>
      </w:r>
    </w:p>
    <w:p w14:paraId="694853A2" w14:textId="77777777" w:rsidR="00130492" w:rsidRPr="0030358C" w:rsidRDefault="00000000" w:rsidP="00130492">
      <w:pPr>
        <w:pStyle w:val="Odstavecseseznamem"/>
        <w:rPr>
          <w:rFonts w:ascii="Arial" w:hAnsi="Arial" w:cs="Arial"/>
          <w:b/>
          <w:bCs/>
        </w:rPr>
      </w:pPr>
      <w:r w:rsidRPr="0030358C">
        <w:rPr>
          <w:rFonts w:ascii="Arial" w:hAnsi="Arial" w:cs="Arial"/>
          <w:b/>
          <w:bCs/>
        </w:rPr>
        <w:t xml:space="preserve">I v těchto případech však odborně způsobilá osoba ověřuje, že provozovatel bude postupovat správně. </w:t>
      </w:r>
    </w:p>
    <w:p w14:paraId="16BD6C09" w14:textId="77777777" w:rsidR="00130492" w:rsidRPr="0030358C" w:rsidRDefault="00000000" w:rsidP="00A328C3">
      <w:pPr>
        <w:pStyle w:val="Odstavecseseznamem"/>
        <w:numPr>
          <w:ilvl w:val="0"/>
          <w:numId w:val="13"/>
        </w:numPr>
        <w:rPr>
          <w:rFonts w:ascii="Arial" w:hAnsi="Arial" w:cs="Arial"/>
          <w:b/>
          <w:bCs/>
        </w:rPr>
      </w:pPr>
      <w:r w:rsidRPr="0030358C">
        <w:rPr>
          <w:rFonts w:ascii="Arial" w:hAnsi="Arial" w:cs="Arial"/>
          <w:b/>
          <w:bCs/>
        </w:rPr>
        <w:t>Odborně způsobilá osoba ověřuje, že je provozovatel seznámen s postupem udržování stálého výkonu, regulací výkonu, přikládání a vhodného načasování přikládání a se správným postupem údržby a průběžné kontroly spalovacího stacionárního zdroje.</w:t>
      </w:r>
    </w:p>
    <w:p w14:paraId="7BE6443F" w14:textId="77777777" w:rsidR="00130492" w:rsidRPr="0030358C" w:rsidRDefault="00000000" w:rsidP="00130492">
      <w:pPr>
        <w:pStyle w:val="Odstavecseseznamem"/>
        <w:numPr>
          <w:ilvl w:val="0"/>
          <w:numId w:val="13"/>
        </w:numPr>
        <w:rPr>
          <w:rFonts w:ascii="Arial" w:hAnsi="Arial" w:cs="Arial"/>
          <w:b/>
          <w:bCs/>
        </w:rPr>
      </w:pPr>
      <w:r w:rsidRPr="0030358C">
        <w:rPr>
          <w:rFonts w:ascii="Arial" w:hAnsi="Arial" w:cs="Arial"/>
          <w:b/>
          <w:bCs/>
        </w:rPr>
        <w:t>Odborně způsobilá osoba ověří:</w:t>
      </w:r>
    </w:p>
    <w:p w14:paraId="4BD520D1" w14:textId="77777777" w:rsidR="00130492" w:rsidRPr="0030358C" w:rsidRDefault="00000000" w:rsidP="00130492">
      <w:pPr>
        <w:pStyle w:val="Odstavecseseznamem"/>
        <w:ind w:left="360"/>
        <w:rPr>
          <w:rFonts w:ascii="Arial" w:hAnsi="Arial" w:cs="Arial"/>
          <w:b/>
          <w:bCs/>
        </w:rPr>
      </w:pPr>
      <w:r w:rsidRPr="0030358C">
        <w:rPr>
          <w:rFonts w:ascii="Arial" w:hAnsi="Arial" w:cs="Arial"/>
          <w:b/>
          <w:bCs/>
        </w:rPr>
        <w:t>a) správnou funkci základních konstrukčních prvků zdroje – přívod spalovacího vzduchu, roštová soustava, spalovací komora, zatápěcí klapka, vstupní a čisticí otvory, přívod paliva, vnější izolace,</w:t>
      </w:r>
    </w:p>
    <w:p w14:paraId="4A58DC8C" w14:textId="77777777" w:rsidR="00130492" w:rsidRPr="0030358C" w:rsidRDefault="00000000" w:rsidP="00130492">
      <w:pPr>
        <w:pStyle w:val="Odstavecseseznamem"/>
        <w:ind w:left="360"/>
        <w:rPr>
          <w:rFonts w:ascii="Arial" w:hAnsi="Arial" w:cs="Arial"/>
          <w:b/>
          <w:bCs/>
        </w:rPr>
      </w:pPr>
      <w:r w:rsidRPr="0030358C">
        <w:rPr>
          <w:rFonts w:ascii="Arial" w:hAnsi="Arial" w:cs="Arial"/>
          <w:b/>
          <w:bCs/>
        </w:rPr>
        <w:t>b) zajištění dostatečného přívodu vzduchu ke spalovacímu zdroji za všech okolností,</w:t>
      </w:r>
    </w:p>
    <w:p w14:paraId="4E11D2E8" w14:textId="77777777" w:rsidR="00130492" w:rsidRPr="0030358C" w:rsidRDefault="00000000" w:rsidP="00A328C3">
      <w:pPr>
        <w:pStyle w:val="Odstavecseseznamem"/>
        <w:ind w:left="360"/>
        <w:rPr>
          <w:rFonts w:ascii="Arial" w:hAnsi="Arial" w:cs="Arial"/>
          <w:b/>
          <w:bCs/>
        </w:rPr>
      </w:pPr>
      <w:r w:rsidRPr="0030358C">
        <w:rPr>
          <w:rFonts w:ascii="Arial" w:hAnsi="Arial" w:cs="Arial"/>
          <w:b/>
          <w:bCs/>
        </w:rPr>
        <w:t>c) správnou funkci regulačních a bezpečnostních prvků spalovacího stacionárního zdroje, pokud jsou přítomny, řídicí jednotka, regulátor množství spalovacího vzduchu, havarijní termostat, zařízení proti přetopení, zařízení zabraňující prohoření paliva do násypky.</w:t>
      </w:r>
    </w:p>
    <w:p w14:paraId="1CD4E547" w14:textId="77777777" w:rsidR="00130492" w:rsidRPr="0030358C" w:rsidRDefault="00000000" w:rsidP="00A328C3">
      <w:pPr>
        <w:pStyle w:val="Odstavecseseznamem"/>
        <w:numPr>
          <w:ilvl w:val="0"/>
          <w:numId w:val="13"/>
        </w:numPr>
        <w:rPr>
          <w:rFonts w:ascii="Arial" w:hAnsi="Arial" w:cs="Arial"/>
          <w:b/>
          <w:bCs/>
        </w:rPr>
      </w:pPr>
      <w:r w:rsidRPr="0030358C">
        <w:rPr>
          <w:rFonts w:ascii="Arial" w:hAnsi="Arial" w:cs="Arial"/>
          <w:b/>
          <w:bCs/>
        </w:rPr>
        <w:t>Odborně způsobilá osoba</w:t>
      </w:r>
      <w:r w:rsidR="001E2390" w:rsidRPr="0030358C">
        <w:rPr>
          <w:rFonts w:ascii="Arial" w:hAnsi="Arial" w:cs="Arial"/>
          <w:b/>
          <w:bCs/>
        </w:rPr>
        <w:t xml:space="preserve"> </w:t>
      </w:r>
      <w:r w:rsidRPr="0030358C">
        <w:rPr>
          <w:rFonts w:ascii="Arial" w:hAnsi="Arial" w:cs="Arial"/>
          <w:b/>
          <w:bCs/>
        </w:rPr>
        <w:t>zjišťuje, jaké palivo je skutečně využíváno, jak je skladováno, zda je splněna maximální vlhkost paliva předepsaná výrobcem zařízení, případně jiné parametry (např. granulometrie). Vlhkost je možné ověřit měřením, případně jiným způsobem.</w:t>
      </w:r>
    </w:p>
    <w:p w14:paraId="2E6C83D9" w14:textId="77777777" w:rsidR="00130492" w:rsidRPr="0030358C" w:rsidRDefault="00000000" w:rsidP="00130492">
      <w:pPr>
        <w:pStyle w:val="Odstavecseseznamem"/>
        <w:numPr>
          <w:ilvl w:val="0"/>
          <w:numId w:val="13"/>
        </w:numPr>
        <w:rPr>
          <w:rFonts w:ascii="Arial" w:hAnsi="Arial" w:cs="Arial"/>
          <w:b/>
          <w:bCs/>
        </w:rPr>
      </w:pPr>
      <w:r w:rsidRPr="0030358C">
        <w:rPr>
          <w:rFonts w:ascii="Arial" w:hAnsi="Arial" w:cs="Arial"/>
          <w:b/>
          <w:bCs/>
        </w:rPr>
        <w:t xml:space="preserve">Odborně způsobilá osoba zjišťuje informace o teplovodní soustavě – jak je zajištěna teplota vratné vody, jestli je přítomna akumulační nádoba, jaký je typ soustavy (otevřená/uzavřená).Na základě předložených dokladů o revizi a o kontrole spalinové cesty zjišťuje odborně způsobilá osoba, jak jsou odváděny spaliny a v jakém stavu jsou spalinové cesty, jaké je napojení na spalinové cesty, </w:t>
      </w:r>
      <w:r w:rsidRPr="0030358C">
        <w:rPr>
          <w:rFonts w:ascii="Arial" w:hAnsi="Arial" w:cs="Arial"/>
          <w:b/>
          <w:bCs/>
        </w:rPr>
        <w:lastRenderedPageBreak/>
        <w:t>kdy byla provedena revize spalinových cest, zda jsou spalinové cesty i spalovací zdroj řádně udržovány a čištěny a kdy byla provedena kontrola a čištění spalinových cest i spalovacího zdroje.</w:t>
      </w:r>
    </w:p>
    <w:p w14:paraId="140AF85F" w14:textId="77777777" w:rsidR="00130492" w:rsidRPr="0030358C" w:rsidRDefault="00000000" w:rsidP="00A328C3">
      <w:pPr>
        <w:pStyle w:val="Odstavecseseznamem"/>
        <w:numPr>
          <w:ilvl w:val="0"/>
          <w:numId w:val="13"/>
        </w:numPr>
        <w:rPr>
          <w:rFonts w:ascii="Arial" w:hAnsi="Arial" w:cs="Arial"/>
          <w:b/>
          <w:bCs/>
        </w:rPr>
      </w:pPr>
      <w:r w:rsidRPr="0030358C">
        <w:rPr>
          <w:rFonts w:ascii="Arial" w:hAnsi="Arial" w:cs="Arial"/>
          <w:b/>
          <w:bCs/>
        </w:rPr>
        <w:t>V návaznosti na uvedený postup stanoví</w:t>
      </w:r>
      <w:r w:rsidR="001E2390" w:rsidRPr="0030358C">
        <w:rPr>
          <w:rFonts w:ascii="Arial" w:hAnsi="Arial" w:cs="Arial"/>
          <w:b/>
          <w:bCs/>
        </w:rPr>
        <w:t xml:space="preserve"> </w:t>
      </w:r>
      <w:r w:rsidRPr="0030358C">
        <w:rPr>
          <w:rFonts w:ascii="Arial" w:hAnsi="Arial" w:cs="Arial"/>
          <w:b/>
          <w:bCs/>
        </w:rPr>
        <w:t>odborně způsobilá osoba výsledek kontroly a soulad s požadavky zákona a s požadavky stanovenými výrobcem zdroje na instalaci a provozováním zdroje.</w:t>
      </w:r>
    </w:p>
    <w:p w14:paraId="03E71481" w14:textId="77777777" w:rsidR="00130492" w:rsidRPr="0030358C" w:rsidRDefault="00000000" w:rsidP="00A328C3">
      <w:pPr>
        <w:pStyle w:val="Odstavecseseznamem"/>
        <w:numPr>
          <w:ilvl w:val="0"/>
          <w:numId w:val="13"/>
        </w:numPr>
        <w:rPr>
          <w:rFonts w:ascii="Arial" w:hAnsi="Arial" w:cs="Arial"/>
          <w:b/>
          <w:bCs/>
        </w:rPr>
      </w:pPr>
      <w:r w:rsidRPr="0030358C">
        <w:rPr>
          <w:rFonts w:ascii="Arial" w:hAnsi="Arial" w:cs="Arial"/>
          <w:b/>
          <w:bCs/>
        </w:rPr>
        <w:t>Zjištěný nesoulad s požadavky zákona nebo požadavky stanov</w:t>
      </w:r>
      <w:r w:rsidR="00055DFC" w:rsidRPr="0030358C">
        <w:rPr>
          <w:rFonts w:ascii="Arial" w:hAnsi="Arial" w:cs="Arial"/>
          <w:b/>
          <w:bCs/>
        </w:rPr>
        <w:t>e</w:t>
      </w:r>
      <w:r w:rsidRPr="0030358C">
        <w:rPr>
          <w:rFonts w:ascii="Arial" w:hAnsi="Arial" w:cs="Arial"/>
          <w:b/>
          <w:bCs/>
        </w:rPr>
        <w:t>nými výrobce</w:t>
      </w:r>
      <w:r w:rsidR="00055DFC" w:rsidRPr="0030358C">
        <w:rPr>
          <w:rFonts w:ascii="Arial" w:hAnsi="Arial" w:cs="Arial"/>
          <w:b/>
          <w:bCs/>
        </w:rPr>
        <w:t>m</w:t>
      </w:r>
      <w:r w:rsidRPr="0030358C">
        <w:rPr>
          <w:rFonts w:ascii="Arial" w:hAnsi="Arial" w:cs="Arial"/>
          <w:b/>
          <w:bCs/>
        </w:rPr>
        <w:t xml:space="preserve"> zdroje je uveden do poznámky, pokud není zřejmý z jiných částí dokladu. Uvede se, zda zjištěné porušení požadavků stanovených zákonem nebo výrobcem zdroje má či nemá dopad na znečišťování ovzduší.</w:t>
      </w:r>
    </w:p>
    <w:p w14:paraId="530A50FC" w14:textId="77777777" w:rsidR="00A328C3" w:rsidRPr="0030358C" w:rsidRDefault="00000000" w:rsidP="00A328C3">
      <w:pPr>
        <w:pStyle w:val="Odstavecseseznamem"/>
        <w:numPr>
          <w:ilvl w:val="0"/>
          <w:numId w:val="13"/>
        </w:numPr>
        <w:rPr>
          <w:rFonts w:ascii="Arial" w:hAnsi="Arial" w:cs="Arial"/>
          <w:b/>
          <w:bCs/>
        </w:rPr>
      </w:pPr>
      <w:r w:rsidRPr="0030358C">
        <w:rPr>
          <w:rFonts w:ascii="Arial" w:hAnsi="Arial" w:cs="Arial"/>
          <w:b/>
          <w:bCs/>
        </w:rPr>
        <w:t>Odborně způsobilá osoba provozovateli doporučí, jak vhodně spalovací zdroj dále provozovat a poučí ho o správném způsobu zatápění.</w:t>
      </w:r>
    </w:p>
    <w:p w14:paraId="4DD1AF42" w14:textId="77777777" w:rsidR="00130492" w:rsidRPr="0030358C" w:rsidRDefault="00000000" w:rsidP="00A328C3">
      <w:pPr>
        <w:pStyle w:val="Odstavecseseznamem"/>
        <w:numPr>
          <w:ilvl w:val="0"/>
          <w:numId w:val="13"/>
        </w:numPr>
        <w:rPr>
          <w:rFonts w:ascii="Arial" w:hAnsi="Arial" w:cs="Arial"/>
          <w:b/>
          <w:bCs/>
        </w:rPr>
      </w:pPr>
      <w:r w:rsidRPr="0030358C">
        <w:rPr>
          <w:rFonts w:ascii="Arial" w:hAnsi="Arial" w:cs="Arial"/>
          <w:b/>
          <w:bCs/>
        </w:rPr>
        <w:t>Závěry kontroly zaznamená odborně způsobilá osoba do dokladu podle části A přílohy. Doplní datum kontroly, podpis odborně způsobilé osoby a podpis provozovatele, že doklad o provedené kontrole převzal. Spolu s dokladem je provozovateli předána také kopie oprávnění odborně způsobilé osoby od výrobce ke kontrole jeho spalovacího zdroje.</w:t>
      </w:r>
    </w:p>
    <w:p w14:paraId="003D5D68" w14:textId="77777777" w:rsidR="00130492" w:rsidRPr="0030358C" w:rsidRDefault="00130492" w:rsidP="00A22E30">
      <w:pPr>
        <w:pStyle w:val="121"/>
        <w:ind w:left="0"/>
        <w:rPr>
          <w:rFonts w:ascii="Arial" w:hAnsi="Arial" w:cs="Arial"/>
          <w:b/>
          <w:bCs/>
          <w:sz w:val="22"/>
          <w:szCs w:val="22"/>
        </w:rPr>
      </w:pPr>
    </w:p>
    <w:p w14:paraId="4D351DDF" w14:textId="77777777" w:rsidR="00130492" w:rsidRPr="0030358C" w:rsidRDefault="00000000" w:rsidP="00130492">
      <w:pPr>
        <w:pStyle w:val="121"/>
        <w:ind w:left="0"/>
        <w:jc w:val="right"/>
        <w:rPr>
          <w:rFonts w:ascii="Arial" w:hAnsi="Arial" w:cs="Arial"/>
          <w:b/>
          <w:bCs/>
          <w:sz w:val="22"/>
          <w:szCs w:val="22"/>
        </w:rPr>
      </w:pPr>
      <w:r w:rsidRPr="0030358C">
        <w:rPr>
          <w:rFonts w:ascii="Arial" w:hAnsi="Arial" w:cs="Arial"/>
          <w:b/>
          <w:bCs/>
          <w:sz w:val="22"/>
          <w:szCs w:val="22"/>
        </w:rPr>
        <w:t xml:space="preserve">Příloha č. </w:t>
      </w:r>
      <w:r w:rsidR="00E4536E" w:rsidRPr="0030358C">
        <w:rPr>
          <w:rFonts w:ascii="Arial" w:hAnsi="Arial" w:cs="Arial"/>
          <w:b/>
          <w:bCs/>
          <w:sz w:val="22"/>
          <w:szCs w:val="22"/>
        </w:rPr>
        <w:t xml:space="preserve">24 </w:t>
      </w:r>
      <w:r w:rsidRPr="0030358C">
        <w:rPr>
          <w:rFonts w:ascii="Arial" w:hAnsi="Arial" w:cs="Arial"/>
          <w:b/>
          <w:bCs/>
          <w:sz w:val="22"/>
          <w:szCs w:val="22"/>
        </w:rPr>
        <w:t>k vyhlášce č. 415/2012 Sb.</w:t>
      </w:r>
    </w:p>
    <w:p w14:paraId="09C7CB9C" w14:textId="77777777" w:rsidR="00130492" w:rsidRPr="0030358C" w:rsidRDefault="00130492" w:rsidP="00A22E30">
      <w:pPr>
        <w:pStyle w:val="121"/>
        <w:ind w:left="0"/>
        <w:rPr>
          <w:rFonts w:ascii="Arial" w:hAnsi="Arial" w:cs="Arial"/>
          <w:b/>
          <w:bCs/>
          <w:sz w:val="22"/>
          <w:szCs w:val="22"/>
        </w:rPr>
      </w:pPr>
    </w:p>
    <w:p w14:paraId="50DAC822" w14:textId="77777777" w:rsidR="00130492" w:rsidRPr="0030358C" w:rsidRDefault="00000000" w:rsidP="00130492">
      <w:pPr>
        <w:spacing w:after="160" w:line="259" w:lineRule="auto"/>
        <w:jc w:val="center"/>
        <w:rPr>
          <w:rFonts w:ascii="Arial" w:eastAsia="Calibri" w:hAnsi="Arial" w:cs="Arial"/>
          <w:b/>
          <w:bCs/>
          <w:sz w:val="22"/>
          <w:szCs w:val="22"/>
        </w:rPr>
      </w:pPr>
      <w:r w:rsidRPr="0030358C">
        <w:rPr>
          <w:rFonts w:ascii="Arial" w:eastAsia="Calibri" w:hAnsi="Arial" w:cs="Arial"/>
          <w:b/>
          <w:bCs/>
          <w:color w:val="000000"/>
          <w:sz w:val="22"/>
          <w:szCs w:val="22"/>
        </w:rPr>
        <w:t>Postup prokazování tepelného zpracování odpadu ve spalovacím stacionárním zdroji o celkovém jmenovitém tepelném příkonu do 300 kW včetně</w:t>
      </w:r>
    </w:p>
    <w:p w14:paraId="743C9D7C" w14:textId="77777777" w:rsidR="00130492" w:rsidRPr="0030358C" w:rsidRDefault="00000000" w:rsidP="00130492">
      <w:pPr>
        <w:pBdr>
          <w:top w:val="nil"/>
          <w:left w:val="nil"/>
          <w:bottom w:val="nil"/>
          <w:right w:val="nil"/>
        </w:pBdr>
        <w:spacing w:after="130" w:line="235" w:lineRule="atLeast"/>
        <w:ind w:left="10" w:right="39" w:hanging="10"/>
        <w:jc w:val="both"/>
        <w:rPr>
          <w:rFonts w:ascii="Arial" w:eastAsia="Calibri" w:hAnsi="Arial" w:cs="Arial"/>
          <w:b/>
          <w:bCs/>
          <w:sz w:val="22"/>
          <w:szCs w:val="22"/>
        </w:rPr>
      </w:pPr>
      <w:r w:rsidRPr="0030358C">
        <w:rPr>
          <w:rFonts w:ascii="Arial" w:eastAsia="Calibri" w:hAnsi="Arial" w:cs="Arial"/>
          <w:b/>
          <w:bCs/>
          <w:color w:val="000000"/>
          <w:sz w:val="22"/>
          <w:szCs w:val="22"/>
        </w:rPr>
        <w:t>1. Pro provádění odběru vzorku je třeba, aby byl kontrolující vybaven potřebnými nástroji:</w:t>
      </w:r>
    </w:p>
    <w:p w14:paraId="547295C8"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kovová lopatka na odběr vzorku, bez nátěru, aby nebyl vzorek jakkoli kontaminován</w:t>
      </w:r>
      <w:r w:rsidR="00E3086D" w:rsidRPr="0030358C">
        <w:rPr>
          <w:rFonts w:ascii="Arial" w:eastAsia="Calibri" w:hAnsi="Arial" w:cs="Arial"/>
          <w:b/>
          <w:bCs/>
          <w:color w:val="000000"/>
          <w:sz w:val="22"/>
          <w:szCs w:val="22"/>
        </w:rPr>
        <w:t>,</w:t>
      </w:r>
    </w:p>
    <w:p w14:paraId="4AE8FDAF"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vzorkovnice</w:t>
      </w:r>
      <w:r w:rsidR="00E3086D" w:rsidRPr="0030358C">
        <w:rPr>
          <w:rFonts w:ascii="Arial" w:eastAsia="Calibri" w:hAnsi="Arial" w:cs="Arial"/>
          <w:b/>
          <w:bCs/>
          <w:color w:val="000000"/>
          <w:sz w:val="22"/>
          <w:szCs w:val="22"/>
        </w:rPr>
        <w:t>, kterou je</w:t>
      </w:r>
      <w:r w:rsidRPr="0030358C">
        <w:rPr>
          <w:rFonts w:ascii="Arial" w:eastAsia="Calibri" w:hAnsi="Arial" w:cs="Arial"/>
          <w:b/>
          <w:bCs/>
          <w:color w:val="000000"/>
          <w:sz w:val="22"/>
          <w:szCs w:val="22"/>
        </w:rPr>
        <w:t xml:space="preserve"> kovová nádoba pro uchování vzorku popela, která musí být hermeticky uzavíratelná a nesmí vnitřní povrchovou úpravou kontaminovat vzorek</w:t>
      </w:r>
      <w:r w:rsidR="00E3086D" w:rsidRPr="0030358C">
        <w:rPr>
          <w:rFonts w:ascii="Arial" w:eastAsia="Calibri" w:hAnsi="Arial" w:cs="Arial"/>
          <w:b/>
          <w:bCs/>
          <w:color w:val="000000"/>
          <w:sz w:val="22"/>
          <w:szCs w:val="22"/>
        </w:rPr>
        <w:t>,</w:t>
      </w:r>
      <w:r w:rsidRPr="0030358C">
        <w:rPr>
          <w:rFonts w:ascii="Arial" w:eastAsia="Calibri" w:hAnsi="Arial" w:cs="Arial"/>
          <w:b/>
          <w:bCs/>
          <w:color w:val="000000"/>
          <w:sz w:val="22"/>
          <w:szCs w:val="22"/>
        </w:rPr>
        <w:t xml:space="preserve"> </w:t>
      </w:r>
    </w:p>
    <w:p w14:paraId="67590F38"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potřeby pro úklid po odběru</w:t>
      </w:r>
      <w:r w:rsidR="00E3086D" w:rsidRPr="0030358C">
        <w:rPr>
          <w:rFonts w:ascii="Arial" w:eastAsia="Calibri" w:hAnsi="Arial" w:cs="Arial"/>
          <w:b/>
          <w:bCs/>
          <w:color w:val="000000"/>
          <w:sz w:val="22"/>
          <w:szCs w:val="22"/>
        </w:rPr>
        <w:t>,</w:t>
      </w:r>
      <w:r w:rsidRPr="0030358C">
        <w:rPr>
          <w:rFonts w:ascii="Arial" w:eastAsia="Calibri" w:hAnsi="Arial" w:cs="Arial"/>
          <w:b/>
          <w:bCs/>
          <w:color w:val="000000"/>
          <w:sz w:val="22"/>
          <w:szCs w:val="22"/>
        </w:rPr>
        <w:t xml:space="preserve"> </w:t>
      </w:r>
    </w:p>
    <w:p w14:paraId="5EA9BFB8"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zařízení na pořízení fotografií</w:t>
      </w:r>
      <w:r w:rsidR="00E3086D" w:rsidRPr="0030358C">
        <w:rPr>
          <w:rFonts w:ascii="Arial" w:eastAsia="Calibri" w:hAnsi="Arial" w:cs="Arial"/>
          <w:b/>
          <w:bCs/>
          <w:color w:val="000000"/>
          <w:sz w:val="22"/>
          <w:szCs w:val="22"/>
        </w:rPr>
        <w:t>,</w:t>
      </w:r>
      <w:r w:rsidRPr="0030358C">
        <w:rPr>
          <w:rFonts w:ascii="Arial" w:eastAsia="Calibri" w:hAnsi="Arial" w:cs="Arial"/>
          <w:b/>
          <w:bCs/>
          <w:color w:val="000000"/>
          <w:sz w:val="22"/>
          <w:szCs w:val="22"/>
        </w:rPr>
        <w:t xml:space="preserve"> </w:t>
      </w:r>
    </w:p>
    <w:p w14:paraId="312CD0A8"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měřidlo délky pro fotodokumentaci popela v popelníku s</w:t>
      </w:r>
      <w:r w:rsidR="00E3086D" w:rsidRPr="0030358C">
        <w:rPr>
          <w:rFonts w:ascii="Arial" w:eastAsia="Calibri" w:hAnsi="Arial" w:cs="Arial"/>
          <w:b/>
          <w:bCs/>
          <w:color w:val="000000"/>
          <w:sz w:val="22"/>
          <w:szCs w:val="22"/>
        </w:rPr>
        <w:t> </w:t>
      </w:r>
      <w:r w:rsidRPr="0030358C">
        <w:rPr>
          <w:rFonts w:ascii="Arial" w:eastAsia="Calibri" w:hAnsi="Arial" w:cs="Arial"/>
          <w:b/>
          <w:bCs/>
          <w:color w:val="000000"/>
          <w:sz w:val="22"/>
          <w:szCs w:val="22"/>
        </w:rPr>
        <w:t>měřítkem</w:t>
      </w:r>
      <w:r w:rsidR="00E3086D" w:rsidRPr="0030358C">
        <w:rPr>
          <w:rFonts w:ascii="Arial" w:eastAsia="Calibri" w:hAnsi="Arial" w:cs="Arial"/>
          <w:b/>
          <w:bCs/>
          <w:color w:val="000000"/>
          <w:sz w:val="22"/>
          <w:szCs w:val="22"/>
        </w:rPr>
        <w:t>,</w:t>
      </w:r>
      <w:r w:rsidRPr="0030358C">
        <w:rPr>
          <w:rFonts w:ascii="Arial" w:eastAsia="Calibri" w:hAnsi="Arial" w:cs="Arial"/>
          <w:b/>
          <w:bCs/>
          <w:color w:val="000000"/>
          <w:sz w:val="22"/>
          <w:szCs w:val="22"/>
        </w:rPr>
        <w:t xml:space="preserve"> </w:t>
      </w:r>
    </w:p>
    <w:p w14:paraId="1F4D9C91"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ochranné pomůcky</w:t>
      </w:r>
      <w:r w:rsidR="00E3086D" w:rsidRPr="0030358C">
        <w:rPr>
          <w:rFonts w:ascii="Arial" w:eastAsia="Calibri" w:hAnsi="Arial" w:cs="Arial"/>
          <w:b/>
          <w:bCs/>
          <w:color w:val="000000"/>
          <w:sz w:val="22"/>
          <w:szCs w:val="22"/>
        </w:rPr>
        <w:t>,</w:t>
      </w:r>
      <w:r w:rsidRPr="0030358C">
        <w:rPr>
          <w:rFonts w:ascii="Arial" w:eastAsia="Calibri" w:hAnsi="Arial" w:cs="Arial"/>
          <w:b/>
          <w:bCs/>
          <w:color w:val="000000"/>
          <w:sz w:val="22"/>
          <w:szCs w:val="22"/>
        </w:rPr>
        <w:t xml:space="preserve"> </w:t>
      </w:r>
    </w:p>
    <w:p w14:paraId="7F7C30DA"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kovový pohrabáč</w:t>
      </w:r>
      <w:r w:rsidR="00945977" w:rsidRPr="0030358C">
        <w:rPr>
          <w:rFonts w:ascii="Arial" w:eastAsia="Calibri" w:hAnsi="Arial" w:cs="Arial"/>
          <w:b/>
          <w:bCs/>
          <w:color w:val="000000"/>
          <w:sz w:val="22"/>
          <w:szCs w:val="22"/>
        </w:rPr>
        <w:t xml:space="preserve">, </w:t>
      </w:r>
      <w:r w:rsidRPr="0030358C">
        <w:rPr>
          <w:rFonts w:ascii="Arial" w:eastAsia="Calibri" w:hAnsi="Arial" w:cs="Arial"/>
          <w:b/>
          <w:bCs/>
          <w:color w:val="000000"/>
          <w:sz w:val="22"/>
          <w:szCs w:val="22"/>
        </w:rPr>
        <w:t>bude-li se roštovat popel ve spalovacím prostoru zařízení z důvodu nedostatečného množství popela v</w:t>
      </w:r>
      <w:r w:rsidR="00945977" w:rsidRPr="0030358C">
        <w:rPr>
          <w:rFonts w:ascii="Arial" w:eastAsia="Calibri" w:hAnsi="Arial" w:cs="Arial"/>
          <w:b/>
          <w:bCs/>
          <w:color w:val="000000"/>
          <w:sz w:val="22"/>
          <w:szCs w:val="22"/>
        </w:rPr>
        <w:t> </w:t>
      </w:r>
      <w:r w:rsidRPr="0030358C">
        <w:rPr>
          <w:rFonts w:ascii="Arial" w:eastAsia="Calibri" w:hAnsi="Arial" w:cs="Arial"/>
          <w:b/>
          <w:bCs/>
          <w:color w:val="000000"/>
          <w:sz w:val="22"/>
          <w:szCs w:val="22"/>
        </w:rPr>
        <w:t>popelníku</w:t>
      </w:r>
      <w:r w:rsidR="00945977" w:rsidRPr="0030358C">
        <w:rPr>
          <w:rFonts w:ascii="Arial" w:eastAsia="Calibri" w:hAnsi="Arial" w:cs="Arial"/>
          <w:b/>
          <w:bCs/>
          <w:color w:val="000000"/>
          <w:sz w:val="22"/>
          <w:szCs w:val="22"/>
        </w:rPr>
        <w:t>,</w:t>
      </w:r>
      <w:r w:rsidRPr="0030358C">
        <w:rPr>
          <w:rFonts w:ascii="Arial" w:eastAsia="Calibri" w:hAnsi="Arial" w:cs="Arial"/>
          <w:b/>
          <w:bCs/>
          <w:color w:val="000000"/>
          <w:sz w:val="22"/>
          <w:szCs w:val="22"/>
        </w:rPr>
        <w:t xml:space="preserve"> </w:t>
      </w:r>
      <w:r w:rsidR="00945977" w:rsidRPr="0030358C">
        <w:rPr>
          <w:rFonts w:ascii="Arial" w:eastAsia="Calibri" w:hAnsi="Arial" w:cs="Arial"/>
          <w:b/>
          <w:bCs/>
          <w:color w:val="000000"/>
          <w:sz w:val="22"/>
          <w:szCs w:val="22"/>
        </w:rPr>
        <w:t>a</w:t>
      </w:r>
    </w:p>
    <w:p w14:paraId="5A6B14A7" w14:textId="77777777" w:rsidR="00130492" w:rsidRPr="0030358C" w:rsidRDefault="00000000" w:rsidP="003F3ED9">
      <w:pPr>
        <w:numPr>
          <w:ilvl w:val="0"/>
          <w:numId w:val="63"/>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lepicí štítky pro zapečetění a označení vzorkovnic s odebranými vzorky popela</w:t>
      </w:r>
      <w:r w:rsidR="00945977" w:rsidRPr="0030358C">
        <w:rPr>
          <w:rFonts w:ascii="Arial" w:eastAsia="Calibri" w:hAnsi="Arial" w:cs="Arial"/>
          <w:b/>
          <w:bCs/>
          <w:color w:val="000000"/>
          <w:sz w:val="22"/>
          <w:szCs w:val="22"/>
        </w:rPr>
        <w:t>.</w:t>
      </w:r>
    </w:p>
    <w:p w14:paraId="59043571" w14:textId="77777777" w:rsidR="00130492" w:rsidRPr="0030358C" w:rsidRDefault="00000000" w:rsidP="00130492">
      <w:pPr>
        <w:pBdr>
          <w:top w:val="nil"/>
          <w:left w:val="nil"/>
          <w:bottom w:val="nil"/>
          <w:right w:val="nil"/>
        </w:pBdr>
        <w:spacing w:after="84" w:line="235" w:lineRule="atLeast"/>
        <w:ind w:left="705" w:right="39"/>
        <w:jc w:val="both"/>
        <w:rPr>
          <w:rFonts w:ascii="Arial" w:eastAsia="Calibri" w:hAnsi="Arial" w:cs="Arial"/>
          <w:b/>
          <w:bCs/>
          <w:sz w:val="22"/>
          <w:szCs w:val="22"/>
        </w:rPr>
      </w:pPr>
      <w:r w:rsidRPr="0030358C">
        <w:rPr>
          <w:rFonts w:ascii="Arial" w:eastAsia="Calibri" w:hAnsi="Arial" w:cs="Arial"/>
          <w:b/>
          <w:bCs/>
          <w:color w:val="000000"/>
          <w:sz w:val="22"/>
          <w:szCs w:val="22"/>
        </w:rPr>
        <w:t> </w:t>
      </w:r>
    </w:p>
    <w:p w14:paraId="118303AD" w14:textId="77777777" w:rsidR="00130492" w:rsidRPr="0030358C" w:rsidRDefault="00000000" w:rsidP="00FB7707">
      <w:pPr>
        <w:pBdr>
          <w:top w:val="nil"/>
          <w:left w:val="nil"/>
          <w:bottom w:val="nil"/>
          <w:right w:val="nil"/>
        </w:pBdr>
        <w:spacing w:line="235" w:lineRule="atLeast"/>
        <w:rPr>
          <w:rFonts w:ascii="Arial" w:eastAsia="Calibri" w:hAnsi="Arial" w:cs="Arial"/>
          <w:b/>
          <w:bCs/>
          <w:sz w:val="22"/>
          <w:szCs w:val="22"/>
        </w:rPr>
      </w:pPr>
      <w:r w:rsidRPr="0030358C">
        <w:rPr>
          <w:rFonts w:ascii="Arial" w:eastAsia="Calibri" w:hAnsi="Arial" w:cs="Arial"/>
          <w:b/>
          <w:bCs/>
          <w:color w:val="000000"/>
          <w:sz w:val="22"/>
          <w:szCs w:val="22"/>
        </w:rPr>
        <w:t xml:space="preserve">2. Postup odběru vzorku popela u provozovatele </w:t>
      </w:r>
    </w:p>
    <w:p w14:paraId="6A30AC3B" w14:textId="77777777" w:rsidR="00FB7707" w:rsidRPr="0030358C" w:rsidRDefault="00000000" w:rsidP="00FB7707">
      <w:pPr>
        <w:pStyle w:val="Odstavecseseznamem"/>
        <w:numPr>
          <w:ilvl w:val="0"/>
          <w:numId w:val="64"/>
        </w:numPr>
        <w:pBdr>
          <w:top w:val="nil"/>
          <w:left w:val="nil"/>
          <w:bottom w:val="nil"/>
          <w:right w:val="nil"/>
        </w:pBdr>
        <w:spacing w:after="127" w:line="235" w:lineRule="atLeast"/>
        <w:ind w:right="39"/>
        <w:jc w:val="both"/>
        <w:rPr>
          <w:rFonts w:ascii="Arial" w:eastAsia="Calibri" w:hAnsi="Arial" w:cs="Arial"/>
          <w:b/>
          <w:bCs/>
        </w:rPr>
      </w:pPr>
      <w:r w:rsidRPr="0030358C">
        <w:rPr>
          <w:rFonts w:ascii="Arial" w:eastAsia="Calibri" w:hAnsi="Arial" w:cs="Arial"/>
          <w:b/>
          <w:bCs/>
          <w:color w:val="000000"/>
        </w:rPr>
        <w:t>Vzorek se odebírá z popelníku spalovacího stacionárního zdroje u provozovatele</w:t>
      </w:r>
      <w:r w:rsidR="00D72983" w:rsidRPr="0030358C">
        <w:rPr>
          <w:rFonts w:ascii="Arial" w:eastAsia="Calibri" w:hAnsi="Arial" w:cs="Arial"/>
          <w:b/>
          <w:bCs/>
          <w:color w:val="000000"/>
        </w:rPr>
        <w:t>, a to kovovou lopatkou do kovové hermeticky uzavíratelné nádoby s povrchem. Kovové povrchy lopatky i vzorkovnice musí zamezit kontaminaci vzorku (ideálně bez nátěru).</w:t>
      </w:r>
    </w:p>
    <w:p w14:paraId="684C4FF6" w14:textId="77777777" w:rsidR="00130492" w:rsidRPr="0030358C" w:rsidRDefault="00000000" w:rsidP="003F3ED9">
      <w:pPr>
        <w:numPr>
          <w:ilvl w:val="0"/>
          <w:numId w:val="64"/>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Provedení vizuální kontroly a fotodokumentace spalovací</w:t>
      </w:r>
      <w:r w:rsidR="00945977" w:rsidRPr="0030358C">
        <w:rPr>
          <w:rFonts w:ascii="Arial" w:eastAsia="Calibri" w:hAnsi="Arial" w:cs="Arial"/>
          <w:b/>
          <w:bCs/>
          <w:color w:val="000000"/>
          <w:sz w:val="22"/>
          <w:szCs w:val="22"/>
        </w:rPr>
        <w:t>ho stacionárního zdroje</w:t>
      </w:r>
      <w:r w:rsidRPr="0030358C">
        <w:rPr>
          <w:rFonts w:ascii="Arial" w:eastAsia="Calibri" w:hAnsi="Arial" w:cs="Arial"/>
          <w:b/>
          <w:bCs/>
          <w:color w:val="000000"/>
          <w:sz w:val="22"/>
          <w:szCs w:val="22"/>
        </w:rPr>
        <w:t>, jeho okolí</w:t>
      </w:r>
      <w:r w:rsidR="00945977" w:rsidRPr="0030358C">
        <w:rPr>
          <w:rFonts w:ascii="Arial" w:eastAsia="Calibri" w:hAnsi="Arial" w:cs="Arial"/>
          <w:b/>
          <w:bCs/>
          <w:color w:val="000000"/>
          <w:sz w:val="22"/>
          <w:szCs w:val="22"/>
        </w:rPr>
        <w:t xml:space="preserve"> a</w:t>
      </w:r>
      <w:r w:rsidRPr="0030358C">
        <w:rPr>
          <w:rFonts w:ascii="Arial" w:eastAsia="Calibri" w:hAnsi="Arial" w:cs="Arial"/>
          <w:b/>
          <w:bCs/>
          <w:color w:val="000000"/>
          <w:sz w:val="22"/>
          <w:szCs w:val="22"/>
        </w:rPr>
        <w:t xml:space="preserve"> sklad</w:t>
      </w:r>
      <w:r w:rsidR="00945977" w:rsidRPr="0030358C">
        <w:rPr>
          <w:rFonts w:ascii="Arial" w:eastAsia="Calibri" w:hAnsi="Arial" w:cs="Arial"/>
          <w:b/>
          <w:bCs/>
          <w:color w:val="000000"/>
          <w:sz w:val="22"/>
          <w:szCs w:val="22"/>
        </w:rPr>
        <w:t>u</w:t>
      </w:r>
      <w:r w:rsidRPr="0030358C">
        <w:rPr>
          <w:rFonts w:ascii="Arial" w:eastAsia="Calibri" w:hAnsi="Arial" w:cs="Arial"/>
          <w:b/>
          <w:bCs/>
          <w:color w:val="000000"/>
          <w:sz w:val="22"/>
          <w:szCs w:val="22"/>
        </w:rPr>
        <w:t xml:space="preserve"> paliva se zaměřením na zbytky </w:t>
      </w:r>
      <w:r w:rsidR="00FB7707" w:rsidRPr="0030358C">
        <w:rPr>
          <w:rFonts w:ascii="Arial" w:eastAsia="Calibri" w:hAnsi="Arial" w:cs="Arial"/>
          <w:b/>
          <w:bCs/>
          <w:color w:val="000000"/>
          <w:sz w:val="22"/>
          <w:szCs w:val="22"/>
        </w:rPr>
        <w:t xml:space="preserve">paliva </w:t>
      </w:r>
      <w:r w:rsidR="003F3ED9" w:rsidRPr="0030358C">
        <w:rPr>
          <w:rFonts w:ascii="Arial" w:eastAsia="Calibri" w:hAnsi="Arial" w:cs="Arial"/>
          <w:b/>
          <w:bCs/>
          <w:color w:val="000000"/>
          <w:sz w:val="22"/>
          <w:szCs w:val="22"/>
        </w:rPr>
        <w:t xml:space="preserve">nebo jiné </w:t>
      </w:r>
      <w:r w:rsidRPr="0030358C">
        <w:rPr>
          <w:rFonts w:ascii="Arial" w:eastAsia="Calibri" w:hAnsi="Arial" w:cs="Arial"/>
          <w:b/>
          <w:bCs/>
          <w:color w:val="000000"/>
          <w:sz w:val="22"/>
          <w:szCs w:val="22"/>
        </w:rPr>
        <w:t>materiály. Fotodokumentace popela s měřítkem.</w:t>
      </w:r>
    </w:p>
    <w:p w14:paraId="52A48C39" w14:textId="77777777" w:rsidR="00E4536E" w:rsidRPr="0030358C" w:rsidRDefault="00000000" w:rsidP="003F3ED9">
      <w:pPr>
        <w:numPr>
          <w:ilvl w:val="0"/>
          <w:numId w:val="64"/>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hAnsi="Arial" w:cs="Arial"/>
          <w:b/>
          <w:bCs/>
          <w:sz w:val="22"/>
          <w:szCs w:val="22"/>
        </w:rPr>
        <w:t xml:space="preserve">Odběr vzorku popela z popelníku je prováděn připravenou lopatkou do vzorkovnice. Buď je proveden odběr veškerého obsahu popelníku, případně je možné </w:t>
      </w:r>
      <w:r w:rsidRPr="0030358C">
        <w:rPr>
          <w:rFonts w:ascii="Arial" w:hAnsi="Arial" w:cs="Arial"/>
          <w:b/>
          <w:bCs/>
          <w:sz w:val="22"/>
          <w:szCs w:val="22"/>
        </w:rPr>
        <w:lastRenderedPageBreak/>
        <w:t>provést za účelem získání dalšího popela roštování, nebo je proveden odběr dílčích vzorků rovnoměrně a tím, že popel musí být před odběrem promíchán. Minimální množství odebraného vzorku musí být 0,5 dm</w:t>
      </w:r>
      <w:r w:rsidRPr="0030358C">
        <w:rPr>
          <w:rFonts w:ascii="Arial" w:hAnsi="Arial" w:cs="Arial"/>
          <w:b/>
          <w:bCs/>
          <w:sz w:val="22"/>
          <w:szCs w:val="22"/>
          <w:vertAlign w:val="superscript"/>
        </w:rPr>
        <w:t>3</w:t>
      </w:r>
      <w:r w:rsidRPr="0030358C">
        <w:rPr>
          <w:rFonts w:ascii="Arial" w:hAnsi="Arial" w:cs="Arial"/>
          <w:b/>
          <w:bCs/>
          <w:sz w:val="22"/>
          <w:szCs w:val="22"/>
        </w:rPr>
        <w:t>.</w:t>
      </w:r>
    </w:p>
    <w:p w14:paraId="0DA44A37" w14:textId="77777777" w:rsidR="00130492" w:rsidRPr="0030358C" w:rsidRDefault="00000000" w:rsidP="003F3ED9">
      <w:pPr>
        <w:numPr>
          <w:ilvl w:val="0"/>
          <w:numId w:val="64"/>
        </w:num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Kontrolující vyplní „protokol o odběru vzorku popela“, uzavře vzorkovnici a provede zapečetění a označení číslem daného protokolu.</w:t>
      </w:r>
    </w:p>
    <w:p w14:paraId="72BFDBD8" w14:textId="77777777" w:rsidR="00130492" w:rsidRPr="0030358C" w:rsidRDefault="00000000" w:rsidP="00130492">
      <w:pPr>
        <w:pBdr>
          <w:top w:val="nil"/>
          <w:left w:val="nil"/>
          <w:bottom w:val="nil"/>
          <w:right w:val="nil"/>
        </w:pBdr>
        <w:spacing w:after="84" w:line="259" w:lineRule="auto"/>
        <w:ind w:left="705" w:right="39"/>
        <w:jc w:val="both"/>
        <w:rPr>
          <w:rFonts w:ascii="Arial" w:eastAsia="Calibri" w:hAnsi="Arial" w:cs="Arial"/>
          <w:b/>
          <w:bCs/>
          <w:sz w:val="22"/>
          <w:szCs w:val="22"/>
        </w:rPr>
      </w:pPr>
      <w:r w:rsidRPr="0030358C">
        <w:rPr>
          <w:rFonts w:ascii="Arial" w:eastAsia="Calibri" w:hAnsi="Arial" w:cs="Arial"/>
          <w:b/>
          <w:bCs/>
          <w:color w:val="000000"/>
          <w:sz w:val="22"/>
          <w:szCs w:val="22"/>
        </w:rPr>
        <w:t> </w:t>
      </w:r>
    </w:p>
    <w:p w14:paraId="4561F2B1" w14:textId="77777777" w:rsidR="00130492" w:rsidRPr="0030358C" w:rsidRDefault="00000000" w:rsidP="00130492">
      <w:pPr>
        <w:pBdr>
          <w:top w:val="nil"/>
          <w:left w:val="nil"/>
          <w:bottom w:val="nil"/>
          <w:right w:val="nil"/>
        </w:pBdr>
        <w:spacing w:line="235" w:lineRule="atLeast"/>
        <w:rPr>
          <w:rFonts w:ascii="Arial" w:eastAsia="Calibri" w:hAnsi="Arial" w:cs="Arial"/>
          <w:b/>
          <w:bCs/>
          <w:sz w:val="22"/>
          <w:szCs w:val="22"/>
        </w:rPr>
      </w:pPr>
      <w:r w:rsidRPr="0030358C">
        <w:rPr>
          <w:rFonts w:ascii="Arial" w:eastAsia="Calibri" w:hAnsi="Arial" w:cs="Arial"/>
          <w:b/>
          <w:bCs/>
          <w:color w:val="000000"/>
          <w:sz w:val="22"/>
          <w:szCs w:val="22"/>
        </w:rPr>
        <w:t>3. Uchování vzorku popela odebraného u provozovatele</w:t>
      </w:r>
    </w:p>
    <w:p w14:paraId="59A848A4" w14:textId="77777777" w:rsidR="00130492" w:rsidRPr="0030358C" w:rsidRDefault="00000000" w:rsidP="003F3ED9">
      <w:pPr>
        <w:pBdr>
          <w:top w:val="nil"/>
          <w:left w:val="nil"/>
          <w:bottom w:val="nil"/>
          <w:right w:val="nil"/>
        </w:pBdr>
        <w:spacing w:after="84"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Vzorek popela musí být před předáním do laboratoře uchováván v zapečetěné vzorkovnici na suchém místě při teplotě -20 až 40 °C a musí být zabráněno neoprávněné manipulaci s ním a poškození vzorkovnice. </w:t>
      </w:r>
    </w:p>
    <w:p w14:paraId="27F79B57" w14:textId="77777777" w:rsidR="00BD4B0C" w:rsidRPr="0030358C" w:rsidRDefault="00BD4B0C" w:rsidP="00BD4B0C">
      <w:pPr>
        <w:pBdr>
          <w:top w:val="nil"/>
          <w:left w:val="nil"/>
          <w:bottom w:val="nil"/>
          <w:right w:val="nil"/>
        </w:pBdr>
        <w:spacing w:after="84" w:line="259" w:lineRule="auto"/>
        <w:ind w:right="39"/>
        <w:jc w:val="both"/>
        <w:rPr>
          <w:rFonts w:ascii="Arial" w:eastAsia="Calibri" w:hAnsi="Arial" w:cs="Arial"/>
          <w:b/>
          <w:bCs/>
          <w:color w:val="000000"/>
          <w:sz w:val="22"/>
          <w:szCs w:val="22"/>
        </w:rPr>
      </w:pPr>
    </w:p>
    <w:p w14:paraId="610F1153" w14:textId="77777777" w:rsidR="00130492" w:rsidRPr="0030358C" w:rsidRDefault="00000000" w:rsidP="00BD4B0C">
      <w:pPr>
        <w:pBdr>
          <w:top w:val="nil"/>
          <w:left w:val="nil"/>
          <w:bottom w:val="nil"/>
          <w:right w:val="nil"/>
        </w:pBdr>
        <w:spacing w:after="84"/>
        <w:ind w:right="39"/>
        <w:jc w:val="both"/>
        <w:rPr>
          <w:rFonts w:ascii="Arial" w:eastAsia="Calibri" w:hAnsi="Arial" w:cs="Arial"/>
          <w:b/>
          <w:bCs/>
          <w:sz w:val="22"/>
          <w:szCs w:val="22"/>
        </w:rPr>
      </w:pPr>
      <w:r w:rsidRPr="0030358C">
        <w:rPr>
          <w:rFonts w:ascii="Arial" w:eastAsia="Calibri" w:hAnsi="Arial" w:cs="Arial"/>
          <w:b/>
          <w:bCs/>
          <w:color w:val="000000"/>
          <w:sz w:val="22"/>
          <w:szCs w:val="22"/>
        </w:rPr>
        <w:t xml:space="preserve">4. Výběr laboratoře a předání vzorku </w:t>
      </w:r>
    </w:p>
    <w:p w14:paraId="1A188A40" w14:textId="77777777" w:rsidR="00BD4B0C" w:rsidRPr="0030358C" w:rsidRDefault="00000000" w:rsidP="00BD4B0C">
      <w:pPr>
        <w:pBdr>
          <w:top w:val="nil"/>
          <w:left w:val="nil"/>
          <w:bottom w:val="nil"/>
          <w:right w:val="nil"/>
        </w:pBdr>
        <w:spacing w:after="392" w:line="259" w:lineRule="auto"/>
        <w:jc w:val="both"/>
        <w:rPr>
          <w:rFonts w:ascii="Arial" w:eastAsia="Calibri" w:hAnsi="Arial" w:cs="Arial"/>
          <w:b/>
          <w:bCs/>
          <w:color w:val="000000"/>
          <w:sz w:val="22"/>
          <w:szCs w:val="22"/>
        </w:rPr>
      </w:pPr>
      <w:r w:rsidRPr="0030358C">
        <w:rPr>
          <w:rFonts w:ascii="Arial" w:eastAsia="Calibri" w:hAnsi="Arial" w:cs="Arial"/>
          <w:b/>
          <w:bCs/>
          <w:color w:val="000000"/>
          <w:sz w:val="22"/>
          <w:szCs w:val="22"/>
        </w:rPr>
        <w:t>Analýzy provádí akreditovaná laboratoř. Předání vzorku vybrané zkušební laboratoři se uskuteční v zapečetěné vzorkovnici a vše bude dokumentováno záznamem</w:t>
      </w:r>
      <w:r w:rsidR="00FB7707" w:rsidRPr="0030358C">
        <w:rPr>
          <w:rFonts w:ascii="Arial" w:eastAsia="Calibri" w:hAnsi="Arial" w:cs="Arial"/>
          <w:b/>
          <w:bCs/>
          <w:color w:val="000000"/>
          <w:sz w:val="22"/>
          <w:szCs w:val="22"/>
        </w:rPr>
        <w:t xml:space="preserve"> na</w:t>
      </w:r>
      <w:r w:rsidRPr="0030358C">
        <w:rPr>
          <w:rFonts w:ascii="Arial" w:eastAsia="Calibri" w:hAnsi="Arial" w:cs="Arial"/>
          <w:b/>
          <w:bCs/>
          <w:color w:val="000000"/>
          <w:sz w:val="22"/>
          <w:szCs w:val="22"/>
        </w:rPr>
        <w:t xml:space="preserve"> předávací</w:t>
      </w:r>
      <w:r w:rsidR="00FB7707" w:rsidRPr="0030358C">
        <w:rPr>
          <w:rFonts w:ascii="Arial" w:eastAsia="Calibri" w:hAnsi="Arial" w:cs="Arial"/>
          <w:b/>
          <w:bCs/>
          <w:color w:val="000000"/>
          <w:sz w:val="22"/>
          <w:szCs w:val="22"/>
        </w:rPr>
        <w:t>m</w:t>
      </w:r>
      <w:r w:rsidRPr="0030358C">
        <w:rPr>
          <w:rFonts w:ascii="Arial" w:eastAsia="Calibri" w:hAnsi="Arial" w:cs="Arial"/>
          <w:b/>
          <w:bCs/>
          <w:color w:val="000000"/>
          <w:sz w:val="22"/>
          <w:szCs w:val="22"/>
        </w:rPr>
        <w:t xml:space="preserve"> list</w:t>
      </w:r>
      <w:r w:rsidR="00FB7707" w:rsidRPr="0030358C">
        <w:rPr>
          <w:rFonts w:ascii="Arial" w:eastAsia="Calibri" w:hAnsi="Arial" w:cs="Arial"/>
          <w:b/>
          <w:bCs/>
          <w:color w:val="000000"/>
          <w:sz w:val="22"/>
          <w:szCs w:val="22"/>
        </w:rPr>
        <w:t>u</w:t>
      </w:r>
      <w:r w:rsidRPr="0030358C">
        <w:rPr>
          <w:rFonts w:ascii="Arial" w:eastAsia="Calibri" w:hAnsi="Arial" w:cs="Arial"/>
          <w:b/>
          <w:bCs/>
          <w:color w:val="000000"/>
          <w:sz w:val="22"/>
          <w:szCs w:val="22"/>
        </w:rPr>
        <w:t xml:space="preserve"> nebo protokol</w:t>
      </w:r>
      <w:r w:rsidR="00FB7707" w:rsidRPr="0030358C">
        <w:rPr>
          <w:rFonts w:ascii="Arial" w:eastAsia="Calibri" w:hAnsi="Arial" w:cs="Arial"/>
          <w:b/>
          <w:bCs/>
          <w:color w:val="000000"/>
          <w:sz w:val="22"/>
          <w:szCs w:val="22"/>
        </w:rPr>
        <w:t>u</w:t>
      </w:r>
      <w:r w:rsidRPr="0030358C">
        <w:rPr>
          <w:rFonts w:ascii="Arial" w:eastAsia="Calibri" w:hAnsi="Arial" w:cs="Arial"/>
          <w:b/>
          <w:bCs/>
          <w:color w:val="000000"/>
          <w:sz w:val="22"/>
          <w:szCs w:val="22"/>
        </w:rPr>
        <w:t xml:space="preserve"> dle obvyklého postupu zavedeného v příslušné laboratoři.</w:t>
      </w:r>
    </w:p>
    <w:p w14:paraId="3A7C7EB6" w14:textId="77777777" w:rsidR="00BD4B0C" w:rsidRPr="0030358C" w:rsidRDefault="00000000" w:rsidP="00BD4B0C">
      <w:pPr>
        <w:pBdr>
          <w:top w:val="nil"/>
          <w:left w:val="nil"/>
          <w:bottom w:val="nil"/>
          <w:right w:val="nil"/>
        </w:pBdr>
        <w:spacing w:after="392"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5. </w:t>
      </w:r>
      <w:r w:rsidR="00130492" w:rsidRPr="0030358C">
        <w:rPr>
          <w:rFonts w:ascii="Arial" w:eastAsia="Calibri" w:hAnsi="Arial" w:cs="Arial"/>
          <w:b/>
          <w:bCs/>
          <w:color w:val="000000"/>
          <w:sz w:val="22"/>
          <w:szCs w:val="22"/>
        </w:rPr>
        <w:t xml:space="preserve">Zadání pro laboratoř </w:t>
      </w:r>
    </w:p>
    <w:p w14:paraId="5515CE34" w14:textId="77777777" w:rsidR="00130492" w:rsidRPr="0030358C" w:rsidRDefault="00000000" w:rsidP="00BD4B0C">
      <w:pPr>
        <w:pBdr>
          <w:top w:val="nil"/>
          <w:left w:val="nil"/>
          <w:bottom w:val="nil"/>
          <w:right w:val="nil"/>
        </w:pBdr>
        <w:spacing w:after="392" w:line="259" w:lineRule="auto"/>
        <w:jc w:val="both"/>
        <w:rPr>
          <w:rFonts w:ascii="Arial" w:eastAsia="Calibri" w:hAnsi="Arial" w:cs="Arial"/>
          <w:b/>
          <w:bCs/>
          <w:sz w:val="22"/>
          <w:szCs w:val="22"/>
        </w:rPr>
      </w:pPr>
      <w:r w:rsidRPr="0030358C">
        <w:rPr>
          <w:rFonts w:ascii="Arial" w:eastAsia="Calibri" w:hAnsi="Arial" w:cs="Arial"/>
          <w:b/>
          <w:bCs/>
          <w:sz w:val="22"/>
          <w:szCs w:val="22"/>
        </w:rPr>
        <w:t xml:space="preserve">a) </w:t>
      </w:r>
      <w:r w:rsidRPr="0030358C">
        <w:rPr>
          <w:rFonts w:ascii="Arial" w:eastAsia="Calibri" w:hAnsi="Arial" w:cs="Arial"/>
          <w:b/>
          <w:bCs/>
          <w:color w:val="000000"/>
          <w:sz w:val="22"/>
          <w:szCs w:val="22"/>
        </w:rPr>
        <w:t xml:space="preserve">Rozdělení vzorku popela odebraného u provozovatele </w:t>
      </w:r>
    </w:p>
    <w:p w14:paraId="409482AC" w14:textId="77777777" w:rsidR="00130492" w:rsidRPr="0030358C" w:rsidRDefault="00000000" w:rsidP="00BD4B0C">
      <w:p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I. úprava a homogenizace vzorku popela (drcení na granulometrii &lt; 3,15 mm) </w:t>
      </w:r>
    </w:p>
    <w:p w14:paraId="1C65DBE6" w14:textId="77777777" w:rsidR="00130492" w:rsidRPr="0030358C" w:rsidRDefault="00000000" w:rsidP="00BD4B0C">
      <w:p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II. rozdělení na poloviny (vzorek „A“, vzorek „B“) </w:t>
      </w:r>
    </w:p>
    <w:p w14:paraId="0AB1D11D" w14:textId="77777777" w:rsidR="00130492" w:rsidRPr="0030358C" w:rsidRDefault="00000000" w:rsidP="00BD4B0C">
      <w:p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III. archivace vzorku „A“ (archivní vzorek pro případnou potřebu kontrolního orgánu)</w:t>
      </w:r>
    </w:p>
    <w:p w14:paraId="62AFEEBE" w14:textId="77777777" w:rsidR="00130492" w:rsidRPr="0030358C" w:rsidRDefault="00000000" w:rsidP="00BD4B0C">
      <w:p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IV. analýza vzorku „B“ </w:t>
      </w:r>
    </w:p>
    <w:p w14:paraId="1266EB7C" w14:textId="77777777" w:rsidR="00130492" w:rsidRPr="0030358C" w:rsidRDefault="00000000" w:rsidP="00BD4B0C">
      <w:p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b) Požadované analýzy vzorku „B“ </w:t>
      </w:r>
    </w:p>
    <w:p w14:paraId="11649C36" w14:textId="77777777" w:rsidR="00130492" w:rsidRPr="0030358C" w:rsidRDefault="00000000" w:rsidP="003F3ED9">
      <w:p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K prokázání spalování odpadu prostřednictvím analýzy popela je požadováno stanovení koncentrace těchto </w:t>
      </w:r>
      <w:r w:rsidR="00C504BB" w:rsidRPr="0030358C">
        <w:rPr>
          <w:rFonts w:ascii="Arial" w:eastAsia="Calibri" w:hAnsi="Arial" w:cs="Arial"/>
          <w:b/>
          <w:bCs/>
          <w:color w:val="000000"/>
          <w:sz w:val="22"/>
          <w:szCs w:val="22"/>
        </w:rPr>
        <w:t>kovů – Sb</w:t>
      </w:r>
      <w:r w:rsidRPr="0030358C">
        <w:rPr>
          <w:rFonts w:ascii="Arial" w:eastAsia="Calibri" w:hAnsi="Arial" w:cs="Arial"/>
          <w:b/>
          <w:bCs/>
          <w:color w:val="000000"/>
          <w:sz w:val="22"/>
          <w:szCs w:val="22"/>
        </w:rPr>
        <w:t>, Cu, Pb, Sn, Zn, Ti a chloridů v sušině (tj. v bezvodém stavu) vzorku popela [mg/kg suš.].</w:t>
      </w:r>
    </w:p>
    <w:p w14:paraId="5BC984E1" w14:textId="77777777" w:rsidR="00130492" w:rsidRPr="0030358C" w:rsidRDefault="00000000" w:rsidP="00BD4B0C">
      <w:pPr>
        <w:pBdr>
          <w:top w:val="nil"/>
          <w:left w:val="nil"/>
          <w:bottom w:val="nil"/>
          <w:right w:val="nil"/>
        </w:pBdr>
        <w:spacing w:after="93"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c) Požadované metody analýz</w:t>
      </w:r>
    </w:p>
    <w:p w14:paraId="5CFB8D98" w14:textId="77777777" w:rsidR="00130492" w:rsidRPr="0030358C" w:rsidRDefault="00000000" w:rsidP="00BD4B0C">
      <w:p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I. kovy: </w:t>
      </w:r>
    </w:p>
    <w:p w14:paraId="3973E29A" w14:textId="77777777" w:rsidR="00130492" w:rsidRPr="0030358C" w:rsidRDefault="00000000" w:rsidP="00BD4B0C">
      <w:pPr>
        <w:pBdr>
          <w:top w:val="nil"/>
          <w:left w:val="nil"/>
          <w:bottom w:val="nil"/>
          <w:right w:val="nil"/>
        </w:pBdr>
        <w:spacing w:after="131"/>
        <w:ind w:right="39"/>
        <w:jc w:val="both"/>
        <w:rPr>
          <w:rFonts w:ascii="Arial" w:eastAsia="Calibri" w:hAnsi="Arial" w:cs="Arial"/>
          <w:b/>
          <w:bCs/>
          <w:sz w:val="22"/>
          <w:szCs w:val="22"/>
        </w:rPr>
      </w:pPr>
      <w:r w:rsidRPr="0030358C">
        <w:rPr>
          <w:rFonts w:ascii="Arial" w:eastAsia="Calibri" w:hAnsi="Arial" w:cs="Arial"/>
          <w:b/>
          <w:bCs/>
          <w:color w:val="000000"/>
          <w:sz w:val="22"/>
          <w:szCs w:val="22"/>
        </w:rPr>
        <w:t xml:space="preserve">Rozklad (mineralizace) vzorku popela pomocí lučavky královské nebo pomocí kyseliny fluorovodíkové (HF). </w:t>
      </w:r>
    </w:p>
    <w:p w14:paraId="2DC8F461" w14:textId="77777777" w:rsidR="00130492" w:rsidRPr="0030358C" w:rsidRDefault="00000000" w:rsidP="00BD4B0C">
      <w:pPr>
        <w:pBdr>
          <w:top w:val="nil"/>
          <w:left w:val="nil"/>
          <w:bottom w:val="nil"/>
          <w:right w:val="nil"/>
        </w:pBdr>
        <w:spacing w:after="140" w:line="235" w:lineRule="atLeast"/>
        <w:ind w:right="39"/>
        <w:jc w:val="both"/>
        <w:rPr>
          <w:rFonts w:ascii="Arial" w:eastAsia="Calibri" w:hAnsi="Arial" w:cs="Arial"/>
          <w:b/>
          <w:bCs/>
          <w:sz w:val="22"/>
          <w:szCs w:val="22"/>
        </w:rPr>
      </w:pPr>
      <w:r w:rsidRPr="0030358C">
        <w:rPr>
          <w:rFonts w:ascii="Arial" w:eastAsia="Calibri" w:hAnsi="Arial" w:cs="Arial"/>
          <w:b/>
          <w:bCs/>
          <w:color w:val="000000"/>
          <w:sz w:val="22"/>
          <w:szCs w:val="22"/>
        </w:rPr>
        <w:t xml:space="preserve">Analytické koncovky: </w:t>
      </w:r>
    </w:p>
    <w:p w14:paraId="1153FD31" w14:textId="77777777" w:rsidR="00130492" w:rsidRPr="0030358C" w:rsidRDefault="00000000" w:rsidP="00BD4B0C">
      <w:pPr>
        <w:pBdr>
          <w:top w:val="nil"/>
          <w:left w:val="nil"/>
          <w:bottom w:val="nil"/>
          <w:right w:val="nil"/>
        </w:pBdr>
        <w:spacing w:after="13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ICP-</w:t>
      </w:r>
      <w:r w:rsidR="00392CB2" w:rsidRPr="0030358C">
        <w:rPr>
          <w:rFonts w:ascii="Arial" w:eastAsia="Calibri" w:hAnsi="Arial" w:cs="Arial"/>
          <w:b/>
          <w:bCs/>
          <w:color w:val="000000"/>
          <w:sz w:val="22"/>
          <w:szCs w:val="22"/>
        </w:rPr>
        <w:t>OES – emisní</w:t>
      </w:r>
      <w:r w:rsidRPr="0030358C">
        <w:rPr>
          <w:rFonts w:ascii="Arial" w:eastAsia="Calibri" w:hAnsi="Arial" w:cs="Arial"/>
          <w:b/>
          <w:bCs/>
          <w:color w:val="000000"/>
          <w:sz w:val="22"/>
          <w:szCs w:val="22"/>
        </w:rPr>
        <w:t xml:space="preserve"> spektrometrie s indukčně vázaným plazmatem </w:t>
      </w:r>
    </w:p>
    <w:p w14:paraId="5E24ED02" w14:textId="77777777" w:rsidR="00130492" w:rsidRPr="0030358C" w:rsidRDefault="00000000" w:rsidP="00BD4B0C">
      <w:pPr>
        <w:pBdr>
          <w:top w:val="nil"/>
          <w:left w:val="nil"/>
          <w:bottom w:val="nil"/>
          <w:right w:val="nil"/>
        </w:pBdr>
        <w:spacing w:after="13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ICP-</w:t>
      </w:r>
      <w:r w:rsidR="00392CB2" w:rsidRPr="0030358C">
        <w:rPr>
          <w:rFonts w:ascii="Arial" w:eastAsia="Calibri" w:hAnsi="Arial" w:cs="Arial"/>
          <w:b/>
          <w:bCs/>
          <w:color w:val="000000"/>
          <w:sz w:val="22"/>
          <w:szCs w:val="22"/>
        </w:rPr>
        <w:t>MS – hmotnostní</w:t>
      </w:r>
      <w:r w:rsidRPr="0030358C">
        <w:rPr>
          <w:rFonts w:ascii="Arial" w:eastAsia="Calibri" w:hAnsi="Arial" w:cs="Arial"/>
          <w:b/>
          <w:bCs/>
          <w:color w:val="000000"/>
          <w:sz w:val="22"/>
          <w:szCs w:val="22"/>
        </w:rPr>
        <w:t xml:space="preserve"> spektrometrie s indukčně vázaným plazmatem </w:t>
      </w:r>
    </w:p>
    <w:p w14:paraId="49A54602" w14:textId="77777777" w:rsidR="00130492" w:rsidRPr="0030358C" w:rsidRDefault="00000000" w:rsidP="00BD4B0C">
      <w:pPr>
        <w:pBdr>
          <w:top w:val="nil"/>
          <w:left w:val="nil"/>
          <w:bottom w:val="nil"/>
          <w:right w:val="nil"/>
        </w:pBdr>
        <w:spacing w:after="13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AAS – atomová absorpční spektrometrie </w:t>
      </w:r>
    </w:p>
    <w:p w14:paraId="647BA439" w14:textId="77777777" w:rsidR="00130492" w:rsidRPr="0030358C" w:rsidRDefault="00000000" w:rsidP="00BD4B0C">
      <w:pPr>
        <w:pBdr>
          <w:top w:val="nil"/>
          <w:left w:val="nil"/>
          <w:bottom w:val="nil"/>
          <w:right w:val="nil"/>
        </w:pBdr>
        <w:spacing w:after="51"/>
        <w:jc w:val="both"/>
        <w:rPr>
          <w:rFonts w:ascii="Arial" w:eastAsia="Calibri" w:hAnsi="Arial" w:cs="Arial"/>
          <w:b/>
          <w:bCs/>
          <w:sz w:val="22"/>
          <w:szCs w:val="22"/>
        </w:rPr>
      </w:pPr>
      <w:r w:rsidRPr="0030358C">
        <w:rPr>
          <w:rFonts w:ascii="Arial" w:eastAsia="Calibri" w:hAnsi="Arial" w:cs="Arial"/>
          <w:b/>
          <w:bCs/>
          <w:color w:val="000000"/>
          <w:sz w:val="22"/>
          <w:szCs w:val="22"/>
        </w:rPr>
        <w:t>II. chloridy (Cl</w:t>
      </w:r>
      <w:r w:rsidRPr="0030358C">
        <w:rPr>
          <w:rFonts w:ascii="Arial" w:eastAsia="Calibri" w:hAnsi="Arial" w:cs="Arial"/>
          <w:b/>
          <w:bCs/>
          <w:color w:val="000000"/>
          <w:sz w:val="22"/>
          <w:szCs w:val="22"/>
          <w:vertAlign w:val="superscript"/>
        </w:rPr>
        <w:t>-</w:t>
      </w:r>
      <w:r w:rsidRPr="0030358C">
        <w:rPr>
          <w:rFonts w:ascii="Arial" w:eastAsia="Calibri" w:hAnsi="Arial" w:cs="Arial"/>
          <w:b/>
          <w:bCs/>
          <w:color w:val="000000"/>
          <w:sz w:val="22"/>
          <w:szCs w:val="22"/>
        </w:rPr>
        <w:t xml:space="preserve">): </w:t>
      </w:r>
    </w:p>
    <w:p w14:paraId="76581551" w14:textId="77777777" w:rsidR="00130492" w:rsidRPr="0030358C" w:rsidRDefault="00000000" w:rsidP="00130492">
      <w:pPr>
        <w:pBdr>
          <w:top w:val="nil"/>
          <w:left w:val="nil"/>
          <w:bottom w:val="nil"/>
          <w:right w:val="nil"/>
        </w:pBdr>
        <w:spacing w:after="131" w:line="259" w:lineRule="auto"/>
        <w:ind w:right="39"/>
        <w:jc w:val="both"/>
        <w:rPr>
          <w:rFonts w:ascii="Arial" w:eastAsia="Calibri" w:hAnsi="Arial" w:cs="Arial"/>
          <w:b/>
          <w:bCs/>
          <w:sz w:val="22"/>
          <w:szCs w:val="22"/>
        </w:rPr>
      </w:pPr>
      <w:r w:rsidRPr="0030358C">
        <w:rPr>
          <w:rFonts w:ascii="Arial" w:eastAsia="Calibri" w:hAnsi="Arial" w:cs="Arial"/>
          <w:b/>
          <w:bCs/>
          <w:color w:val="000000"/>
          <w:sz w:val="22"/>
          <w:szCs w:val="22"/>
        </w:rPr>
        <w:t>Příprava vodného výluhu z popela v poměru 1:10 vztaženo na sušinu vzorku popela.</w:t>
      </w:r>
    </w:p>
    <w:p w14:paraId="2C36B2DF" w14:textId="77777777" w:rsidR="00130492" w:rsidRPr="0030358C" w:rsidRDefault="00000000" w:rsidP="00130492">
      <w:pPr>
        <w:pBdr>
          <w:top w:val="nil"/>
          <w:left w:val="nil"/>
          <w:bottom w:val="nil"/>
          <w:right w:val="nil"/>
        </w:pBdr>
        <w:spacing w:after="131" w:line="259" w:lineRule="auto"/>
        <w:ind w:right="39"/>
        <w:jc w:val="both"/>
        <w:rPr>
          <w:rFonts w:ascii="Arial" w:eastAsia="Calibri" w:hAnsi="Arial" w:cs="Arial"/>
          <w:b/>
          <w:bCs/>
          <w:sz w:val="22"/>
          <w:szCs w:val="22"/>
        </w:rPr>
      </w:pPr>
      <w:r w:rsidRPr="0030358C">
        <w:rPr>
          <w:rFonts w:ascii="Arial" w:eastAsia="Calibri" w:hAnsi="Arial" w:cs="Arial"/>
          <w:b/>
          <w:bCs/>
          <w:color w:val="000000"/>
          <w:sz w:val="22"/>
          <w:szCs w:val="22"/>
        </w:rPr>
        <w:t xml:space="preserve">Stanovení chloridů ve vodném výluhu pomocí iontové chromatografie (IC) - upřednostněno, případně titračně, spektrofotometricky aj. </w:t>
      </w:r>
    </w:p>
    <w:p w14:paraId="4978E4F6" w14:textId="77777777" w:rsidR="00130492" w:rsidRPr="0030358C" w:rsidRDefault="00000000" w:rsidP="00130492">
      <w:pPr>
        <w:pBdr>
          <w:top w:val="nil"/>
          <w:left w:val="nil"/>
          <w:bottom w:val="nil"/>
          <w:right w:val="nil"/>
        </w:pBdr>
        <w:spacing w:after="160" w:line="235" w:lineRule="atLeast"/>
        <w:rPr>
          <w:rFonts w:ascii="Arial" w:eastAsia="Calibri" w:hAnsi="Arial" w:cs="Arial"/>
          <w:b/>
          <w:bCs/>
          <w:sz w:val="22"/>
          <w:szCs w:val="22"/>
        </w:rPr>
      </w:pPr>
      <w:r w:rsidRPr="0030358C">
        <w:rPr>
          <w:rFonts w:ascii="Arial" w:eastAsia="Calibri" w:hAnsi="Arial" w:cs="Arial"/>
          <w:b/>
          <w:bCs/>
          <w:color w:val="000000"/>
          <w:sz w:val="22"/>
          <w:szCs w:val="22"/>
        </w:rPr>
        <w:t> </w:t>
      </w:r>
    </w:p>
    <w:p w14:paraId="3DF483F0" w14:textId="77777777" w:rsidR="00130492" w:rsidRPr="0030358C" w:rsidRDefault="00000000" w:rsidP="00764961">
      <w:pPr>
        <w:pBdr>
          <w:top w:val="nil"/>
          <w:left w:val="nil"/>
          <w:bottom w:val="nil"/>
          <w:right w:val="nil"/>
        </w:pBdr>
        <w:spacing w:line="235" w:lineRule="atLeast"/>
        <w:rPr>
          <w:rFonts w:ascii="Arial" w:eastAsia="Calibri" w:hAnsi="Arial" w:cs="Arial"/>
          <w:b/>
          <w:bCs/>
          <w:sz w:val="22"/>
          <w:szCs w:val="22"/>
        </w:rPr>
      </w:pPr>
      <w:r w:rsidRPr="0030358C">
        <w:rPr>
          <w:rFonts w:ascii="Arial" w:eastAsia="Calibri" w:hAnsi="Arial" w:cs="Arial"/>
          <w:b/>
          <w:bCs/>
          <w:color w:val="000000"/>
          <w:sz w:val="22"/>
          <w:szCs w:val="22"/>
        </w:rPr>
        <w:lastRenderedPageBreak/>
        <w:t>6. Posouzení výsledků z laboratoře z pohledu identifikace spalování odpadů ve spalovacích zařízeních – stanovení limitních hodnot</w:t>
      </w:r>
    </w:p>
    <w:p w14:paraId="68766E78" w14:textId="77777777" w:rsidR="00130492" w:rsidRPr="0030358C" w:rsidRDefault="00000000" w:rsidP="00130492">
      <w:pPr>
        <w:pBdr>
          <w:top w:val="nil"/>
          <w:left w:val="nil"/>
          <w:bottom w:val="nil"/>
          <w:right w:val="nil"/>
        </w:pBdr>
        <w:spacing w:after="160" w:line="235" w:lineRule="atLeast"/>
        <w:rPr>
          <w:rFonts w:ascii="Arial" w:eastAsia="Calibri" w:hAnsi="Arial" w:cs="Arial"/>
          <w:b/>
          <w:bCs/>
          <w:sz w:val="22"/>
          <w:szCs w:val="22"/>
        </w:rPr>
      </w:pPr>
      <w:r w:rsidRPr="0030358C">
        <w:rPr>
          <w:rFonts w:ascii="Arial" w:eastAsia="Calibri" w:hAnsi="Arial" w:cs="Arial"/>
          <w:b/>
          <w:bCs/>
          <w:color w:val="000000"/>
          <w:sz w:val="22"/>
          <w:szCs w:val="22"/>
        </w:rPr>
        <w:t xml:space="preserve">Výsledky provedené analýzy vzorku se porovnávají s níže uvedenými limitními hodnotami jednotlivých ukazatelů. Pro zjednodušení navrženo využití barev jako na semaforu. Vyhodnocení výsledků analýzy je prováděno podle druhu spalovaného paliva pro 6 skupin, z nichž má každá skupina níže stanovené limitní hodnoty koncentrace jednotlivých sledovaných látek (ukazatelů) ve vzorku odebraného popela. </w:t>
      </w:r>
    </w:p>
    <w:p w14:paraId="2278DB18" w14:textId="77777777" w:rsidR="00130492" w:rsidRPr="0030358C" w:rsidRDefault="00000000" w:rsidP="00764961">
      <w:pPr>
        <w:numPr>
          <w:ilvl w:val="0"/>
          <w:numId w:val="203"/>
        </w:num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biomasa (např. dřevo, dřevěné brikety, dřevěné pelety) </w:t>
      </w:r>
    </w:p>
    <w:p w14:paraId="1179F7F8" w14:textId="77777777" w:rsidR="00130492" w:rsidRPr="0030358C" w:rsidRDefault="00000000" w:rsidP="00764961">
      <w:pPr>
        <w:numPr>
          <w:ilvl w:val="0"/>
          <w:numId w:val="203"/>
        </w:num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hnědé uhlí a hnědouhelné brikety </w:t>
      </w:r>
    </w:p>
    <w:p w14:paraId="0F2AAD2E" w14:textId="77777777" w:rsidR="00130492" w:rsidRPr="0030358C" w:rsidRDefault="00000000" w:rsidP="00764961">
      <w:pPr>
        <w:numPr>
          <w:ilvl w:val="0"/>
          <w:numId w:val="203"/>
        </w:num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černé uhlí</w:t>
      </w:r>
    </w:p>
    <w:p w14:paraId="73426725" w14:textId="77777777" w:rsidR="00130492" w:rsidRPr="0030358C" w:rsidRDefault="00000000" w:rsidP="00764961">
      <w:pPr>
        <w:numPr>
          <w:ilvl w:val="0"/>
          <w:numId w:val="203"/>
        </w:num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hnědé uhlí + biomasa (např. směsi biomasy a hnědého uhlí) </w:t>
      </w:r>
    </w:p>
    <w:p w14:paraId="557BE170" w14:textId="77777777" w:rsidR="00130492" w:rsidRPr="0030358C" w:rsidRDefault="00000000" w:rsidP="00764961">
      <w:pPr>
        <w:numPr>
          <w:ilvl w:val="0"/>
          <w:numId w:val="203"/>
        </w:num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černé uhlí + biomasa (např. směsi biomasy a černého uhlí) </w:t>
      </w:r>
    </w:p>
    <w:p w14:paraId="0C846E37" w14:textId="77777777" w:rsidR="00130492" w:rsidRPr="0030358C" w:rsidRDefault="00000000" w:rsidP="00764961">
      <w:pPr>
        <w:numPr>
          <w:ilvl w:val="0"/>
          <w:numId w:val="203"/>
        </w:numPr>
        <w:pBdr>
          <w:top w:val="nil"/>
          <w:left w:val="nil"/>
          <w:bottom w:val="nil"/>
          <w:right w:val="nil"/>
        </w:pBdr>
        <w:spacing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nespecifikované palivo (např. blíže neurčené směsi biomasy a uhlí) </w:t>
      </w:r>
    </w:p>
    <w:p w14:paraId="4F84F65E" w14:textId="77777777" w:rsidR="00130492" w:rsidRPr="0030358C" w:rsidRDefault="00130492" w:rsidP="00130492">
      <w:pPr>
        <w:pBdr>
          <w:top w:val="nil"/>
          <w:left w:val="nil"/>
          <w:bottom w:val="nil"/>
          <w:right w:val="nil"/>
        </w:pBdr>
        <w:spacing w:after="278" w:line="235" w:lineRule="atLeast"/>
        <w:ind w:left="10" w:right="39" w:hanging="10"/>
        <w:jc w:val="both"/>
        <w:rPr>
          <w:rFonts w:ascii="Arial" w:eastAsia="Calibri" w:hAnsi="Arial" w:cs="Arial"/>
          <w:b/>
          <w:bCs/>
          <w:sz w:val="22"/>
          <w:szCs w:val="22"/>
        </w:rPr>
      </w:pPr>
    </w:p>
    <w:p w14:paraId="3AEC4B71" w14:textId="77777777" w:rsidR="00130492" w:rsidRPr="0030358C" w:rsidRDefault="00000000" w:rsidP="00764961">
      <w:pPr>
        <w:pBdr>
          <w:top w:val="nil"/>
          <w:left w:val="nil"/>
          <w:bottom w:val="nil"/>
          <w:right w:val="nil"/>
        </w:pBdr>
        <w:spacing w:after="278" w:line="235" w:lineRule="atLeast"/>
        <w:ind w:left="10" w:right="39" w:hanging="10"/>
        <w:jc w:val="both"/>
        <w:rPr>
          <w:rFonts w:ascii="Arial" w:eastAsia="Calibri" w:hAnsi="Arial" w:cs="Arial"/>
          <w:b/>
          <w:bCs/>
          <w:color w:val="000000"/>
          <w:sz w:val="22"/>
          <w:szCs w:val="22"/>
        </w:rPr>
      </w:pPr>
      <w:r w:rsidRPr="0030358C">
        <w:rPr>
          <w:rFonts w:ascii="Arial" w:eastAsia="Calibri" w:hAnsi="Arial" w:cs="Arial"/>
          <w:b/>
          <w:bCs/>
          <w:color w:val="000000"/>
          <w:sz w:val="22"/>
          <w:szCs w:val="22"/>
        </w:rPr>
        <w:t>Každá skupina má níže stanovené limitní hodnoty koncentrace jednotlivých sledovaných látek (ukazatelů) ve vzorku popela po spalování paliva</w:t>
      </w:r>
      <w:r w:rsidR="00764961" w:rsidRPr="0030358C">
        <w:rPr>
          <w:rFonts w:ascii="Arial" w:eastAsia="Calibri" w:hAnsi="Arial" w:cs="Arial"/>
          <w:b/>
          <w:bCs/>
          <w:color w:val="000000"/>
          <w:sz w:val="22"/>
          <w:szCs w:val="22"/>
        </w:rPr>
        <w:t>:</w:t>
      </w:r>
    </w:p>
    <w:tbl>
      <w:tblPr>
        <w:tblStyle w:val="Mkatabulky1"/>
        <w:tblW w:w="0" w:type="auto"/>
        <w:tblBorders>
          <w:top w:val="nil"/>
          <w:left w:val="nil"/>
          <w:bottom w:val="nil"/>
          <w:right w:val="nil"/>
          <w:insideH w:val="nil"/>
          <w:insideV w:val="nil"/>
        </w:tblBorders>
        <w:tblLook w:val="04A0" w:firstRow="1" w:lastRow="0" w:firstColumn="1" w:lastColumn="0" w:noHBand="0" w:noVBand="1"/>
      </w:tblPr>
      <w:tblGrid>
        <w:gridCol w:w="3642"/>
        <w:gridCol w:w="694"/>
        <w:gridCol w:w="704"/>
        <w:gridCol w:w="830"/>
        <w:gridCol w:w="844"/>
        <w:gridCol w:w="715"/>
        <w:gridCol w:w="714"/>
        <w:gridCol w:w="899"/>
      </w:tblGrid>
      <w:tr w:rsidR="00E40657" w14:paraId="2B3C790C" w14:textId="77777777" w:rsidTr="00773B69">
        <w:trPr>
          <w:trHeight w:val="505"/>
        </w:trPr>
        <w:tc>
          <w:tcPr>
            <w:tcW w:w="3827" w:type="dxa"/>
            <w:tcBorders>
              <w:top w:val="single" w:sz="12" w:space="0" w:color="000000"/>
              <w:left w:val="single" w:sz="12" w:space="0" w:color="000000"/>
              <w:bottom w:val="single" w:sz="12" w:space="0" w:color="000000"/>
              <w:right w:val="single" w:sz="8" w:space="0" w:color="000000"/>
            </w:tcBorders>
            <w:tcMar>
              <w:top w:w="91" w:type="dxa"/>
              <w:left w:w="145" w:type="dxa"/>
              <w:bottom w:w="0" w:type="dxa"/>
              <w:right w:w="115" w:type="dxa"/>
            </w:tcMar>
            <w:vAlign w:val="center"/>
          </w:tcPr>
          <w:p w14:paraId="1616F8FB" w14:textId="77777777" w:rsidR="00130492" w:rsidRPr="0030358C" w:rsidRDefault="00000000" w:rsidP="00130492">
            <w:pPr>
              <w:pBdr>
                <w:top w:val="nil"/>
                <w:left w:val="nil"/>
                <w:bottom w:val="nil"/>
                <w:right w:val="nil"/>
              </w:pBdr>
              <w:ind w:left="6"/>
              <w:rPr>
                <w:rFonts w:ascii="Arial" w:hAnsi="Arial" w:cs="Arial"/>
                <w:b/>
                <w:bCs/>
                <w:sz w:val="22"/>
                <w:szCs w:val="22"/>
              </w:rPr>
            </w:pPr>
            <w:r w:rsidRPr="0030358C">
              <w:rPr>
                <w:rFonts w:ascii="Arial" w:hAnsi="Arial" w:cs="Arial"/>
                <w:b/>
                <w:bCs/>
                <w:color w:val="000000"/>
                <w:sz w:val="22"/>
                <w:szCs w:val="22"/>
              </w:rPr>
              <w:t>Limitní hodnoty ukazatelů [mg/kg suš.]</w:t>
            </w:r>
          </w:p>
        </w:tc>
        <w:tc>
          <w:tcPr>
            <w:tcW w:w="709" w:type="dxa"/>
            <w:tcBorders>
              <w:top w:val="single" w:sz="12" w:space="0" w:color="000000"/>
              <w:left w:val="nil"/>
              <w:bottom w:val="single" w:sz="12" w:space="0" w:color="000000"/>
              <w:right w:val="single" w:sz="8" w:space="0" w:color="000000"/>
            </w:tcBorders>
            <w:tcMar>
              <w:top w:w="91" w:type="dxa"/>
              <w:left w:w="145" w:type="dxa"/>
              <w:bottom w:w="0" w:type="dxa"/>
              <w:right w:w="115" w:type="dxa"/>
            </w:tcMar>
            <w:vAlign w:val="center"/>
          </w:tcPr>
          <w:p w14:paraId="0A5A813D" w14:textId="77777777" w:rsidR="00130492" w:rsidRPr="0030358C" w:rsidRDefault="00000000" w:rsidP="00130492">
            <w:pPr>
              <w:pBdr>
                <w:top w:val="nil"/>
                <w:left w:val="nil"/>
                <w:bottom w:val="nil"/>
                <w:right w:val="nil"/>
              </w:pBdr>
              <w:ind w:right="18"/>
              <w:jc w:val="center"/>
              <w:rPr>
                <w:rFonts w:ascii="Arial" w:hAnsi="Arial" w:cs="Arial"/>
                <w:b/>
                <w:bCs/>
                <w:sz w:val="22"/>
                <w:szCs w:val="22"/>
              </w:rPr>
            </w:pPr>
            <w:r w:rsidRPr="0030358C">
              <w:rPr>
                <w:rFonts w:ascii="Arial" w:hAnsi="Arial" w:cs="Arial"/>
                <w:b/>
                <w:bCs/>
                <w:color w:val="000000"/>
                <w:sz w:val="22"/>
                <w:szCs w:val="22"/>
              </w:rPr>
              <w:t>Pb</w:t>
            </w:r>
          </w:p>
        </w:tc>
        <w:tc>
          <w:tcPr>
            <w:tcW w:w="709" w:type="dxa"/>
            <w:tcBorders>
              <w:top w:val="single" w:sz="12" w:space="0" w:color="000000"/>
              <w:left w:val="nil"/>
              <w:bottom w:val="single" w:sz="12" w:space="0" w:color="000000"/>
              <w:right w:val="single" w:sz="8" w:space="0" w:color="000000"/>
            </w:tcBorders>
            <w:tcMar>
              <w:top w:w="91" w:type="dxa"/>
              <w:left w:w="145" w:type="dxa"/>
              <w:bottom w:w="0" w:type="dxa"/>
              <w:right w:w="115" w:type="dxa"/>
            </w:tcMar>
            <w:vAlign w:val="center"/>
          </w:tcPr>
          <w:p w14:paraId="4D1CC2A6" w14:textId="77777777" w:rsidR="00130492" w:rsidRPr="0030358C" w:rsidRDefault="00000000" w:rsidP="00130492">
            <w:pPr>
              <w:pBdr>
                <w:top w:val="nil"/>
                <w:left w:val="nil"/>
                <w:bottom w:val="nil"/>
                <w:right w:val="nil"/>
              </w:pBdr>
              <w:ind w:left="101"/>
              <w:rPr>
                <w:rFonts w:ascii="Arial" w:hAnsi="Arial" w:cs="Arial"/>
                <w:b/>
                <w:bCs/>
                <w:sz w:val="22"/>
                <w:szCs w:val="22"/>
              </w:rPr>
            </w:pPr>
            <w:r w:rsidRPr="0030358C">
              <w:rPr>
                <w:rFonts w:ascii="Arial" w:hAnsi="Arial" w:cs="Arial"/>
                <w:b/>
                <w:bCs/>
                <w:color w:val="000000"/>
                <w:sz w:val="22"/>
                <w:szCs w:val="22"/>
              </w:rPr>
              <w:t>Cu</w:t>
            </w:r>
          </w:p>
        </w:tc>
        <w:tc>
          <w:tcPr>
            <w:tcW w:w="850" w:type="dxa"/>
            <w:tcBorders>
              <w:top w:val="single" w:sz="12" w:space="0" w:color="000000"/>
              <w:left w:val="nil"/>
              <w:bottom w:val="single" w:sz="12" w:space="0" w:color="000000"/>
              <w:right w:val="single" w:sz="8" w:space="0" w:color="000000"/>
            </w:tcBorders>
            <w:tcMar>
              <w:top w:w="91" w:type="dxa"/>
              <w:left w:w="145" w:type="dxa"/>
              <w:bottom w:w="0" w:type="dxa"/>
              <w:right w:w="115" w:type="dxa"/>
            </w:tcMar>
            <w:vAlign w:val="center"/>
          </w:tcPr>
          <w:p w14:paraId="63642AB3" w14:textId="77777777" w:rsidR="00130492" w:rsidRPr="0030358C" w:rsidRDefault="00000000" w:rsidP="00130492">
            <w:pPr>
              <w:pBdr>
                <w:top w:val="nil"/>
                <w:left w:val="nil"/>
                <w:bottom w:val="nil"/>
                <w:right w:val="nil"/>
              </w:pBdr>
              <w:ind w:right="18"/>
              <w:jc w:val="center"/>
              <w:rPr>
                <w:rFonts w:ascii="Arial" w:hAnsi="Arial" w:cs="Arial"/>
                <w:b/>
                <w:bCs/>
                <w:sz w:val="22"/>
                <w:szCs w:val="22"/>
              </w:rPr>
            </w:pPr>
            <w:r w:rsidRPr="0030358C">
              <w:rPr>
                <w:rFonts w:ascii="Arial" w:hAnsi="Arial" w:cs="Arial"/>
                <w:b/>
                <w:bCs/>
                <w:color w:val="000000"/>
                <w:sz w:val="22"/>
                <w:szCs w:val="22"/>
              </w:rPr>
              <w:t>Zn</w:t>
            </w:r>
          </w:p>
        </w:tc>
        <w:tc>
          <w:tcPr>
            <w:tcW w:w="868" w:type="dxa"/>
            <w:tcBorders>
              <w:top w:val="single" w:sz="12" w:space="0" w:color="000000"/>
              <w:left w:val="nil"/>
              <w:bottom w:val="single" w:sz="12" w:space="0" w:color="000000"/>
              <w:right w:val="single" w:sz="8" w:space="0" w:color="000000"/>
            </w:tcBorders>
            <w:tcMar>
              <w:top w:w="91" w:type="dxa"/>
              <w:left w:w="145" w:type="dxa"/>
              <w:bottom w:w="0" w:type="dxa"/>
              <w:right w:w="115" w:type="dxa"/>
            </w:tcMar>
            <w:vAlign w:val="center"/>
          </w:tcPr>
          <w:p w14:paraId="14C71169" w14:textId="77777777" w:rsidR="00130492" w:rsidRPr="0030358C" w:rsidRDefault="00000000" w:rsidP="00130492">
            <w:pPr>
              <w:pBdr>
                <w:top w:val="nil"/>
                <w:left w:val="nil"/>
                <w:bottom w:val="nil"/>
                <w:right w:val="nil"/>
              </w:pBdr>
              <w:ind w:right="24"/>
              <w:jc w:val="center"/>
              <w:rPr>
                <w:rFonts w:ascii="Arial" w:hAnsi="Arial" w:cs="Arial"/>
                <w:b/>
                <w:bCs/>
                <w:sz w:val="22"/>
                <w:szCs w:val="22"/>
              </w:rPr>
            </w:pPr>
            <w:r w:rsidRPr="0030358C">
              <w:rPr>
                <w:rFonts w:ascii="Arial" w:hAnsi="Arial" w:cs="Arial"/>
                <w:b/>
                <w:bCs/>
                <w:color w:val="000000"/>
                <w:sz w:val="22"/>
                <w:szCs w:val="22"/>
              </w:rPr>
              <w:t>Cl</w:t>
            </w:r>
          </w:p>
        </w:tc>
        <w:tc>
          <w:tcPr>
            <w:tcW w:w="732" w:type="dxa"/>
            <w:tcBorders>
              <w:top w:val="single" w:sz="12" w:space="0" w:color="000000"/>
              <w:left w:val="nil"/>
              <w:bottom w:val="single" w:sz="12" w:space="0" w:color="000000"/>
              <w:right w:val="single" w:sz="8" w:space="0" w:color="000000"/>
            </w:tcBorders>
            <w:tcMar>
              <w:top w:w="91" w:type="dxa"/>
              <w:left w:w="145" w:type="dxa"/>
              <w:bottom w:w="0" w:type="dxa"/>
              <w:right w:w="115" w:type="dxa"/>
            </w:tcMar>
            <w:vAlign w:val="center"/>
          </w:tcPr>
          <w:p w14:paraId="33F3B0B4" w14:textId="77777777" w:rsidR="00130492" w:rsidRPr="0030358C" w:rsidRDefault="00000000" w:rsidP="00130492">
            <w:pPr>
              <w:pBdr>
                <w:top w:val="nil"/>
                <w:left w:val="nil"/>
                <w:bottom w:val="nil"/>
                <w:right w:val="nil"/>
              </w:pBdr>
              <w:ind w:right="18"/>
              <w:jc w:val="center"/>
              <w:rPr>
                <w:rFonts w:ascii="Arial" w:hAnsi="Arial" w:cs="Arial"/>
                <w:b/>
                <w:bCs/>
                <w:sz w:val="22"/>
                <w:szCs w:val="22"/>
              </w:rPr>
            </w:pPr>
            <w:r w:rsidRPr="0030358C">
              <w:rPr>
                <w:rFonts w:ascii="Arial" w:hAnsi="Arial" w:cs="Arial"/>
                <w:b/>
                <w:bCs/>
                <w:color w:val="000000"/>
                <w:sz w:val="22"/>
                <w:szCs w:val="22"/>
              </w:rPr>
              <w:t>Sb</w:t>
            </w:r>
          </w:p>
        </w:tc>
        <w:tc>
          <w:tcPr>
            <w:tcW w:w="731" w:type="dxa"/>
            <w:tcBorders>
              <w:top w:val="single" w:sz="12" w:space="0" w:color="000000"/>
              <w:left w:val="nil"/>
              <w:bottom w:val="single" w:sz="12" w:space="0" w:color="000000"/>
              <w:right w:val="single" w:sz="8" w:space="0" w:color="000000"/>
            </w:tcBorders>
            <w:tcMar>
              <w:top w:w="91" w:type="dxa"/>
              <w:left w:w="145" w:type="dxa"/>
              <w:bottom w:w="0" w:type="dxa"/>
              <w:right w:w="115" w:type="dxa"/>
            </w:tcMar>
            <w:vAlign w:val="center"/>
          </w:tcPr>
          <w:p w14:paraId="26CEAEC7" w14:textId="77777777" w:rsidR="00130492" w:rsidRPr="0030358C" w:rsidRDefault="00000000" w:rsidP="00130492">
            <w:pPr>
              <w:pBdr>
                <w:top w:val="nil"/>
                <w:left w:val="nil"/>
                <w:bottom w:val="nil"/>
                <w:right w:val="nil"/>
              </w:pBdr>
              <w:ind w:right="18"/>
              <w:jc w:val="center"/>
              <w:rPr>
                <w:rFonts w:ascii="Arial" w:hAnsi="Arial" w:cs="Arial"/>
                <w:b/>
                <w:bCs/>
                <w:sz w:val="22"/>
                <w:szCs w:val="22"/>
              </w:rPr>
            </w:pPr>
            <w:r w:rsidRPr="0030358C">
              <w:rPr>
                <w:rFonts w:ascii="Arial" w:hAnsi="Arial" w:cs="Arial"/>
                <w:b/>
                <w:bCs/>
                <w:color w:val="000000"/>
                <w:sz w:val="22"/>
                <w:szCs w:val="22"/>
              </w:rPr>
              <w:t>Sn</w:t>
            </w:r>
          </w:p>
        </w:tc>
        <w:tc>
          <w:tcPr>
            <w:tcW w:w="929" w:type="dxa"/>
            <w:tcBorders>
              <w:top w:val="single" w:sz="12" w:space="0" w:color="000000"/>
              <w:left w:val="nil"/>
              <w:bottom w:val="single" w:sz="12" w:space="0" w:color="000000"/>
              <w:right w:val="single" w:sz="12" w:space="0" w:color="000000"/>
            </w:tcBorders>
            <w:tcMar>
              <w:top w:w="91" w:type="dxa"/>
              <w:left w:w="145" w:type="dxa"/>
              <w:bottom w:w="0" w:type="dxa"/>
              <w:right w:w="115" w:type="dxa"/>
            </w:tcMar>
            <w:vAlign w:val="center"/>
          </w:tcPr>
          <w:p w14:paraId="6213C369" w14:textId="77777777" w:rsidR="00130492" w:rsidRPr="0030358C" w:rsidRDefault="00000000" w:rsidP="00130492">
            <w:pPr>
              <w:pBdr>
                <w:top w:val="nil"/>
                <w:left w:val="nil"/>
                <w:bottom w:val="nil"/>
                <w:right w:val="nil"/>
              </w:pBdr>
              <w:ind w:right="5"/>
              <w:jc w:val="center"/>
              <w:rPr>
                <w:rFonts w:ascii="Arial" w:hAnsi="Arial" w:cs="Arial"/>
                <w:b/>
                <w:bCs/>
                <w:sz w:val="22"/>
                <w:szCs w:val="22"/>
              </w:rPr>
            </w:pPr>
            <w:r w:rsidRPr="0030358C">
              <w:rPr>
                <w:rFonts w:ascii="Arial" w:hAnsi="Arial" w:cs="Arial"/>
                <w:b/>
                <w:bCs/>
                <w:color w:val="000000"/>
                <w:sz w:val="22"/>
                <w:szCs w:val="22"/>
              </w:rPr>
              <w:t>Ti</w:t>
            </w:r>
          </w:p>
        </w:tc>
      </w:tr>
      <w:tr w:rsidR="00E40657" w14:paraId="08CB072D" w14:textId="77777777" w:rsidTr="00773B69">
        <w:trPr>
          <w:trHeight w:val="410"/>
        </w:trPr>
        <w:tc>
          <w:tcPr>
            <w:tcW w:w="3827" w:type="dxa"/>
            <w:tcBorders>
              <w:top w:val="nil"/>
              <w:left w:val="single" w:sz="12" w:space="0" w:color="000000"/>
              <w:bottom w:val="single" w:sz="8" w:space="0" w:color="000000"/>
              <w:right w:val="single" w:sz="8" w:space="0" w:color="000000"/>
            </w:tcBorders>
            <w:tcMar>
              <w:top w:w="91" w:type="dxa"/>
              <w:left w:w="145" w:type="dxa"/>
              <w:bottom w:w="0" w:type="dxa"/>
              <w:right w:w="115" w:type="dxa"/>
            </w:tcMar>
          </w:tcPr>
          <w:p w14:paraId="49FC9C66" w14:textId="77777777" w:rsidR="00130492" w:rsidRPr="0030358C" w:rsidRDefault="00000000" w:rsidP="00130492">
            <w:pPr>
              <w:pBdr>
                <w:top w:val="nil"/>
                <w:left w:val="nil"/>
                <w:bottom w:val="nil"/>
                <w:right w:val="nil"/>
              </w:pBdr>
              <w:ind w:left="6"/>
              <w:rPr>
                <w:rFonts w:ascii="Arial" w:hAnsi="Arial" w:cs="Arial"/>
                <w:b/>
                <w:bCs/>
                <w:sz w:val="22"/>
                <w:szCs w:val="22"/>
              </w:rPr>
            </w:pPr>
            <w:r w:rsidRPr="0030358C">
              <w:rPr>
                <w:rFonts w:ascii="Arial" w:hAnsi="Arial" w:cs="Arial"/>
                <w:b/>
                <w:bCs/>
                <w:color w:val="000000"/>
                <w:sz w:val="22"/>
                <w:szCs w:val="22"/>
              </w:rPr>
              <w:t>biomasa</w:t>
            </w:r>
          </w:p>
        </w:tc>
        <w:tc>
          <w:tcPr>
            <w:tcW w:w="709" w:type="dxa"/>
            <w:tcBorders>
              <w:top w:val="nil"/>
              <w:left w:val="nil"/>
              <w:bottom w:val="single" w:sz="8" w:space="0" w:color="000000"/>
              <w:right w:val="single" w:sz="8" w:space="0" w:color="000000"/>
            </w:tcBorders>
            <w:tcMar>
              <w:top w:w="91" w:type="dxa"/>
              <w:left w:w="145" w:type="dxa"/>
              <w:bottom w:w="0" w:type="dxa"/>
              <w:right w:w="115" w:type="dxa"/>
            </w:tcMar>
          </w:tcPr>
          <w:p w14:paraId="7B08C320"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55</w:t>
            </w:r>
          </w:p>
        </w:tc>
        <w:tc>
          <w:tcPr>
            <w:tcW w:w="709" w:type="dxa"/>
            <w:tcBorders>
              <w:top w:val="nil"/>
              <w:left w:val="nil"/>
              <w:bottom w:val="single" w:sz="8" w:space="0" w:color="000000"/>
              <w:right w:val="single" w:sz="8" w:space="0" w:color="000000"/>
            </w:tcBorders>
            <w:tcMar>
              <w:top w:w="91" w:type="dxa"/>
              <w:left w:w="145" w:type="dxa"/>
              <w:bottom w:w="0" w:type="dxa"/>
              <w:right w:w="115" w:type="dxa"/>
            </w:tcMar>
          </w:tcPr>
          <w:p w14:paraId="1A32AD2C"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390</w:t>
            </w:r>
          </w:p>
        </w:tc>
        <w:tc>
          <w:tcPr>
            <w:tcW w:w="850" w:type="dxa"/>
            <w:tcBorders>
              <w:top w:val="nil"/>
              <w:left w:val="nil"/>
              <w:bottom w:val="single" w:sz="8" w:space="0" w:color="000000"/>
              <w:right w:val="single" w:sz="8" w:space="0" w:color="000000"/>
            </w:tcBorders>
            <w:tcMar>
              <w:top w:w="91" w:type="dxa"/>
              <w:left w:w="145" w:type="dxa"/>
              <w:bottom w:w="0" w:type="dxa"/>
              <w:right w:w="115" w:type="dxa"/>
            </w:tcMar>
          </w:tcPr>
          <w:p w14:paraId="252A1EEB"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3 070</w:t>
            </w:r>
          </w:p>
        </w:tc>
        <w:tc>
          <w:tcPr>
            <w:tcW w:w="868" w:type="dxa"/>
            <w:tcBorders>
              <w:top w:val="nil"/>
              <w:left w:val="nil"/>
              <w:bottom w:val="single" w:sz="8" w:space="0" w:color="000000"/>
              <w:right w:val="single" w:sz="8" w:space="0" w:color="000000"/>
            </w:tcBorders>
            <w:tcMar>
              <w:top w:w="91" w:type="dxa"/>
              <w:left w:w="145" w:type="dxa"/>
              <w:bottom w:w="0" w:type="dxa"/>
              <w:right w:w="115" w:type="dxa"/>
            </w:tcMar>
          </w:tcPr>
          <w:p w14:paraId="5BF0DE1C"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1 690</w:t>
            </w:r>
          </w:p>
        </w:tc>
        <w:tc>
          <w:tcPr>
            <w:tcW w:w="732" w:type="dxa"/>
            <w:tcBorders>
              <w:top w:val="nil"/>
              <w:left w:val="nil"/>
              <w:bottom w:val="single" w:sz="8" w:space="0" w:color="000000"/>
              <w:right w:val="single" w:sz="8" w:space="0" w:color="000000"/>
            </w:tcBorders>
            <w:tcMar>
              <w:top w:w="91" w:type="dxa"/>
              <w:left w:w="145" w:type="dxa"/>
              <w:bottom w:w="0" w:type="dxa"/>
              <w:right w:w="115" w:type="dxa"/>
            </w:tcMar>
          </w:tcPr>
          <w:p w14:paraId="4285AF9D"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731" w:type="dxa"/>
            <w:tcBorders>
              <w:top w:val="nil"/>
              <w:left w:val="nil"/>
              <w:bottom w:val="single" w:sz="8" w:space="0" w:color="000000"/>
              <w:right w:val="single" w:sz="8" w:space="0" w:color="000000"/>
            </w:tcBorders>
            <w:tcMar>
              <w:top w:w="91" w:type="dxa"/>
              <w:left w:w="145" w:type="dxa"/>
              <w:bottom w:w="0" w:type="dxa"/>
              <w:right w:w="115" w:type="dxa"/>
            </w:tcMar>
          </w:tcPr>
          <w:p w14:paraId="1DAEF2E7"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929" w:type="dxa"/>
            <w:tcBorders>
              <w:top w:val="nil"/>
              <w:left w:val="nil"/>
              <w:bottom w:val="single" w:sz="8" w:space="0" w:color="000000"/>
              <w:right w:val="single" w:sz="12" w:space="0" w:color="000000"/>
            </w:tcBorders>
            <w:tcMar>
              <w:top w:w="91" w:type="dxa"/>
              <w:left w:w="145" w:type="dxa"/>
              <w:bottom w:w="0" w:type="dxa"/>
              <w:right w:w="115" w:type="dxa"/>
            </w:tcMar>
          </w:tcPr>
          <w:p w14:paraId="5BA94BBA"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1 835</w:t>
            </w:r>
          </w:p>
        </w:tc>
      </w:tr>
      <w:tr w:rsidR="00E40657" w14:paraId="6748D1E8" w14:textId="77777777" w:rsidTr="00773B69">
        <w:trPr>
          <w:trHeight w:val="404"/>
        </w:trPr>
        <w:tc>
          <w:tcPr>
            <w:tcW w:w="3827" w:type="dxa"/>
            <w:tcBorders>
              <w:top w:val="nil"/>
              <w:left w:val="single" w:sz="12" w:space="0" w:color="000000"/>
              <w:bottom w:val="single" w:sz="8" w:space="0" w:color="000000"/>
              <w:right w:val="single" w:sz="8" w:space="0" w:color="000000"/>
            </w:tcBorders>
            <w:tcMar>
              <w:top w:w="91" w:type="dxa"/>
              <w:left w:w="145" w:type="dxa"/>
              <w:bottom w:w="0" w:type="dxa"/>
              <w:right w:w="115" w:type="dxa"/>
            </w:tcMar>
          </w:tcPr>
          <w:p w14:paraId="6FDEEC56" w14:textId="77777777" w:rsidR="00130492" w:rsidRPr="0030358C" w:rsidRDefault="00000000" w:rsidP="00130492">
            <w:pPr>
              <w:pBdr>
                <w:top w:val="nil"/>
                <w:left w:val="nil"/>
                <w:bottom w:val="nil"/>
                <w:right w:val="nil"/>
              </w:pBdr>
              <w:ind w:left="6"/>
              <w:rPr>
                <w:rFonts w:ascii="Arial" w:hAnsi="Arial" w:cs="Arial"/>
                <w:b/>
                <w:bCs/>
                <w:sz w:val="22"/>
                <w:szCs w:val="22"/>
              </w:rPr>
            </w:pPr>
            <w:r w:rsidRPr="0030358C">
              <w:rPr>
                <w:rFonts w:ascii="Arial" w:hAnsi="Arial" w:cs="Arial"/>
                <w:b/>
                <w:bCs/>
                <w:color w:val="000000"/>
                <w:sz w:val="22"/>
                <w:szCs w:val="22"/>
              </w:rPr>
              <w:t>hnědé uhlí</w:t>
            </w:r>
          </w:p>
        </w:tc>
        <w:tc>
          <w:tcPr>
            <w:tcW w:w="709" w:type="dxa"/>
            <w:tcBorders>
              <w:top w:val="nil"/>
              <w:left w:val="nil"/>
              <w:bottom w:val="single" w:sz="8" w:space="0" w:color="000000"/>
              <w:right w:val="single" w:sz="8" w:space="0" w:color="000000"/>
            </w:tcBorders>
            <w:tcMar>
              <w:top w:w="91" w:type="dxa"/>
              <w:left w:w="145" w:type="dxa"/>
              <w:bottom w:w="0" w:type="dxa"/>
              <w:right w:w="115" w:type="dxa"/>
            </w:tcMar>
          </w:tcPr>
          <w:p w14:paraId="561D98C6"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35</w:t>
            </w:r>
          </w:p>
        </w:tc>
        <w:tc>
          <w:tcPr>
            <w:tcW w:w="709" w:type="dxa"/>
            <w:tcBorders>
              <w:top w:val="nil"/>
              <w:left w:val="nil"/>
              <w:bottom w:val="single" w:sz="8" w:space="0" w:color="000000"/>
              <w:right w:val="single" w:sz="8" w:space="0" w:color="000000"/>
            </w:tcBorders>
            <w:tcMar>
              <w:top w:w="91" w:type="dxa"/>
              <w:left w:w="145" w:type="dxa"/>
              <w:bottom w:w="0" w:type="dxa"/>
              <w:right w:w="115" w:type="dxa"/>
            </w:tcMar>
          </w:tcPr>
          <w:p w14:paraId="487AD5BF"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300</w:t>
            </w:r>
          </w:p>
        </w:tc>
        <w:tc>
          <w:tcPr>
            <w:tcW w:w="850" w:type="dxa"/>
            <w:tcBorders>
              <w:top w:val="nil"/>
              <w:left w:val="nil"/>
              <w:bottom w:val="single" w:sz="8" w:space="0" w:color="000000"/>
              <w:right w:val="single" w:sz="8" w:space="0" w:color="000000"/>
            </w:tcBorders>
            <w:tcMar>
              <w:top w:w="91" w:type="dxa"/>
              <w:left w:w="145" w:type="dxa"/>
              <w:bottom w:w="0" w:type="dxa"/>
              <w:right w:w="115" w:type="dxa"/>
            </w:tcMar>
          </w:tcPr>
          <w:p w14:paraId="2B66D6DB"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375</w:t>
            </w:r>
          </w:p>
        </w:tc>
        <w:tc>
          <w:tcPr>
            <w:tcW w:w="868" w:type="dxa"/>
            <w:tcBorders>
              <w:top w:val="nil"/>
              <w:left w:val="nil"/>
              <w:bottom w:val="single" w:sz="8" w:space="0" w:color="000000"/>
              <w:right w:val="single" w:sz="8" w:space="0" w:color="000000"/>
            </w:tcBorders>
            <w:tcMar>
              <w:top w:w="91" w:type="dxa"/>
              <w:left w:w="145" w:type="dxa"/>
              <w:bottom w:w="0" w:type="dxa"/>
              <w:right w:w="115" w:type="dxa"/>
            </w:tcMar>
          </w:tcPr>
          <w:p w14:paraId="234D5A90"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2 015</w:t>
            </w:r>
          </w:p>
        </w:tc>
        <w:tc>
          <w:tcPr>
            <w:tcW w:w="732" w:type="dxa"/>
            <w:tcBorders>
              <w:top w:val="nil"/>
              <w:left w:val="nil"/>
              <w:bottom w:val="single" w:sz="8" w:space="0" w:color="000000"/>
              <w:right w:val="single" w:sz="8" w:space="0" w:color="000000"/>
            </w:tcBorders>
            <w:tcMar>
              <w:top w:w="91" w:type="dxa"/>
              <w:left w:w="145" w:type="dxa"/>
              <w:bottom w:w="0" w:type="dxa"/>
              <w:right w:w="115" w:type="dxa"/>
            </w:tcMar>
          </w:tcPr>
          <w:p w14:paraId="69981955"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5</w:t>
            </w:r>
          </w:p>
        </w:tc>
        <w:tc>
          <w:tcPr>
            <w:tcW w:w="731" w:type="dxa"/>
            <w:tcBorders>
              <w:top w:val="nil"/>
              <w:left w:val="nil"/>
              <w:bottom w:val="single" w:sz="8" w:space="0" w:color="000000"/>
              <w:right w:val="single" w:sz="8" w:space="0" w:color="000000"/>
            </w:tcBorders>
            <w:tcMar>
              <w:top w:w="91" w:type="dxa"/>
              <w:left w:w="145" w:type="dxa"/>
              <w:bottom w:w="0" w:type="dxa"/>
              <w:right w:w="115" w:type="dxa"/>
            </w:tcMar>
          </w:tcPr>
          <w:p w14:paraId="0B10B59D"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5</w:t>
            </w:r>
          </w:p>
        </w:tc>
        <w:tc>
          <w:tcPr>
            <w:tcW w:w="929" w:type="dxa"/>
            <w:tcBorders>
              <w:top w:val="nil"/>
              <w:left w:val="nil"/>
              <w:bottom w:val="single" w:sz="8" w:space="0" w:color="000000"/>
              <w:right w:val="single" w:sz="12" w:space="0" w:color="000000"/>
            </w:tcBorders>
            <w:tcMar>
              <w:top w:w="91" w:type="dxa"/>
              <w:left w:w="145" w:type="dxa"/>
              <w:bottom w:w="0" w:type="dxa"/>
              <w:right w:w="115" w:type="dxa"/>
            </w:tcMar>
          </w:tcPr>
          <w:p w14:paraId="1B13F272" w14:textId="77777777" w:rsidR="00130492" w:rsidRPr="0030358C" w:rsidRDefault="00000000" w:rsidP="00130492">
            <w:pPr>
              <w:pBdr>
                <w:top w:val="nil"/>
                <w:left w:val="nil"/>
                <w:bottom w:val="nil"/>
                <w:right w:val="nil"/>
              </w:pBdr>
              <w:ind w:right="11"/>
              <w:jc w:val="center"/>
              <w:rPr>
                <w:rFonts w:ascii="Arial" w:hAnsi="Arial" w:cs="Arial"/>
                <w:b/>
                <w:bCs/>
                <w:sz w:val="22"/>
                <w:szCs w:val="22"/>
              </w:rPr>
            </w:pPr>
            <w:r w:rsidRPr="0030358C">
              <w:rPr>
                <w:rFonts w:ascii="Arial" w:hAnsi="Arial" w:cs="Arial"/>
                <w:b/>
                <w:bCs/>
                <w:color w:val="000000"/>
                <w:sz w:val="22"/>
                <w:szCs w:val="22"/>
              </w:rPr>
              <w:t>x</w:t>
            </w:r>
          </w:p>
        </w:tc>
      </w:tr>
      <w:tr w:rsidR="00E40657" w14:paraId="5E2A91FB" w14:textId="77777777" w:rsidTr="00773B69">
        <w:trPr>
          <w:trHeight w:val="397"/>
        </w:trPr>
        <w:tc>
          <w:tcPr>
            <w:tcW w:w="3827" w:type="dxa"/>
            <w:tcBorders>
              <w:top w:val="nil"/>
              <w:left w:val="single" w:sz="12" w:space="0" w:color="000000"/>
              <w:bottom w:val="single" w:sz="12" w:space="0" w:color="000000"/>
              <w:right w:val="single" w:sz="8" w:space="0" w:color="000000"/>
            </w:tcBorders>
            <w:tcMar>
              <w:top w:w="91" w:type="dxa"/>
              <w:left w:w="145" w:type="dxa"/>
              <w:bottom w:w="0" w:type="dxa"/>
              <w:right w:w="115" w:type="dxa"/>
            </w:tcMar>
          </w:tcPr>
          <w:p w14:paraId="6FA9B0F5" w14:textId="77777777" w:rsidR="00130492" w:rsidRPr="0030358C" w:rsidRDefault="00000000" w:rsidP="00130492">
            <w:pPr>
              <w:pBdr>
                <w:top w:val="nil"/>
                <w:left w:val="nil"/>
                <w:bottom w:val="nil"/>
                <w:right w:val="nil"/>
              </w:pBdr>
              <w:ind w:left="6"/>
              <w:rPr>
                <w:rFonts w:ascii="Arial" w:hAnsi="Arial" w:cs="Arial"/>
                <w:b/>
                <w:bCs/>
                <w:sz w:val="22"/>
                <w:szCs w:val="22"/>
              </w:rPr>
            </w:pPr>
            <w:r w:rsidRPr="0030358C">
              <w:rPr>
                <w:rFonts w:ascii="Arial" w:hAnsi="Arial" w:cs="Arial"/>
                <w:b/>
                <w:bCs/>
                <w:color w:val="000000"/>
                <w:sz w:val="22"/>
                <w:szCs w:val="22"/>
              </w:rPr>
              <w:t>černé uhlí</w:t>
            </w:r>
          </w:p>
        </w:tc>
        <w:tc>
          <w:tcPr>
            <w:tcW w:w="709" w:type="dxa"/>
            <w:tcBorders>
              <w:top w:val="nil"/>
              <w:left w:val="nil"/>
              <w:bottom w:val="single" w:sz="12" w:space="0" w:color="000000"/>
              <w:right w:val="single" w:sz="8" w:space="0" w:color="000000"/>
            </w:tcBorders>
            <w:tcMar>
              <w:top w:w="91" w:type="dxa"/>
              <w:left w:w="145" w:type="dxa"/>
              <w:bottom w:w="0" w:type="dxa"/>
              <w:right w:w="115" w:type="dxa"/>
            </w:tcMar>
          </w:tcPr>
          <w:p w14:paraId="5BF6949F"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75</w:t>
            </w:r>
          </w:p>
        </w:tc>
        <w:tc>
          <w:tcPr>
            <w:tcW w:w="709" w:type="dxa"/>
            <w:tcBorders>
              <w:top w:val="nil"/>
              <w:left w:val="nil"/>
              <w:bottom w:val="single" w:sz="12" w:space="0" w:color="000000"/>
              <w:right w:val="single" w:sz="8" w:space="0" w:color="000000"/>
            </w:tcBorders>
            <w:tcMar>
              <w:top w:w="91" w:type="dxa"/>
              <w:left w:w="145" w:type="dxa"/>
              <w:bottom w:w="0" w:type="dxa"/>
              <w:right w:w="115" w:type="dxa"/>
            </w:tcMar>
          </w:tcPr>
          <w:p w14:paraId="1DB08E13"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130</w:t>
            </w:r>
          </w:p>
        </w:tc>
        <w:tc>
          <w:tcPr>
            <w:tcW w:w="850" w:type="dxa"/>
            <w:tcBorders>
              <w:top w:val="nil"/>
              <w:left w:val="nil"/>
              <w:bottom w:val="single" w:sz="12" w:space="0" w:color="000000"/>
              <w:right w:val="single" w:sz="8" w:space="0" w:color="000000"/>
            </w:tcBorders>
            <w:tcMar>
              <w:top w:w="91" w:type="dxa"/>
              <w:left w:w="145" w:type="dxa"/>
              <w:bottom w:w="0" w:type="dxa"/>
              <w:right w:w="115" w:type="dxa"/>
            </w:tcMar>
          </w:tcPr>
          <w:p w14:paraId="1947417A"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145</w:t>
            </w:r>
          </w:p>
        </w:tc>
        <w:tc>
          <w:tcPr>
            <w:tcW w:w="868" w:type="dxa"/>
            <w:tcBorders>
              <w:top w:val="nil"/>
              <w:left w:val="nil"/>
              <w:bottom w:val="single" w:sz="12" w:space="0" w:color="000000"/>
              <w:right w:val="single" w:sz="8" w:space="0" w:color="000000"/>
            </w:tcBorders>
            <w:tcMar>
              <w:top w:w="91" w:type="dxa"/>
              <w:left w:w="145" w:type="dxa"/>
              <w:bottom w:w="0" w:type="dxa"/>
              <w:right w:w="115" w:type="dxa"/>
            </w:tcMar>
          </w:tcPr>
          <w:p w14:paraId="5DA79F3D"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1 690</w:t>
            </w:r>
          </w:p>
        </w:tc>
        <w:tc>
          <w:tcPr>
            <w:tcW w:w="732" w:type="dxa"/>
            <w:tcBorders>
              <w:top w:val="nil"/>
              <w:left w:val="nil"/>
              <w:bottom w:val="single" w:sz="12" w:space="0" w:color="000000"/>
              <w:right w:val="single" w:sz="8" w:space="0" w:color="000000"/>
            </w:tcBorders>
            <w:tcMar>
              <w:top w:w="91" w:type="dxa"/>
              <w:left w:w="145" w:type="dxa"/>
              <w:bottom w:w="0" w:type="dxa"/>
              <w:right w:w="115" w:type="dxa"/>
            </w:tcMar>
          </w:tcPr>
          <w:p w14:paraId="0294D0AA"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731" w:type="dxa"/>
            <w:tcBorders>
              <w:top w:val="nil"/>
              <w:left w:val="nil"/>
              <w:bottom w:val="single" w:sz="12" w:space="0" w:color="000000"/>
              <w:right w:val="single" w:sz="8" w:space="0" w:color="000000"/>
            </w:tcBorders>
            <w:tcMar>
              <w:top w:w="91" w:type="dxa"/>
              <w:left w:w="145" w:type="dxa"/>
              <w:bottom w:w="0" w:type="dxa"/>
              <w:right w:w="115" w:type="dxa"/>
            </w:tcMar>
          </w:tcPr>
          <w:p w14:paraId="2215B3A5"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929" w:type="dxa"/>
            <w:tcBorders>
              <w:top w:val="nil"/>
              <w:left w:val="nil"/>
              <w:bottom w:val="single" w:sz="12" w:space="0" w:color="000000"/>
              <w:right w:val="single" w:sz="12" w:space="0" w:color="000000"/>
            </w:tcBorders>
            <w:tcMar>
              <w:top w:w="91" w:type="dxa"/>
              <w:left w:w="145" w:type="dxa"/>
              <w:bottom w:w="0" w:type="dxa"/>
              <w:right w:w="115" w:type="dxa"/>
            </w:tcMar>
          </w:tcPr>
          <w:p w14:paraId="35998907" w14:textId="77777777" w:rsidR="00130492" w:rsidRPr="0030358C" w:rsidRDefault="00000000" w:rsidP="00130492">
            <w:pPr>
              <w:pBdr>
                <w:top w:val="nil"/>
                <w:left w:val="nil"/>
                <w:bottom w:val="nil"/>
                <w:right w:val="nil"/>
              </w:pBdr>
              <w:ind w:right="11"/>
              <w:jc w:val="center"/>
              <w:rPr>
                <w:rFonts w:ascii="Arial" w:hAnsi="Arial" w:cs="Arial"/>
                <w:b/>
                <w:bCs/>
                <w:sz w:val="22"/>
                <w:szCs w:val="22"/>
              </w:rPr>
            </w:pPr>
            <w:r w:rsidRPr="0030358C">
              <w:rPr>
                <w:rFonts w:ascii="Arial" w:hAnsi="Arial" w:cs="Arial"/>
                <w:b/>
                <w:bCs/>
                <w:color w:val="000000"/>
                <w:sz w:val="22"/>
                <w:szCs w:val="22"/>
              </w:rPr>
              <w:t>x</w:t>
            </w:r>
          </w:p>
        </w:tc>
      </w:tr>
      <w:tr w:rsidR="00E40657" w14:paraId="3B5C6E5D" w14:textId="77777777" w:rsidTr="00773B69">
        <w:trPr>
          <w:trHeight w:val="410"/>
        </w:trPr>
        <w:tc>
          <w:tcPr>
            <w:tcW w:w="3827" w:type="dxa"/>
            <w:tcBorders>
              <w:top w:val="nil"/>
              <w:left w:val="single" w:sz="12" w:space="0" w:color="000000"/>
              <w:bottom w:val="single" w:sz="8" w:space="0" w:color="000000"/>
              <w:right w:val="single" w:sz="8" w:space="0" w:color="000000"/>
            </w:tcBorders>
            <w:tcMar>
              <w:top w:w="91" w:type="dxa"/>
              <w:left w:w="145" w:type="dxa"/>
              <w:bottom w:w="0" w:type="dxa"/>
              <w:right w:w="115" w:type="dxa"/>
            </w:tcMar>
          </w:tcPr>
          <w:p w14:paraId="222F2C1E" w14:textId="77777777" w:rsidR="00130492" w:rsidRPr="0030358C" w:rsidRDefault="00000000" w:rsidP="00130492">
            <w:pPr>
              <w:pBdr>
                <w:top w:val="nil"/>
                <w:left w:val="nil"/>
                <w:bottom w:val="nil"/>
                <w:right w:val="nil"/>
              </w:pBdr>
              <w:ind w:left="6"/>
              <w:rPr>
                <w:rFonts w:ascii="Arial" w:hAnsi="Arial" w:cs="Arial"/>
                <w:b/>
                <w:bCs/>
                <w:sz w:val="22"/>
                <w:szCs w:val="22"/>
              </w:rPr>
            </w:pPr>
            <w:r w:rsidRPr="0030358C">
              <w:rPr>
                <w:rFonts w:ascii="Arial" w:hAnsi="Arial" w:cs="Arial"/>
                <w:b/>
                <w:bCs/>
                <w:color w:val="000000"/>
                <w:sz w:val="22"/>
                <w:szCs w:val="22"/>
              </w:rPr>
              <w:t>hnědé uhlí + biomasa</w:t>
            </w:r>
          </w:p>
        </w:tc>
        <w:tc>
          <w:tcPr>
            <w:tcW w:w="709" w:type="dxa"/>
            <w:tcBorders>
              <w:top w:val="nil"/>
              <w:left w:val="nil"/>
              <w:bottom w:val="single" w:sz="8" w:space="0" w:color="000000"/>
              <w:right w:val="single" w:sz="8" w:space="0" w:color="000000"/>
            </w:tcBorders>
            <w:tcMar>
              <w:top w:w="91" w:type="dxa"/>
              <w:left w:w="145" w:type="dxa"/>
              <w:bottom w:w="0" w:type="dxa"/>
              <w:right w:w="115" w:type="dxa"/>
            </w:tcMar>
          </w:tcPr>
          <w:p w14:paraId="06BC3DE3"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55</w:t>
            </w:r>
          </w:p>
        </w:tc>
        <w:tc>
          <w:tcPr>
            <w:tcW w:w="709" w:type="dxa"/>
            <w:tcBorders>
              <w:top w:val="nil"/>
              <w:left w:val="nil"/>
              <w:bottom w:val="single" w:sz="8" w:space="0" w:color="000000"/>
              <w:right w:val="single" w:sz="8" w:space="0" w:color="000000"/>
            </w:tcBorders>
            <w:tcMar>
              <w:top w:w="91" w:type="dxa"/>
              <w:left w:w="145" w:type="dxa"/>
              <w:bottom w:w="0" w:type="dxa"/>
              <w:right w:w="115" w:type="dxa"/>
            </w:tcMar>
          </w:tcPr>
          <w:p w14:paraId="7E9EEFC6"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390</w:t>
            </w:r>
          </w:p>
        </w:tc>
        <w:tc>
          <w:tcPr>
            <w:tcW w:w="850" w:type="dxa"/>
            <w:tcBorders>
              <w:top w:val="nil"/>
              <w:left w:val="nil"/>
              <w:bottom w:val="single" w:sz="8" w:space="0" w:color="000000"/>
              <w:right w:val="single" w:sz="8" w:space="0" w:color="000000"/>
            </w:tcBorders>
            <w:tcMar>
              <w:top w:w="91" w:type="dxa"/>
              <w:left w:w="145" w:type="dxa"/>
              <w:bottom w:w="0" w:type="dxa"/>
              <w:right w:w="115" w:type="dxa"/>
            </w:tcMar>
          </w:tcPr>
          <w:p w14:paraId="3261759E"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3 070</w:t>
            </w:r>
          </w:p>
        </w:tc>
        <w:tc>
          <w:tcPr>
            <w:tcW w:w="868" w:type="dxa"/>
            <w:tcBorders>
              <w:top w:val="nil"/>
              <w:left w:val="nil"/>
              <w:bottom w:val="single" w:sz="8" w:space="0" w:color="000000"/>
              <w:right w:val="single" w:sz="8" w:space="0" w:color="000000"/>
            </w:tcBorders>
            <w:tcMar>
              <w:top w:w="91" w:type="dxa"/>
              <w:left w:w="145" w:type="dxa"/>
              <w:bottom w:w="0" w:type="dxa"/>
              <w:right w:w="115" w:type="dxa"/>
            </w:tcMar>
          </w:tcPr>
          <w:p w14:paraId="5FE9FD72"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2 015</w:t>
            </w:r>
          </w:p>
        </w:tc>
        <w:tc>
          <w:tcPr>
            <w:tcW w:w="732" w:type="dxa"/>
            <w:tcBorders>
              <w:top w:val="nil"/>
              <w:left w:val="nil"/>
              <w:bottom w:val="single" w:sz="8" w:space="0" w:color="000000"/>
              <w:right w:val="single" w:sz="8" w:space="0" w:color="000000"/>
            </w:tcBorders>
            <w:tcMar>
              <w:top w:w="91" w:type="dxa"/>
              <w:left w:w="145" w:type="dxa"/>
              <w:bottom w:w="0" w:type="dxa"/>
              <w:right w:w="115" w:type="dxa"/>
            </w:tcMar>
          </w:tcPr>
          <w:p w14:paraId="2EACF075"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731" w:type="dxa"/>
            <w:tcBorders>
              <w:top w:val="nil"/>
              <w:left w:val="nil"/>
              <w:bottom w:val="single" w:sz="8" w:space="0" w:color="000000"/>
              <w:right w:val="single" w:sz="8" w:space="0" w:color="000000"/>
            </w:tcBorders>
            <w:tcMar>
              <w:top w:w="91" w:type="dxa"/>
              <w:left w:w="145" w:type="dxa"/>
              <w:bottom w:w="0" w:type="dxa"/>
              <w:right w:w="115" w:type="dxa"/>
            </w:tcMar>
          </w:tcPr>
          <w:p w14:paraId="3B917D83"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929" w:type="dxa"/>
            <w:tcBorders>
              <w:top w:val="nil"/>
              <w:left w:val="nil"/>
              <w:bottom w:val="single" w:sz="8" w:space="0" w:color="000000"/>
              <w:right w:val="single" w:sz="12" w:space="0" w:color="000000"/>
            </w:tcBorders>
            <w:tcMar>
              <w:top w:w="91" w:type="dxa"/>
              <w:left w:w="145" w:type="dxa"/>
              <w:bottom w:w="0" w:type="dxa"/>
              <w:right w:w="115" w:type="dxa"/>
            </w:tcMar>
          </w:tcPr>
          <w:p w14:paraId="5788EF98" w14:textId="77777777" w:rsidR="00130492" w:rsidRPr="0030358C" w:rsidRDefault="00000000" w:rsidP="00130492">
            <w:pPr>
              <w:pBdr>
                <w:top w:val="nil"/>
                <w:left w:val="nil"/>
                <w:bottom w:val="nil"/>
                <w:right w:val="nil"/>
              </w:pBdr>
              <w:ind w:right="11"/>
              <w:jc w:val="center"/>
              <w:rPr>
                <w:rFonts w:ascii="Arial" w:hAnsi="Arial" w:cs="Arial"/>
                <w:b/>
                <w:bCs/>
                <w:sz w:val="22"/>
                <w:szCs w:val="22"/>
              </w:rPr>
            </w:pPr>
            <w:r w:rsidRPr="0030358C">
              <w:rPr>
                <w:rFonts w:ascii="Arial" w:hAnsi="Arial" w:cs="Arial"/>
                <w:b/>
                <w:bCs/>
                <w:color w:val="000000"/>
                <w:sz w:val="22"/>
                <w:szCs w:val="22"/>
              </w:rPr>
              <w:t>x</w:t>
            </w:r>
          </w:p>
        </w:tc>
      </w:tr>
      <w:tr w:rsidR="00E40657" w14:paraId="48D033DE" w14:textId="77777777" w:rsidTr="00773B69">
        <w:trPr>
          <w:trHeight w:val="398"/>
        </w:trPr>
        <w:tc>
          <w:tcPr>
            <w:tcW w:w="3827" w:type="dxa"/>
            <w:tcBorders>
              <w:top w:val="nil"/>
              <w:left w:val="single" w:sz="12" w:space="0" w:color="000000"/>
              <w:bottom w:val="single" w:sz="12" w:space="0" w:color="000000"/>
              <w:right w:val="single" w:sz="8" w:space="0" w:color="000000"/>
            </w:tcBorders>
            <w:tcMar>
              <w:top w:w="91" w:type="dxa"/>
              <w:left w:w="145" w:type="dxa"/>
              <w:bottom w:w="0" w:type="dxa"/>
              <w:right w:w="115" w:type="dxa"/>
            </w:tcMar>
          </w:tcPr>
          <w:p w14:paraId="6402BEF3" w14:textId="77777777" w:rsidR="00130492" w:rsidRPr="0030358C" w:rsidRDefault="00000000" w:rsidP="00130492">
            <w:pPr>
              <w:pBdr>
                <w:top w:val="nil"/>
                <w:left w:val="nil"/>
                <w:bottom w:val="nil"/>
                <w:right w:val="nil"/>
              </w:pBdr>
              <w:ind w:left="6"/>
              <w:rPr>
                <w:rFonts w:ascii="Arial" w:hAnsi="Arial" w:cs="Arial"/>
                <w:b/>
                <w:bCs/>
                <w:sz w:val="22"/>
                <w:szCs w:val="22"/>
              </w:rPr>
            </w:pPr>
            <w:r w:rsidRPr="0030358C">
              <w:rPr>
                <w:rFonts w:ascii="Arial" w:hAnsi="Arial" w:cs="Arial"/>
                <w:b/>
                <w:bCs/>
                <w:color w:val="000000"/>
                <w:sz w:val="22"/>
                <w:szCs w:val="22"/>
              </w:rPr>
              <w:t>černé uhlí + biomasa</w:t>
            </w:r>
          </w:p>
        </w:tc>
        <w:tc>
          <w:tcPr>
            <w:tcW w:w="709" w:type="dxa"/>
            <w:tcBorders>
              <w:top w:val="nil"/>
              <w:left w:val="nil"/>
              <w:bottom w:val="single" w:sz="12" w:space="0" w:color="000000"/>
              <w:right w:val="single" w:sz="8" w:space="0" w:color="000000"/>
            </w:tcBorders>
            <w:tcMar>
              <w:top w:w="91" w:type="dxa"/>
              <w:left w:w="145" w:type="dxa"/>
              <w:bottom w:w="0" w:type="dxa"/>
              <w:right w:w="115" w:type="dxa"/>
            </w:tcMar>
          </w:tcPr>
          <w:p w14:paraId="58644FF6"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75</w:t>
            </w:r>
          </w:p>
        </w:tc>
        <w:tc>
          <w:tcPr>
            <w:tcW w:w="709" w:type="dxa"/>
            <w:tcBorders>
              <w:top w:val="nil"/>
              <w:left w:val="nil"/>
              <w:bottom w:val="single" w:sz="12" w:space="0" w:color="000000"/>
              <w:right w:val="single" w:sz="8" w:space="0" w:color="000000"/>
            </w:tcBorders>
            <w:tcMar>
              <w:top w:w="91" w:type="dxa"/>
              <w:left w:w="145" w:type="dxa"/>
              <w:bottom w:w="0" w:type="dxa"/>
              <w:right w:w="115" w:type="dxa"/>
            </w:tcMar>
          </w:tcPr>
          <w:p w14:paraId="1B5C687C"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390</w:t>
            </w:r>
          </w:p>
        </w:tc>
        <w:tc>
          <w:tcPr>
            <w:tcW w:w="850" w:type="dxa"/>
            <w:tcBorders>
              <w:top w:val="nil"/>
              <w:left w:val="nil"/>
              <w:bottom w:val="single" w:sz="12" w:space="0" w:color="000000"/>
              <w:right w:val="single" w:sz="8" w:space="0" w:color="000000"/>
            </w:tcBorders>
            <w:tcMar>
              <w:top w:w="91" w:type="dxa"/>
              <w:left w:w="145" w:type="dxa"/>
              <w:bottom w:w="0" w:type="dxa"/>
              <w:right w:w="115" w:type="dxa"/>
            </w:tcMar>
          </w:tcPr>
          <w:p w14:paraId="432127E6"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3 070</w:t>
            </w:r>
          </w:p>
        </w:tc>
        <w:tc>
          <w:tcPr>
            <w:tcW w:w="868" w:type="dxa"/>
            <w:tcBorders>
              <w:top w:val="nil"/>
              <w:left w:val="nil"/>
              <w:bottom w:val="single" w:sz="12" w:space="0" w:color="000000"/>
              <w:right w:val="single" w:sz="8" w:space="0" w:color="000000"/>
            </w:tcBorders>
            <w:tcMar>
              <w:top w:w="91" w:type="dxa"/>
              <w:left w:w="145" w:type="dxa"/>
              <w:bottom w:w="0" w:type="dxa"/>
              <w:right w:w="115" w:type="dxa"/>
            </w:tcMar>
          </w:tcPr>
          <w:p w14:paraId="6A048E00"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1 690</w:t>
            </w:r>
          </w:p>
        </w:tc>
        <w:tc>
          <w:tcPr>
            <w:tcW w:w="732" w:type="dxa"/>
            <w:tcBorders>
              <w:top w:val="nil"/>
              <w:left w:val="nil"/>
              <w:bottom w:val="single" w:sz="12" w:space="0" w:color="000000"/>
              <w:right w:val="single" w:sz="8" w:space="0" w:color="000000"/>
            </w:tcBorders>
            <w:tcMar>
              <w:top w:w="91" w:type="dxa"/>
              <w:left w:w="145" w:type="dxa"/>
              <w:bottom w:w="0" w:type="dxa"/>
              <w:right w:w="115" w:type="dxa"/>
            </w:tcMar>
          </w:tcPr>
          <w:p w14:paraId="4BC881F9"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731" w:type="dxa"/>
            <w:tcBorders>
              <w:top w:val="nil"/>
              <w:left w:val="nil"/>
              <w:bottom w:val="single" w:sz="12" w:space="0" w:color="000000"/>
              <w:right w:val="single" w:sz="8" w:space="0" w:color="000000"/>
            </w:tcBorders>
            <w:tcMar>
              <w:top w:w="91" w:type="dxa"/>
              <w:left w:w="145" w:type="dxa"/>
              <w:bottom w:w="0" w:type="dxa"/>
              <w:right w:w="115" w:type="dxa"/>
            </w:tcMar>
          </w:tcPr>
          <w:p w14:paraId="662EFD7A"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929" w:type="dxa"/>
            <w:tcBorders>
              <w:top w:val="nil"/>
              <w:left w:val="nil"/>
              <w:bottom w:val="single" w:sz="12" w:space="0" w:color="000000"/>
              <w:right w:val="single" w:sz="12" w:space="0" w:color="000000"/>
            </w:tcBorders>
            <w:tcMar>
              <w:top w:w="91" w:type="dxa"/>
              <w:left w:w="145" w:type="dxa"/>
              <w:bottom w:w="0" w:type="dxa"/>
              <w:right w:w="115" w:type="dxa"/>
            </w:tcMar>
          </w:tcPr>
          <w:p w14:paraId="33BF3139" w14:textId="77777777" w:rsidR="00130492" w:rsidRPr="0030358C" w:rsidRDefault="00000000" w:rsidP="00130492">
            <w:pPr>
              <w:pBdr>
                <w:top w:val="nil"/>
                <w:left w:val="nil"/>
                <w:bottom w:val="nil"/>
                <w:right w:val="nil"/>
              </w:pBdr>
              <w:ind w:right="11"/>
              <w:jc w:val="center"/>
              <w:rPr>
                <w:rFonts w:ascii="Arial" w:hAnsi="Arial" w:cs="Arial"/>
                <w:b/>
                <w:bCs/>
                <w:sz w:val="22"/>
                <w:szCs w:val="22"/>
              </w:rPr>
            </w:pPr>
            <w:r w:rsidRPr="0030358C">
              <w:rPr>
                <w:rFonts w:ascii="Arial" w:hAnsi="Arial" w:cs="Arial"/>
                <w:b/>
                <w:bCs/>
                <w:color w:val="000000"/>
                <w:sz w:val="22"/>
                <w:szCs w:val="22"/>
              </w:rPr>
              <w:t>x</w:t>
            </w:r>
          </w:p>
        </w:tc>
      </w:tr>
      <w:tr w:rsidR="00E40657" w14:paraId="26D368C6" w14:textId="77777777" w:rsidTr="00773B69">
        <w:trPr>
          <w:trHeight w:val="404"/>
        </w:trPr>
        <w:tc>
          <w:tcPr>
            <w:tcW w:w="3827" w:type="dxa"/>
            <w:tcBorders>
              <w:top w:val="nil"/>
              <w:left w:val="single" w:sz="12" w:space="0" w:color="000000"/>
              <w:bottom w:val="single" w:sz="12" w:space="0" w:color="000000"/>
              <w:right w:val="single" w:sz="8" w:space="0" w:color="000000"/>
            </w:tcBorders>
            <w:tcMar>
              <w:top w:w="91" w:type="dxa"/>
              <w:left w:w="145" w:type="dxa"/>
              <w:bottom w:w="0" w:type="dxa"/>
              <w:right w:w="115" w:type="dxa"/>
            </w:tcMar>
          </w:tcPr>
          <w:p w14:paraId="7662B585" w14:textId="77777777" w:rsidR="00130492" w:rsidRPr="0030358C" w:rsidRDefault="00000000" w:rsidP="00130492">
            <w:pPr>
              <w:pBdr>
                <w:top w:val="nil"/>
                <w:left w:val="nil"/>
                <w:bottom w:val="nil"/>
                <w:right w:val="nil"/>
              </w:pBdr>
              <w:ind w:left="6"/>
              <w:rPr>
                <w:rFonts w:ascii="Arial" w:hAnsi="Arial" w:cs="Arial"/>
                <w:b/>
                <w:bCs/>
                <w:sz w:val="22"/>
                <w:szCs w:val="22"/>
              </w:rPr>
            </w:pPr>
            <w:r w:rsidRPr="0030358C">
              <w:rPr>
                <w:rFonts w:ascii="Arial" w:hAnsi="Arial" w:cs="Arial"/>
                <w:b/>
                <w:bCs/>
                <w:color w:val="000000"/>
                <w:sz w:val="22"/>
                <w:szCs w:val="22"/>
              </w:rPr>
              <w:t>nespecifikované palivo</w:t>
            </w:r>
          </w:p>
        </w:tc>
        <w:tc>
          <w:tcPr>
            <w:tcW w:w="709" w:type="dxa"/>
            <w:tcBorders>
              <w:top w:val="nil"/>
              <w:left w:val="nil"/>
              <w:bottom w:val="single" w:sz="12" w:space="0" w:color="000000"/>
              <w:right w:val="single" w:sz="8" w:space="0" w:color="000000"/>
            </w:tcBorders>
            <w:tcMar>
              <w:top w:w="91" w:type="dxa"/>
              <w:left w:w="145" w:type="dxa"/>
              <w:bottom w:w="0" w:type="dxa"/>
              <w:right w:w="115" w:type="dxa"/>
            </w:tcMar>
          </w:tcPr>
          <w:p w14:paraId="43DAA268"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75</w:t>
            </w:r>
          </w:p>
        </w:tc>
        <w:tc>
          <w:tcPr>
            <w:tcW w:w="709" w:type="dxa"/>
            <w:tcBorders>
              <w:top w:val="nil"/>
              <w:left w:val="nil"/>
              <w:bottom w:val="single" w:sz="12" w:space="0" w:color="000000"/>
              <w:right w:val="single" w:sz="8" w:space="0" w:color="000000"/>
            </w:tcBorders>
            <w:tcMar>
              <w:top w:w="91" w:type="dxa"/>
              <w:left w:w="145" w:type="dxa"/>
              <w:bottom w:w="0" w:type="dxa"/>
              <w:right w:w="115" w:type="dxa"/>
            </w:tcMar>
          </w:tcPr>
          <w:p w14:paraId="3595499F"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390</w:t>
            </w:r>
          </w:p>
        </w:tc>
        <w:tc>
          <w:tcPr>
            <w:tcW w:w="850" w:type="dxa"/>
            <w:tcBorders>
              <w:top w:val="nil"/>
              <w:left w:val="nil"/>
              <w:bottom w:val="single" w:sz="12" w:space="0" w:color="000000"/>
              <w:right w:val="single" w:sz="8" w:space="0" w:color="000000"/>
            </w:tcBorders>
            <w:tcMar>
              <w:top w:w="91" w:type="dxa"/>
              <w:left w:w="145" w:type="dxa"/>
              <w:bottom w:w="0" w:type="dxa"/>
              <w:right w:w="115" w:type="dxa"/>
            </w:tcMar>
          </w:tcPr>
          <w:p w14:paraId="3B362A6F"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3 070</w:t>
            </w:r>
          </w:p>
        </w:tc>
        <w:tc>
          <w:tcPr>
            <w:tcW w:w="868" w:type="dxa"/>
            <w:tcBorders>
              <w:top w:val="nil"/>
              <w:left w:val="nil"/>
              <w:bottom w:val="single" w:sz="12" w:space="0" w:color="000000"/>
              <w:right w:val="single" w:sz="8" w:space="0" w:color="000000"/>
            </w:tcBorders>
            <w:tcMar>
              <w:top w:w="91" w:type="dxa"/>
              <w:left w:w="145" w:type="dxa"/>
              <w:bottom w:w="0" w:type="dxa"/>
              <w:right w:w="115" w:type="dxa"/>
            </w:tcMar>
          </w:tcPr>
          <w:p w14:paraId="2806BDB7" w14:textId="77777777" w:rsidR="00130492" w:rsidRPr="0030358C" w:rsidRDefault="00000000" w:rsidP="00130492">
            <w:pPr>
              <w:pBdr>
                <w:top w:val="nil"/>
                <w:left w:val="nil"/>
                <w:bottom w:val="nil"/>
                <w:right w:val="nil"/>
              </w:pBdr>
              <w:rPr>
                <w:rFonts w:ascii="Arial" w:hAnsi="Arial" w:cs="Arial"/>
                <w:b/>
                <w:bCs/>
                <w:sz w:val="22"/>
                <w:szCs w:val="22"/>
              </w:rPr>
            </w:pPr>
            <w:r w:rsidRPr="0030358C">
              <w:rPr>
                <w:rFonts w:ascii="Arial" w:hAnsi="Arial" w:cs="Arial"/>
                <w:b/>
                <w:bCs/>
                <w:color w:val="000000"/>
                <w:sz w:val="22"/>
                <w:szCs w:val="22"/>
              </w:rPr>
              <w:t>2 015</w:t>
            </w:r>
          </w:p>
        </w:tc>
        <w:tc>
          <w:tcPr>
            <w:tcW w:w="732" w:type="dxa"/>
            <w:tcBorders>
              <w:top w:val="nil"/>
              <w:left w:val="nil"/>
              <w:bottom w:val="single" w:sz="12" w:space="0" w:color="000000"/>
              <w:right w:val="single" w:sz="8" w:space="0" w:color="000000"/>
            </w:tcBorders>
            <w:tcMar>
              <w:top w:w="91" w:type="dxa"/>
              <w:left w:w="145" w:type="dxa"/>
              <w:bottom w:w="0" w:type="dxa"/>
              <w:right w:w="115" w:type="dxa"/>
            </w:tcMar>
          </w:tcPr>
          <w:p w14:paraId="25A8E3B5"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731" w:type="dxa"/>
            <w:tcBorders>
              <w:top w:val="nil"/>
              <w:left w:val="nil"/>
              <w:bottom w:val="single" w:sz="12" w:space="0" w:color="000000"/>
              <w:right w:val="single" w:sz="8" w:space="0" w:color="000000"/>
            </w:tcBorders>
            <w:tcMar>
              <w:top w:w="91" w:type="dxa"/>
              <w:left w:w="145" w:type="dxa"/>
              <w:bottom w:w="0" w:type="dxa"/>
              <w:right w:w="115" w:type="dxa"/>
            </w:tcMar>
          </w:tcPr>
          <w:p w14:paraId="5B346281" w14:textId="77777777" w:rsidR="00130492" w:rsidRPr="0030358C" w:rsidRDefault="00000000" w:rsidP="00130492">
            <w:pPr>
              <w:pBdr>
                <w:top w:val="nil"/>
                <w:left w:val="nil"/>
                <w:bottom w:val="nil"/>
                <w:right w:val="nil"/>
              </w:pBdr>
              <w:ind w:right="17"/>
              <w:jc w:val="center"/>
              <w:rPr>
                <w:rFonts w:ascii="Arial" w:hAnsi="Arial" w:cs="Arial"/>
                <w:b/>
                <w:bCs/>
                <w:sz w:val="22"/>
                <w:szCs w:val="22"/>
              </w:rPr>
            </w:pPr>
            <w:r w:rsidRPr="0030358C">
              <w:rPr>
                <w:rFonts w:ascii="Arial" w:hAnsi="Arial" w:cs="Arial"/>
                <w:b/>
                <w:bCs/>
                <w:color w:val="000000"/>
                <w:sz w:val="22"/>
                <w:szCs w:val="22"/>
              </w:rPr>
              <w:t>10</w:t>
            </w:r>
          </w:p>
        </w:tc>
        <w:tc>
          <w:tcPr>
            <w:tcW w:w="929" w:type="dxa"/>
            <w:tcBorders>
              <w:top w:val="nil"/>
              <w:left w:val="nil"/>
              <w:bottom w:val="single" w:sz="12" w:space="0" w:color="000000"/>
              <w:right w:val="single" w:sz="12" w:space="0" w:color="000000"/>
            </w:tcBorders>
            <w:tcMar>
              <w:top w:w="91" w:type="dxa"/>
              <w:left w:w="145" w:type="dxa"/>
              <w:bottom w:w="0" w:type="dxa"/>
              <w:right w:w="115" w:type="dxa"/>
            </w:tcMar>
          </w:tcPr>
          <w:p w14:paraId="03B3E135" w14:textId="77777777" w:rsidR="00130492" w:rsidRPr="0030358C" w:rsidRDefault="00000000" w:rsidP="00130492">
            <w:pPr>
              <w:pBdr>
                <w:top w:val="nil"/>
                <w:left w:val="nil"/>
                <w:bottom w:val="nil"/>
                <w:right w:val="nil"/>
              </w:pBdr>
              <w:ind w:right="11"/>
              <w:jc w:val="center"/>
              <w:rPr>
                <w:rFonts w:ascii="Arial" w:hAnsi="Arial" w:cs="Arial"/>
                <w:b/>
                <w:bCs/>
                <w:sz w:val="22"/>
                <w:szCs w:val="22"/>
              </w:rPr>
            </w:pPr>
            <w:r w:rsidRPr="0030358C">
              <w:rPr>
                <w:rFonts w:ascii="Arial" w:hAnsi="Arial" w:cs="Arial"/>
                <w:b/>
                <w:bCs/>
                <w:color w:val="000000"/>
                <w:sz w:val="22"/>
                <w:szCs w:val="22"/>
              </w:rPr>
              <w:t>x</w:t>
            </w:r>
          </w:p>
        </w:tc>
      </w:tr>
    </w:tbl>
    <w:p w14:paraId="17674874" w14:textId="77777777" w:rsidR="00130492" w:rsidRPr="0030358C" w:rsidRDefault="00000000" w:rsidP="00130492">
      <w:pPr>
        <w:pBdr>
          <w:top w:val="nil"/>
          <w:left w:val="nil"/>
          <w:bottom w:val="nil"/>
          <w:right w:val="nil"/>
        </w:pBdr>
        <w:spacing w:after="63" w:line="235" w:lineRule="atLeast"/>
        <w:rPr>
          <w:rFonts w:ascii="Arial" w:eastAsia="Calibri" w:hAnsi="Arial" w:cs="Arial"/>
          <w:b/>
          <w:bCs/>
          <w:sz w:val="22"/>
          <w:szCs w:val="22"/>
        </w:rPr>
      </w:pPr>
      <w:r w:rsidRPr="0030358C">
        <w:rPr>
          <w:rFonts w:ascii="Arial" w:eastAsia="Calibri" w:hAnsi="Arial" w:cs="Arial"/>
          <w:b/>
          <w:bCs/>
          <w:color w:val="000000"/>
          <w:sz w:val="22"/>
          <w:szCs w:val="22"/>
        </w:rPr>
        <w:t> </w:t>
      </w:r>
    </w:p>
    <w:p w14:paraId="7053396B" w14:textId="77777777" w:rsidR="00130492" w:rsidRPr="0030358C" w:rsidRDefault="00000000" w:rsidP="00130492">
      <w:pPr>
        <w:pBdr>
          <w:top w:val="nil"/>
          <w:left w:val="nil"/>
          <w:bottom w:val="nil"/>
          <w:right w:val="nil"/>
        </w:pBdr>
        <w:spacing w:line="235" w:lineRule="atLeast"/>
        <w:rPr>
          <w:rFonts w:ascii="Arial" w:eastAsia="Calibri" w:hAnsi="Arial" w:cs="Arial"/>
          <w:b/>
          <w:bCs/>
          <w:sz w:val="22"/>
          <w:szCs w:val="22"/>
        </w:rPr>
      </w:pPr>
      <w:r w:rsidRPr="0030358C">
        <w:rPr>
          <w:rFonts w:ascii="Arial" w:eastAsia="Calibri" w:hAnsi="Arial" w:cs="Arial"/>
          <w:b/>
          <w:bCs/>
          <w:color w:val="000000"/>
          <w:sz w:val="22"/>
          <w:szCs w:val="22"/>
        </w:rPr>
        <w:t> </w:t>
      </w:r>
    </w:p>
    <w:p w14:paraId="43CEAF50" w14:textId="77777777" w:rsidR="00130492" w:rsidRPr="0030358C" w:rsidRDefault="00000000" w:rsidP="00130492">
      <w:pPr>
        <w:pBdr>
          <w:top w:val="nil"/>
          <w:left w:val="nil"/>
          <w:bottom w:val="nil"/>
          <w:right w:val="nil"/>
        </w:pBdr>
        <w:spacing w:line="235" w:lineRule="atLeast"/>
        <w:rPr>
          <w:rFonts w:ascii="Arial" w:eastAsia="Calibri" w:hAnsi="Arial" w:cs="Arial"/>
          <w:b/>
          <w:bCs/>
          <w:sz w:val="22"/>
          <w:szCs w:val="22"/>
        </w:rPr>
      </w:pPr>
      <w:r w:rsidRPr="0030358C">
        <w:rPr>
          <w:rFonts w:ascii="Arial" w:eastAsia="Calibri" w:hAnsi="Arial" w:cs="Arial"/>
          <w:b/>
          <w:bCs/>
          <w:color w:val="000000"/>
          <w:sz w:val="22"/>
          <w:szCs w:val="22"/>
        </w:rPr>
        <w:t>7. Výpočet „indexu překročení“ a kritéria hodnocení jednotlivých ukazatelů a laboratorních výsledků</w:t>
      </w:r>
    </w:p>
    <w:p w14:paraId="6B286A33" w14:textId="77777777" w:rsidR="00130492" w:rsidRPr="0030358C" w:rsidRDefault="00000000" w:rsidP="00130492">
      <w:pPr>
        <w:pBdr>
          <w:top w:val="nil"/>
          <w:left w:val="nil"/>
          <w:bottom w:val="nil"/>
          <w:right w:val="nil"/>
        </w:pBdr>
        <w:spacing w:after="160" w:line="235" w:lineRule="atLeast"/>
        <w:rPr>
          <w:rFonts w:ascii="Arial" w:eastAsia="Calibri" w:hAnsi="Arial" w:cs="Arial"/>
          <w:b/>
          <w:bCs/>
          <w:sz w:val="22"/>
          <w:szCs w:val="22"/>
        </w:rPr>
      </w:pPr>
      <w:r w:rsidRPr="0030358C">
        <w:rPr>
          <w:rFonts w:ascii="Arial" w:eastAsia="Calibri" w:hAnsi="Arial" w:cs="Arial"/>
          <w:b/>
          <w:bCs/>
          <w:color w:val="000000"/>
          <w:sz w:val="22"/>
          <w:szCs w:val="22"/>
        </w:rPr>
        <w:t> </w:t>
      </w:r>
    </w:p>
    <w:p w14:paraId="087F1414" w14:textId="77777777" w:rsidR="00130492" w:rsidRPr="0030358C" w:rsidRDefault="00000000" w:rsidP="00130492">
      <w:pPr>
        <w:pBdr>
          <w:top w:val="nil"/>
          <w:left w:val="nil"/>
          <w:bottom w:val="nil"/>
          <w:right w:val="nil"/>
        </w:pBdr>
        <w:spacing w:after="84" w:line="235" w:lineRule="atLeast"/>
        <w:ind w:left="10" w:right="39" w:hanging="10"/>
        <w:jc w:val="both"/>
        <w:rPr>
          <w:rFonts w:ascii="Arial" w:eastAsia="Calibri" w:hAnsi="Arial" w:cs="Arial"/>
          <w:b/>
          <w:bCs/>
          <w:sz w:val="22"/>
          <w:szCs w:val="22"/>
        </w:rPr>
      </w:pPr>
      <w:r w:rsidRPr="0030358C">
        <w:rPr>
          <w:rFonts w:ascii="Arial" w:eastAsia="Calibri" w:hAnsi="Arial" w:cs="Arial"/>
          <w:b/>
          <w:bCs/>
          <w:color w:val="000000"/>
          <w:sz w:val="22"/>
          <w:szCs w:val="22"/>
        </w:rPr>
        <w:t>Výsledky analýzy vzorku „B“, uvedené v protokolu z laboratoře, budou použity pro výpočet „indexů překročení“ jednotlivých ukazatelů dle následující rovnice a výsledná hodnota bude zaokrouhlena na celé číslo dolů.</w:t>
      </w:r>
    </w:p>
    <w:p w14:paraId="0E31E5F6" w14:textId="77777777" w:rsidR="00130492" w:rsidRPr="0030358C" w:rsidRDefault="00000000" w:rsidP="00130492">
      <w:pPr>
        <w:pBdr>
          <w:top w:val="nil"/>
          <w:left w:val="nil"/>
          <w:bottom w:val="nil"/>
          <w:right w:val="nil"/>
        </w:pBdr>
        <w:spacing w:after="63" w:line="235" w:lineRule="atLeast"/>
        <w:rPr>
          <w:rFonts w:ascii="Arial" w:eastAsia="Calibri" w:hAnsi="Arial" w:cs="Arial"/>
          <w:b/>
          <w:bCs/>
          <w:sz w:val="22"/>
          <w:szCs w:val="22"/>
        </w:rPr>
      </w:pPr>
      <w:r w:rsidRPr="0030358C">
        <w:rPr>
          <w:rFonts w:ascii="Arial" w:eastAsia="Calibri" w:hAnsi="Arial" w:cs="Arial"/>
          <w:b/>
          <w:bCs/>
          <w:color w:val="000000"/>
          <w:sz w:val="22"/>
          <w:szCs w:val="22"/>
        </w:rPr>
        <w:t> </w:t>
      </w:r>
    </w:p>
    <w:p w14:paraId="2B4FC5AA" w14:textId="77777777" w:rsidR="00130492" w:rsidRPr="0030358C" w:rsidRDefault="00000000" w:rsidP="00130492">
      <w:pPr>
        <w:pBdr>
          <w:top w:val="nil"/>
          <w:left w:val="nil"/>
          <w:bottom w:val="nil"/>
          <w:right w:val="nil"/>
        </w:pBdr>
        <w:spacing w:after="82" w:line="235" w:lineRule="atLeast"/>
        <w:ind w:right="494"/>
        <w:jc w:val="right"/>
        <w:rPr>
          <w:rFonts w:ascii="Arial" w:eastAsia="Calibri" w:hAnsi="Arial" w:cs="Arial"/>
          <w:b/>
          <w:bCs/>
          <w:sz w:val="22"/>
          <w:szCs w:val="22"/>
        </w:rPr>
      </w:pPr>
      <w:r w:rsidRPr="0030358C">
        <w:rPr>
          <w:rFonts w:ascii="Arial" w:eastAsia="Calibri" w:hAnsi="Arial" w:cs="Arial"/>
          <w:b/>
          <w:bCs/>
          <w:color w:val="000000"/>
          <w:sz w:val="22"/>
          <w:szCs w:val="22"/>
        </w:rPr>
        <w:t> </w:t>
      </w:r>
    </w:p>
    <w:p w14:paraId="2E5EE68C" w14:textId="77777777" w:rsidR="00130492" w:rsidRPr="0030358C" w:rsidRDefault="00000000" w:rsidP="003F3ED9">
      <w:pPr>
        <w:pBdr>
          <w:top w:val="nil"/>
          <w:left w:val="nil"/>
          <w:bottom w:val="nil"/>
          <w:right w:val="nil"/>
        </w:pBdr>
        <w:spacing w:after="137" w:line="235" w:lineRule="atLeast"/>
        <w:ind w:firstLine="720"/>
        <w:rPr>
          <w:rFonts w:ascii="Arial" w:eastAsia="Calibri" w:hAnsi="Arial" w:cs="Arial"/>
          <w:b/>
          <w:bCs/>
          <w:sz w:val="22"/>
          <w:szCs w:val="22"/>
        </w:rPr>
      </w:pPr>
      <w:r w:rsidRPr="0030358C">
        <w:rPr>
          <w:rFonts w:ascii="Arial" w:eastAsia="Calibri" w:hAnsi="Arial" w:cs="Arial"/>
          <w:b/>
          <w:bCs/>
          <w:color w:val="000000"/>
          <w:sz w:val="22"/>
          <w:szCs w:val="22"/>
        </w:rPr>
        <w:t> </w:t>
      </w:r>
      <w:r w:rsidR="00D72983" w:rsidRPr="0030358C">
        <w:rPr>
          <w:rFonts w:ascii="Arial" w:hAnsi="Arial" w:cs="Arial"/>
          <w:b/>
          <w:bCs/>
          <w:noProof/>
          <w:color w:val="000000"/>
          <w:sz w:val="22"/>
          <w:szCs w:val="22"/>
        </w:rPr>
        <w:drawing>
          <wp:inline distT="0" distB="0" distL="0" distR="0" wp14:anchorId="0813DBB4" wp14:editId="7CE0332C">
            <wp:extent cx="5117592" cy="344424"/>
            <wp:effectExtent l="0" t="0" r="0" b="0"/>
            <wp:docPr id="9167" name="Picture 9167"/>
            <wp:cNvGraphicFramePr/>
            <a:graphic xmlns:a="http://schemas.openxmlformats.org/drawingml/2006/main">
              <a:graphicData uri="http://schemas.openxmlformats.org/drawingml/2006/picture">
                <pic:pic xmlns:pic="http://schemas.openxmlformats.org/drawingml/2006/picture">
                  <pic:nvPicPr>
                    <pic:cNvPr id="57492377" name="Picture 9167"/>
                    <pic:cNvPicPr/>
                  </pic:nvPicPr>
                  <pic:blipFill>
                    <a:blip r:embed="rId12"/>
                    <a:stretch>
                      <a:fillRect/>
                    </a:stretch>
                  </pic:blipFill>
                  <pic:spPr>
                    <a:xfrm>
                      <a:off x="0" y="0"/>
                      <a:ext cx="5117592" cy="344424"/>
                    </a:xfrm>
                    <a:prstGeom prst="rect">
                      <a:avLst/>
                    </a:prstGeom>
                  </pic:spPr>
                </pic:pic>
              </a:graphicData>
            </a:graphic>
          </wp:inline>
        </w:drawing>
      </w:r>
    </w:p>
    <w:p w14:paraId="09BF4FE5" w14:textId="77777777" w:rsidR="00130492" w:rsidRPr="0030358C" w:rsidRDefault="00000000" w:rsidP="00130492">
      <w:pPr>
        <w:pBdr>
          <w:top w:val="nil"/>
          <w:left w:val="nil"/>
          <w:bottom w:val="nil"/>
          <w:right w:val="nil"/>
        </w:pBdr>
        <w:spacing w:after="51" w:line="259" w:lineRule="auto"/>
        <w:ind w:right="39"/>
        <w:jc w:val="both"/>
        <w:rPr>
          <w:rFonts w:ascii="Arial" w:eastAsia="Calibri" w:hAnsi="Arial" w:cs="Arial"/>
          <w:b/>
          <w:bCs/>
          <w:sz w:val="22"/>
          <w:szCs w:val="22"/>
        </w:rPr>
      </w:pPr>
      <w:r w:rsidRPr="0030358C">
        <w:rPr>
          <w:rFonts w:ascii="Arial" w:eastAsia="Calibri" w:hAnsi="Arial" w:cs="Arial"/>
          <w:b/>
          <w:bCs/>
          <w:color w:val="000000"/>
          <w:sz w:val="22"/>
          <w:szCs w:val="22"/>
        </w:rPr>
        <w:t>Dle výše uvedeného jsou stanoveny tyto typy hodnot:</w:t>
      </w:r>
    </w:p>
    <w:p w14:paraId="0B68BF2A" w14:textId="77777777" w:rsidR="00130492" w:rsidRPr="0030358C" w:rsidRDefault="00000000" w:rsidP="003F3ED9">
      <w:pPr>
        <w:numPr>
          <w:ilvl w:val="0"/>
          <w:numId w:val="69"/>
        </w:numPr>
        <w:pBdr>
          <w:top w:val="nil"/>
          <w:left w:val="nil"/>
          <w:bottom w:val="nil"/>
          <w:right w:val="nil"/>
        </w:pBdr>
        <w:spacing w:before="100"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„povolená hodnota“ – „index překročení“ daného ukazatele je menší nebo roven 100 %</w:t>
      </w:r>
    </w:p>
    <w:p w14:paraId="4C7A5FDC" w14:textId="77777777" w:rsidR="00130492" w:rsidRPr="0030358C" w:rsidRDefault="00000000" w:rsidP="003F3ED9">
      <w:pPr>
        <w:numPr>
          <w:ilvl w:val="0"/>
          <w:numId w:val="69"/>
        </w:numPr>
        <w:pBdr>
          <w:top w:val="nil"/>
          <w:left w:val="nil"/>
          <w:bottom w:val="nil"/>
          <w:right w:val="nil"/>
        </w:pBdr>
        <w:spacing w:before="100"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lastRenderedPageBreak/>
        <w:t xml:space="preserve">„výrazně překročená hodnota“ - „index překročení“ daného ukazatele je větší než 200 % </w:t>
      </w:r>
    </w:p>
    <w:p w14:paraId="0DBC5E35" w14:textId="77777777" w:rsidR="00130492" w:rsidRPr="0030358C" w:rsidRDefault="00000000" w:rsidP="003F3ED9">
      <w:pPr>
        <w:numPr>
          <w:ilvl w:val="0"/>
          <w:numId w:val="69"/>
        </w:numPr>
        <w:pBdr>
          <w:top w:val="nil"/>
          <w:left w:val="nil"/>
          <w:bottom w:val="nil"/>
          <w:right w:val="nil"/>
        </w:pBdr>
        <w:spacing w:before="100" w:after="51"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„podezřelá hodnota“ - „index překročení“ daného ukazatele je větší než 100 % a menší nebo roven 200 % </w:t>
      </w:r>
    </w:p>
    <w:p w14:paraId="0E76BE38" w14:textId="77777777" w:rsidR="00764961" w:rsidRPr="0030358C" w:rsidRDefault="00764961" w:rsidP="00764961">
      <w:pPr>
        <w:pBdr>
          <w:top w:val="nil"/>
          <w:left w:val="nil"/>
          <w:bottom w:val="nil"/>
          <w:right w:val="nil"/>
        </w:pBdr>
        <w:spacing w:before="100" w:after="51" w:line="259" w:lineRule="auto"/>
        <w:ind w:left="705"/>
        <w:jc w:val="both"/>
        <w:rPr>
          <w:rFonts w:ascii="Arial" w:eastAsia="Calibri" w:hAnsi="Arial" w:cs="Arial"/>
          <w:b/>
          <w:bCs/>
          <w:sz w:val="22"/>
          <w:szCs w:val="22"/>
        </w:rPr>
      </w:pPr>
    </w:p>
    <w:p w14:paraId="7C6C2F33" w14:textId="77777777" w:rsidR="00130492" w:rsidRPr="0030358C" w:rsidRDefault="00000000" w:rsidP="00130492">
      <w:pPr>
        <w:pBdr>
          <w:top w:val="nil"/>
          <w:left w:val="nil"/>
          <w:bottom w:val="nil"/>
          <w:right w:val="nil"/>
        </w:pBdr>
        <w:spacing w:after="53" w:line="235" w:lineRule="atLeast"/>
        <w:rPr>
          <w:rFonts w:ascii="Arial" w:eastAsia="Calibri" w:hAnsi="Arial" w:cs="Arial"/>
          <w:b/>
          <w:bCs/>
          <w:sz w:val="22"/>
          <w:szCs w:val="22"/>
        </w:rPr>
      </w:pPr>
      <w:r w:rsidRPr="0030358C">
        <w:rPr>
          <w:rFonts w:ascii="Arial" w:eastAsia="Calibri" w:hAnsi="Arial" w:cs="Arial"/>
          <w:b/>
          <w:bCs/>
          <w:color w:val="000000"/>
          <w:sz w:val="22"/>
          <w:szCs w:val="22"/>
        </w:rPr>
        <w:t>ČERVENÁ barva = spalování kontaminovaného paliva prokázáno</w:t>
      </w:r>
      <w:r w:rsidR="00764961" w:rsidRPr="0030358C">
        <w:rPr>
          <w:rFonts w:ascii="Arial" w:eastAsia="Calibri" w:hAnsi="Arial" w:cs="Arial"/>
          <w:b/>
          <w:bCs/>
          <w:color w:val="000000"/>
          <w:sz w:val="22"/>
          <w:szCs w:val="22"/>
        </w:rPr>
        <w:t>:</w:t>
      </w:r>
    </w:p>
    <w:p w14:paraId="5D5BB4F5" w14:textId="77777777" w:rsidR="00130492" w:rsidRPr="0030358C" w:rsidRDefault="00000000" w:rsidP="00764961">
      <w:pPr>
        <w:pBdr>
          <w:top w:val="nil"/>
          <w:left w:val="nil"/>
          <w:bottom w:val="nil"/>
          <w:right w:val="nil"/>
        </w:pBdr>
        <w:spacing w:before="100" w:after="53"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dvě a více „výrazně překročené hodnoty“ (minimálně dva „indexy překročení“ jsou větší než 200 %) </w:t>
      </w:r>
    </w:p>
    <w:p w14:paraId="2239F78B" w14:textId="77777777" w:rsidR="00130492" w:rsidRPr="0030358C" w:rsidRDefault="00000000" w:rsidP="00764961">
      <w:pPr>
        <w:pBdr>
          <w:top w:val="nil"/>
          <w:left w:val="nil"/>
          <w:bottom w:val="nil"/>
          <w:right w:val="nil"/>
        </w:pBdr>
        <w:spacing w:after="53" w:line="235" w:lineRule="atLeast"/>
        <w:ind w:right="39"/>
        <w:jc w:val="both"/>
        <w:rPr>
          <w:rFonts w:ascii="Arial" w:eastAsia="Calibri" w:hAnsi="Arial" w:cs="Arial"/>
          <w:b/>
          <w:bCs/>
          <w:sz w:val="22"/>
          <w:szCs w:val="22"/>
        </w:rPr>
      </w:pPr>
      <w:r w:rsidRPr="0030358C">
        <w:rPr>
          <w:rFonts w:ascii="Arial" w:eastAsia="Calibri" w:hAnsi="Arial" w:cs="Arial"/>
          <w:b/>
          <w:bCs/>
          <w:color w:val="000000"/>
          <w:sz w:val="22"/>
          <w:szCs w:val="22"/>
        </w:rPr>
        <w:t xml:space="preserve">ŽLUTÁ = spalování kontaminovaného paliva nelze prokázat ani vyloučit </w:t>
      </w:r>
    </w:p>
    <w:p w14:paraId="24DA4F7D" w14:textId="77777777" w:rsidR="00130492" w:rsidRPr="0030358C" w:rsidRDefault="00000000" w:rsidP="00764961">
      <w:pPr>
        <w:pBdr>
          <w:top w:val="nil"/>
          <w:left w:val="nil"/>
          <w:bottom w:val="nil"/>
          <w:right w:val="nil"/>
        </w:pBdr>
        <w:spacing w:before="100" w:after="53" w:line="259" w:lineRule="auto"/>
        <w:jc w:val="both"/>
        <w:rPr>
          <w:rFonts w:ascii="Arial" w:eastAsia="Calibri" w:hAnsi="Arial" w:cs="Arial"/>
          <w:b/>
          <w:bCs/>
          <w:sz w:val="22"/>
          <w:szCs w:val="22"/>
        </w:rPr>
      </w:pPr>
      <w:r w:rsidRPr="0030358C">
        <w:rPr>
          <w:rFonts w:ascii="Arial" w:eastAsia="Calibri" w:hAnsi="Arial" w:cs="Arial"/>
          <w:b/>
          <w:bCs/>
          <w:color w:val="000000"/>
          <w:sz w:val="22"/>
          <w:szCs w:val="22"/>
        </w:rPr>
        <w:t xml:space="preserve">dvě a více „podezřelé hodnoty“ (minimálně dva „indexy překročení“ jsou větší než 100 % a menší nebo rovny 200 %) nebo jedna „výrazně překročená hodnota“ (jeden „index překročení“ je větší než 200 %) </w:t>
      </w:r>
    </w:p>
    <w:p w14:paraId="66282688" w14:textId="77777777" w:rsidR="00130492" w:rsidRPr="0030358C" w:rsidRDefault="00000000" w:rsidP="00764961">
      <w:pPr>
        <w:pBdr>
          <w:top w:val="nil"/>
          <w:left w:val="nil"/>
          <w:bottom w:val="nil"/>
          <w:right w:val="nil"/>
        </w:pBdr>
        <w:spacing w:after="53" w:line="235" w:lineRule="atLeast"/>
        <w:rPr>
          <w:rFonts w:ascii="Arial" w:eastAsia="Calibri" w:hAnsi="Arial" w:cs="Arial"/>
          <w:b/>
          <w:bCs/>
          <w:sz w:val="22"/>
          <w:szCs w:val="22"/>
        </w:rPr>
      </w:pPr>
      <w:r w:rsidRPr="0030358C">
        <w:rPr>
          <w:rFonts w:ascii="Arial" w:eastAsia="Calibri" w:hAnsi="Arial" w:cs="Arial"/>
          <w:b/>
          <w:bCs/>
          <w:color w:val="000000"/>
          <w:sz w:val="22"/>
          <w:szCs w:val="22"/>
        </w:rPr>
        <w:t>ZELENÁ = spalování kontaminovaného paliva nebylo prokázáno</w:t>
      </w:r>
    </w:p>
    <w:p w14:paraId="2D5B0B1F" w14:textId="77777777" w:rsidR="00130492" w:rsidRPr="0030358C" w:rsidRDefault="00000000" w:rsidP="00764961">
      <w:pPr>
        <w:pBdr>
          <w:top w:val="nil"/>
          <w:left w:val="nil"/>
          <w:bottom w:val="nil"/>
          <w:right w:val="nil"/>
        </w:pBdr>
        <w:spacing w:before="100" w:after="53" w:line="259" w:lineRule="auto"/>
        <w:jc w:val="both"/>
        <w:rPr>
          <w:rFonts w:ascii="Arial" w:eastAsia="Calibri" w:hAnsi="Arial" w:cs="Arial"/>
          <w:b/>
          <w:bCs/>
          <w:color w:val="000000"/>
          <w:sz w:val="22"/>
          <w:szCs w:val="22"/>
        </w:rPr>
      </w:pPr>
      <w:r w:rsidRPr="0030358C">
        <w:rPr>
          <w:rFonts w:ascii="Arial" w:eastAsia="Calibri" w:hAnsi="Arial" w:cs="Arial"/>
          <w:b/>
          <w:bCs/>
          <w:color w:val="000000"/>
          <w:sz w:val="22"/>
          <w:szCs w:val="22"/>
        </w:rPr>
        <w:t xml:space="preserve">všechny „povolené hodnoty“ (všechny „indexy překročení“ jsou menší nebo rovny 100 %), maximálně jedna „podezřelá hodnota“ (jeden „index překročení“ je větší než 100 % a menší nebo roven 200 %) </w:t>
      </w:r>
    </w:p>
    <w:p w14:paraId="18C66454" w14:textId="77777777" w:rsidR="00764961" w:rsidRPr="0030358C" w:rsidRDefault="00764961" w:rsidP="00764961">
      <w:pPr>
        <w:pBdr>
          <w:top w:val="nil"/>
          <w:left w:val="nil"/>
          <w:bottom w:val="nil"/>
          <w:right w:val="nil"/>
        </w:pBdr>
        <w:spacing w:before="100" w:after="53" w:line="259" w:lineRule="auto"/>
        <w:jc w:val="both"/>
        <w:rPr>
          <w:rFonts w:ascii="Arial" w:eastAsia="Calibri" w:hAnsi="Arial" w:cs="Arial"/>
          <w:b/>
          <w:bCs/>
          <w:sz w:val="22"/>
          <w:szCs w:val="22"/>
        </w:rPr>
      </w:pPr>
    </w:p>
    <w:p w14:paraId="0E03A99C" w14:textId="77777777" w:rsidR="004624E8" w:rsidRPr="0030358C" w:rsidRDefault="00000000" w:rsidP="00130492">
      <w:pPr>
        <w:pBdr>
          <w:top w:val="nil"/>
          <w:left w:val="nil"/>
          <w:bottom w:val="nil"/>
          <w:right w:val="nil"/>
        </w:pBdr>
        <w:spacing w:after="282" w:line="235" w:lineRule="atLeast"/>
        <w:ind w:left="10" w:right="39" w:hanging="10"/>
        <w:jc w:val="both"/>
        <w:rPr>
          <w:rFonts w:ascii="Arial" w:eastAsia="Calibri" w:hAnsi="Arial" w:cs="Arial"/>
          <w:b/>
          <w:bCs/>
          <w:color w:val="000000"/>
          <w:sz w:val="22"/>
          <w:szCs w:val="22"/>
        </w:rPr>
      </w:pPr>
      <w:r w:rsidRPr="0030358C">
        <w:rPr>
          <w:rFonts w:ascii="Arial" w:eastAsia="Calibri" w:hAnsi="Arial" w:cs="Arial"/>
          <w:b/>
          <w:bCs/>
          <w:color w:val="000000"/>
          <w:sz w:val="22"/>
          <w:szCs w:val="22"/>
        </w:rPr>
        <w:t xml:space="preserve">8. Závěr – vyhodnocení výsledků </w:t>
      </w:r>
    </w:p>
    <w:p w14:paraId="3D8E76E6" w14:textId="77777777" w:rsidR="00130492" w:rsidRPr="0030358C" w:rsidRDefault="00000000" w:rsidP="00130492">
      <w:pPr>
        <w:pBdr>
          <w:top w:val="nil"/>
          <w:left w:val="nil"/>
          <w:bottom w:val="nil"/>
          <w:right w:val="nil"/>
        </w:pBdr>
        <w:spacing w:after="282" w:line="235" w:lineRule="atLeast"/>
        <w:ind w:left="10" w:right="39" w:hanging="10"/>
        <w:jc w:val="both"/>
        <w:rPr>
          <w:rFonts w:ascii="Arial" w:eastAsia="Calibri" w:hAnsi="Arial" w:cs="Arial"/>
          <w:b/>
          <w:bCs/>
          <w:color w:val="000000"/>
          <w:sz w:val="22"/>
          <w:szCs w:val="22"/>
        </w:rPr>
      </w:pPr>
      <w:r w:rsidRPr="0030358C">
        <w:rPr>
          <w:rFonts w:ascii="Arial" w:eastAsia="Calibri" w:hAnsi="Arial" w:cs="Arial"/>
          <w:b/>
          <w:bCs/>
          <w:color w:val="000000"/>
          <w:sz w:val="22"/>
          <w:szCs w:val="22"/>
        </w:rPr>
        <w:t xml:space="preserve">Kontrolní orgán provede posouzení vzorku popela odebraného u provozovatele spalovacího zařízení (vzorek „B“) dle výše uvedeného postupu. Pokud bude vzorek vyhodnocen jako „zelený“, spalování </w:t>
      </w:r>
      <w:r w:rsidR="004624E8" w:rsidRPr="0030358C">
        <w:rPr>
          <w:rFonts w:ascii="Arial" w:eastAsia="Calibri" w:hAnsi="Arial" w:cs="Arial"/>
          <w:b/>
          <w:bCs/>
          <w:color w:val="000000"/>
          <w:sz w:val="22"/>
          <w:szCs w:val="22"/>
        </w:rPr>
        <w:t>odpadu</w:t>
      </w:r>
      <w:r w:rsidRPr="0030358C">
        <w:rPr>
          <w:rFonts w:ascii="Arial" w:eastAsia="Calibri" w:hAnsi="Arial" w:cs="Arial"/>
          <w:b/>
          <w:bCs/>
          <w:color w:val="000000"/>
          <w:sz w:val="22"/>
          <w:szCs w:val="22"/>
        </w:rPr>
        <w:t xml:space="preserve"> nebylo prokázáno, pokud bude vyhodnocen jako „žlutý“, spalování</w:t>
      </w:r>
      <w:r w:rsidR="004624E8" w:rsidRPr="0030358C">
        <w:rPr>
          <w:rFonts w:ascii="Arial" w:eastAsia="Calibri" w:hAnsi="Arial" w:cs="Arial"/>
          <w:b/>
          <w:bCs/>
          <w:color w:val="000000"/>
          <w:sz w:val="22"/>
          <w:szCs w:val="22"/>
        </w:rPr>
        <w:t xml:space="preserve"> odpadu</w:t>
      </w:r>
      <w:r w:rsidRPr="0030358C">
        <w:rPr>
          <w:rFonts w:ascii="Arial" w:eastAsia="Calibri" w:hAnsi="Arial" w:cs="Arial"/>
          <w:b/>
          <w:bCs/>
          <w:color w:val="000000"/>
          <w:sz w:val="22"/>
          <w:szCs w:val="22"/>
        </w:rPr>
        <w:t xml:space="preserve"> nebylo prokázáno</w:t>
      </w:r>
      <w:r w:rsidR="009F1447" w:rsidRPr="0030358C">
        <w:rPr>
          <w:rFonts w:ascii="Arial" w:eastAsia="Calibri" w:hAnsi="Arial" w:cs="Arial"/>
          <w:b/>
          <w:bCs/>
          <w:color w:val="000000"/>
          <w:sz w:val="22"/>
          <w:szCs w:val="22"/>
        </w:rPr>
        <w:t>, nelze ale ani konstatovat, že analýza jednoznačně spalování odpadu vyloučila</w:t>
      </w:r>
      <w:r w:rsidRPr="0030358C">
        <w:rPr>
          <w:rFonts w:ascii="Arial" w:eastAsia="Calibri" w:hAnsi="Arial" w:cs="Arial"/>
          <w:b/>
          <w:bCs/>
          <w:color w:val="000000"/>
          <w:sz w:val="22"/>
          <w:szCs w:val="22"/>
        </w:rPr>
        <w:t xml:space="preserve">. Pokud bude vzorek vyhodnocen jako „červený“, bylo prokázáno spalování </w:t>
      </w:r>
      <w:r w:rsidR="004624E8" w:rsidRPr="0030358C">
        <w:rPr>
          <w:rFonts w:ascii="Arial" w:eastAsia="Calibri" w:hAnsi="Arial" w:cs="Arial"/>
          <w:b/>
          <w:bCs/>
          <w:color w:val="000000"/>
          <w:sz w:val="22"/>
          <w:szCs w:val="22"/>
        </w:rPr>
        <w:t xml:space="preserve">odpadu. </w:t>
      </w:r>
    </w:p>
    <w:p w14:paraId="1D743C5C" w14:textId="77777777" w:rsidR="00130492" w:rsidRPr="0030358C" w:rsidRDefault="00130492" w:rsidP="00A22E30">
      <w:pPr>
        <w:pStyle w:val="121"/>
        <w:ind w:left="0"/>
        <w:rPr>
          <w:rFonts w:ascii="Arial" w:hAnsi="Arial" w:cs="Arial"/>
          <w:sz w:val="22"/>
          <w:szCs w:val="22"/>
        </w:rPr>
      </w:pPr>
    </w:p>
    <w:p w14:paraId="0F3C50FE" w14:textId="77777777" w:rsidR="00A77B3E" w:rsidRPr="0030358C" w:rsidRDefault="00A77B3E">
      <w:pPr>
        <w:pStyle w:val="122"/>
        <w:rPr>
          <w:rFonts w:ascii="Arial" w:hAnsi="Arial" w:cs="Arial"/>
          <w:sz w:val="22"/>
          <w:szCs w:val="22"/>
        </w:rPr>
      </w:pPr>
    </w:p>
    <w:p w14:paraId="17FBE343" w14:textId="77777777" w:rsidR="00A77B3E" w:rsidRPr="0030358C" w:rsidRDefault="00000000" w:rsidP="00872860">
      <w:pPr>
        <w:pStyle w:val="123"/>
        <w:ind w:left="0" w:firstLine="0"/>
        <w:rPr>
          <w:rFonts w:ascii="Arial" w:hAnsi="Arial" w:cs="Arial"/>
          <w:sz w:val="22"/>
          <w:szCs w:val="22"/>
        </w:rPr>
      </w:pPr>
      <w:r w:rsidRPr="0030358C">
        <w:rPr>
          <w:rFonts w:ascii="Arial" w:hAnsi="Arial" w:cs="Arial"/>
          <w:sz w:val="22"/>
          <w:szCs w:val="22"/>
          <w:vertAlign w:val="superscript"/>
        </w:rPr>
        <w:t>1</w:t>
      </w:r>
      <w:r w:rsidRPr="0030358C">
        <w:rPr>
          <w:rFonts w:ascii="Arial" w:hAnsi="Arial" w:cs="Arial"/>
          <w:sz w:val="22"/>
          <w:szCs w:val="22"/>
        </w:rPr>
        <w:t xml:space="preserve">)    Směrnice Evropského parlamentu a Rady </w:t>
      </w:r>
      <w:hyperlink w:history="1">
        <w:r w:rsidR="00A77B3E" w:rsidRPr="0030358C">
          <w:rPr>
            <w:rFonts w:ascii="Arial" w:hAnsi="Arial" w:cs="Arial"/>
            <w:sz w:val="22"/>
            <w:szCs w:val="22"/>
          </w:rPr>
          <w:t>2010/75/EU</w:t>
        </w:r>
      </w:hyperlink>
      <w:r w:rsidRPr="0030358C">
        <w:rPr>
          <w:rFonts w:ascii="Arial" w:hAnsi="Arial" w:cs="Arial"/>
          <w:sz w:val="22"/>
          <w:szCs w:val="22"/>
        </w:rPr>
        <w:t xml:space="preserve"> ze dne 24. listopadu 2010 o průmyslových emisích (integrované prevenci a omezování znečištění). </w:t>
      </w:r>
      <w:r w:rsidRPr="0030358C">
        <w:rPr>
          <w:rFonts w:ascii="Arial" w:hAnsi="Arial" w:cs="Arial"/>
          <w:sz w:val="22"/>
          <w:szCs w:val="22"/>
        </w:rPr>
        <w:br/>
        <w:t xml:space="preserve">Směrnice Rady </w:t>
      </w:r>
      <w:hyperlink w:history="1">
        <w:r w:rsidR="00A77B3E" w:rsidRPr="0030358C">
          <w:rPr>
            <w:rFonts w:ascii="Arial" w:hAnsi="Arial" w:cs="Arial"/>
            <w:sz w:val="22"/>
            <w:szCs w:val="22"/>
          </w:rPr>
          <w:t>1999/32/ES</w:t>
        </w:r>
      </w:hyperlink>
      <w:r w:rsidRPr="0030358C">
        <w:rPr>
          <w:rFonts w:ascii="Arial" w:hAnsi="Arial" w:cs="Arial"/>
          <w:sz w:val="22"/>
          <w:szCs w:val="22"/>
        </w:rPr>
        <w:t xml:space="preserve"> ze dne 26. dubna 1999 o snižování obsahu síry v některých kapalných palivech a o změně směrnice </w:t>
      </w:r>
      <w:hyperlink w:history="1">
        <w:r w:rsidR="00A77B3E" w:rsidRPr="0030358C">
          <w:rPr>
            <w:rFonts w:ascii="Arial" w:hAnsi="Arial" w:cs="Arial"/>
            <w:sz w:val="22"/>
            <w:szCs w:val="22"/>
          </w:rPr>
          <w:t>93/12/EHS</w:t>
        </w:r>
      </w:hyperlink>
      <w:r w:rsidRPr="0030358C">
        <w:rPr>
          <w:rFonts w:ascii="Arial" w:hAnsi="Arial" w:cs="Arial"/>
          <w:sz w:val="22"/>
          <w:szCs w:val="22"/>
        </w:rPr>
        <w:t xml:space="preserve">, ve znění směrnice Evropského parlamentu a Rady </w:t>
      </w:r>
      <w:hyperlink w:history="1">
        <w:r w:rsidR="00A77B3E" w:rsidRPr="0030358C">
          <w:rPr>
            <w:rFonts w:ascii="Arial" w:hAnsi="Arial" w:cs="Arial"/>
            <w:sz w:val="22"/>
            <w:szCs w:val="22"/>
          </w:rPr>
          <w:t>2005/33/ES</w:t>
        </w:r>
      </w:hyperlink>
      <w:r w:rsidRPr="0030358C">
        <w:rPr>
          <w:rFonts w:ascii="Arial" w:hAnsi="Arial" w:cs="Arial"/>
          <w:sz w:val="22"/>
          <w:szCs w:val="22"/>
        </w:rPr>
        <w:t xml:space="preserve">, ze dne 6. července 2005, kterou se mění směrnice </w:t>
      </w:r>
      <w:hyperlink w:history="1">
        <w:r w:rsidR="00A77B3E" w:rsidRPr="0030358C">
          <w:rPr>
            <w:rFonts w:ascii="Arial" w:hAnsi="Arial" w:cs="Arial"/>
            <w:sz w:val="22"/>
            <w:szCs w:val="22"/>
          </w:rPr>
          <w:t>1999/32/ES</w:t>
        </w:r>
      </w:hyperlink>
      <w:r w:rsidRPr="0030358C">
        <w:rPr>
          <w:rFonts w:ascii="Arial" w:hAnsi="Arial" w:cs="Arial"/>
          <w:sz w:val="22"/>
          <w:szCs w:val="22"/>
        </w:rPr>
        <w:t>, pokud jde o obsah síry v lodních palivech.</w:t>
      </w:r>
      <w:r w:rsidRPr="0030358C">
        <w:rPr>
          <w:rFonts w:ascii="Arial" w:hAnsi="Arial" w:cs="Arial"/>
          <w:sz w:val="22"/>
          <w:szCs w:val="22"/>
        </w:rPr>
        <w:br/>
        <w:t xml:space="preserve">Směrnice Evropského parlamentu a Rady </w:t>
      </w:r>
      <w:hyperlink w:history="1">
        <w:r w:rsidR="00A77B3E" w:rsidRPr="0030358C">
          <w:rPr>
            <w:rFonts w:ascii="Arial" w:hAnsi="Arial" w:cs="Arial"/>
            <w:sz w:val="22"/>
            <w:szCs w:val="22"/>
          </w:rPr>
          <w:t>94/63/ES</w:t>
        </w:r>
      </w:hyperlink>
      <w:r w:rsidRPr="0030358C">
        <w:rPr>
          <w:rFonts w:ascii="Arial" w:hAnsi="Arial" w:cs="Arial"/>
          <w:sz w:val="22"/>
          <w:szCs w:val="22"/>
        </w:rPr>
        <w:t xml:space="preserve"> ze dne 20. prosince 1994 o omezování emisí těkavých organických sloučenin (VOC) vznikajících při skladování benzinu a při jeho distribuci od terminálů k čerpacím stanicím.</w:t>
      </w:r>
      <w:r w:rsidRPr="0030358C">
        <w:rPr>
          <w:rFonts w:ascii="Arial" w:hAnsi="Arial" w:cs="Arial"/>
          <w:sz w:val="22"/>
          <w:szCs w:val="22"/>
        </w:rPr>
        <w:br/>
        <w:t xml:space="preserve">Směrnice Rady </w:t>
      </w:r>
      <w:hyperlink w:history="1">
        <w:r w:rsidR="00A77B3E" w:rsidRPr="0030358C">
          <w:rPr>
            <w:rFonts w:ascii="Arial" w:hAnsi="Arial" w:cs="Arial"/>
            <w:sz w:val="22"/>
            <w:szCs w:val="22"/>
          </w:rPr>
          <w:t>1999/13/ES</w:t>
        </w:r>
      </w:hyperlink>
      <w:r w:rsidRPr="0030358C">
        <w:rPr>
          <w:rFonts w:ascii="Arial" w:hAnsi="Arial" w:cs="Arial"/>
          <w:sz w:val="22"/>
          <w:szCs w:val="22"/>
        </w:rPr>
        <w:t xml:space="preserve"> ze dne 11. března 1999 o omezování emisí těkavých organických látek vznikajících při užívání organických rozpouštědel při některých činnostech a v některých zařízeních.</w:t>
      </w:r>
      <w:r w:rsidRPr="0030358C">
        <w:rPr>
          <w:rFonts w:ascii="Arial" w:hAnsi="Arial" w:cs="Arial"/>
          <w:sz w:val="22"/>
          <w:szCs w:val="22"/>
        </w:rPr>
        <w:br/>
        <w:t xml:space="preserve">Směrnice Evropského parlamentu a Rady </w:t>
      </w:r>
      <w:hyperlink w:history="1">
        <w:r w:rsidR="00A77B3E" w:rsidRPr="0030358C">
          <w:rPr>
            <w:rFonts w:ascii="Arial" w:hAnsi="Arial" w:cs="Arial"/>
            <w:sz w:val="22"/>
            <w:szCs w:val="22"/>
          </w:rPr>
          <w:t>2004/42/ES</w:t>
        </w:r>
      </w:hyperlink>
      <w:r w:rsidRPr="0030358C">
        <w:rPr>
          <w:rFonts w:ascii="Arial" w:hAnsi="Arial" w:cs="Arial"/>
          <w:sz w:val="22"/>
          <w:szCs w:val="22"/>
        </w:rPr>
        <w:t xml:space="preserve"> ze dne 21. dubna 2004 o omezování emisí těkavých organických sloučenin vznikajících při používání organických rozpouštědel v některých barvách a lacích a výrobcích pro opravy nátěru vozidel a o změně směrnice </w:t>
      </w:r>
      <w:hyperlink w:history="1">
        <w:r w:rsidR="00A77B3E" w:rsidRPr="0030358C">
          <w:rPr>
            <w:rFonts w:ascii="Arial" w:hAnsi="Arial" w:cs="Arial"/>
            <w:sz w:val="22"/>
            <w:szCs w:val="22"/>
          </w:rPr>
          <w:t>1999/13/ES</w:t>
        </w:r>
      </w:hyperlink>
      <w:r w:rsidRPr="0030358C">
        <w:rPr>
          <w:rFonts w:ascii="Arial" w:hAnsi="Arial" w:cs="Arial"/>
          <w:sz w:val="22"/>
          <w:szCs w:val="22"/>
        </w:rPr>
        <w:t>.</w:t>
      </w:r>
      <w:r w:rsidRPr="0030358C">
        <w:rPr>
          <w:rFonts w:ascii="Arial" w:hAnsi="Arial" w:cs="Arial"/>
          <w:sz w:val="22"/>
          <w:szCs w:val="22"/>
        </w:rPr>
        <w:br/>
        <w:t xml:space="preserve">Směrnice Evropského parlamentu a Rady </w:t>
      </w:r>
      <w:hyperlink w:history="1">
        <w:r w:rsidR="00A77B3E" w:rsidRPr="0030358C">
          <w:rPr>
            <w:rFonts w:ascii="Arial" w:hAnsi="Arial" w:cs="Arial"/>
            <w:sz w:val="22"/>
            <w:szCs w:val="22"/>
          </w:rPr>
          <w:t>2000/76/ES</w:t>
        </w:r>
      </w:hyperlink>
      <w:r w:rsidRPr="0030358C">
        <w:rPr>
          <w:rFonts w:ascii="Arial" w:hAnsi="Arial" w:cs="Arial"/>
          <w:sz w:val="22"/>
          <w:szCs w:val="22"/>
        </w:rPr>
        <w:t xml:space="preserve"> ze dne 4. prosince 2000 o spalování odpadu.</w:t>
      </w:r>
      <w:r w:rsidRPr="0030358C">
        <w:rPr>
          <w:rFonts w:ascii="Arial" w:hAnsi="Arial" w:cs="Arial"/>
          <w:sz w:val="22"/>
          <w:szCs w:val="22"/>
        </w:rPr>
        <w:br/>
        <w:t xml:space="preserve">Směrnice Evropského parlamentu a Rady </w:t>
      </w:r>
      <w:hyperlink w:history="1">
        <w:r w:rsidR="00A77B3E" w:rsidRPr="0030358C">
          <w:rPr>
            <w:rFonts w:ascii="Arial" w:hAnsi="Arial" w:cs="Arial"/>
            <w:sz w:val="22"/>
            <w:szCs w:val="22"/>
          </w:rPr>
          <w:t>2001/80/ES</w:t>
        </w:r>
      </w:hyperlink>
      <w:r w:rsidRPr="0030358C">
        <w:rPr>
          <w:rFonts w:ascii="Arial" w:hAnsi="Arial" w:cs="Arial"/>
          <w:sz w:val="22"/>
          <w:szCs w:val="22"/>
        </w:rPr>
        <w:t xml:space="preserve"> ze dne 23. října 2001 o omezení emisí některých znečišťujících látek do ovzduší z velkých spalovacích zařízení.</w:t>
      </w:r>
      <w:r w:rsidRPr="0030358C">
        <w:rPr>
          <w:rFonts w:ascii="Arial" w:hAnsi="Arial" w:cs="Arial"/>
          <w:sz w:val="22"/>
          <w:szCs w:val="22"/>
        </w:rPr>
        <w:br/>
      </w:r>
      <w:r w:rsidRPr="0030358C">
        <w:rPr>
          <w:rFonts w:ascii="Arial" w:hAnsi="Arial" w:cs="Arial"/>
          <w:sz w:val="22"/>
          <w:szCs w:val="22"/>
        </w:rPr>
        <w:lastRenderedPageBreak/>
        <w:t xml:space="preserve">Směrnice Rady </w:t>
      </w:r>
      <w:hyperlink w:history="1">
        <w:r w:rsidR="00A77B3E" w:rsidRPr="0030358C">
          <w:rPr>
            <w:rFonts w:ascii="Arial" w:hAnsi="Arial" w:cs="Arial"/>
            <w:sz w:val="22"/>
            <w:szCs w:val="22"/>
          </w:rPr>
          <w:t>87/217/EHS</w:t>
        </w:r>
      </w:hyperlink>
      <w:r w:rsidRPr="0030358C">
        <w:rPr>
          <w:rFonts w:ascii="Arial" w:hAnsi="Arial" w:cs="Arial"/>
          <w:sz w:val="22"/>
          <w:szCs w:val="22"/>
        </w:rPr>
        <w:t xml:space="preserve"> ze dne 19. března 1987 o předcházení a omezování znečišťování životního prostředí azbestem.</w:t>
      </w:r>
      <w:r w:rsidRPr="0030358C">
        <w:rPr>
          <w:rFonts w:ascii="Arial" w:hAnsi="Arial" w:cs="Arial"/>
          <w:sz w:val="22"/>
          <w:szCs w:val="22"/>
        </w:rPr>
        <w:br/>
        <w:t xml:space="preserve">Směrnice Rady </w:t>
      </w:r>
      <w:hyperlink w:history="1">
        <w:r w:rsidR="00A77B3E" w:rsidRPr="0030358C">
          <w:rPr>
            <w:rFonts w:ascii="Arial" w:hAnsi="Arial" w:cs="Arial"/>
            <w:sz w:val="22"/>
            <w:szCs w:val="22"/>
          </w:rPr>
          <w:t>92/112/EHS</w:t>
        </w:r>
      </w:hyperlink>
      <w:r w:rsidRPr="0030358C">
        <w:rPr>
          <w:rFonts w:ascii="Arial" w:hAnsi="Arial" w:cs="Arial"/>
          <w:sz w:val="22"/>
          <w:szCs w:val="22"/>
        </w:rPr>
        <w:t xml:space="preserve"> ze dne 15. prosince 1992 o postupech ke slaďování programů omezování a konečného vyloučení znečišťování způsobeného odpady z průmyslu oxidu titaničitého.</w:t>
      </w:r>
      <w:r w:rsidRPr="0030358C">
        <w:rPr>
          <w:rFonts w:ascii="Arial" w:hAnsi="Arial" w:cs="Arial"/>
          <w:sz w:val="22"/>
          <w:szCs w:val="22"/>
        </w:rPr>
        <w:br/>
        <w:t xml:space="preserve">Směrnice Komise </w:t>
      </w:r>
      <w:hyperlink w:history="1">
        <w:r w:rsidR="00A77B3E" w:rsidRPr="0030358C">
          <w:rPr>
            <w:rFonts w:ascii="Arial" w:hAnsi="Arial" w:cs="Arial"/>
            <w:sz w:val="22"/>
            <w:szCs w:val="22"/>
          </w:rPr>
          <w:t>2014/99/EU</w:t>
        </w:r>
      </w:hyperlink>
      <w:r w:rsidRPr="0030358C">
        <w:rPr>
          <w:rFonts w:ascii="Arial" w:hAnsi="Arial" w:cs="Arial"/>
          <w:sz w:val="22"/>
          <w:szCs w:val="22"/>
        </w:rPr>
        <w:t xml:space="preserve"> ze dne 21. října 2014, kterou se pro účely přizpůsobení technickému pokroku mění směrnice </w:t>
      </w:r>
      <w:hyperlink w:history="1">
        <w:r w:rsidR="00A77B3E" w:rsidRPr="0030358C">
          <w:rPr>
            <w:rFonts w:ascii="Arial" w:hAnsi="Arial" w:cs="Arial"/>
            <w:sz w:val="22"/>
            <w:szCs w:val="22"/>
          </w:rPr>
          <w:t>2009/126/ES</w:t>
        </w:r>
      </w:hyperlink>
      <w:r w:rsidRPr="0030358C">
        <w:rPr>
          <w:rFonts w:ascii="Arial" w:hAnsi="Arial" w:cs="Arial"/>
          <w:sz w:val="22"/>
          <w:szCs w:val="22"/>
        </w:rPr>
        <w:t xml:space="preserve"> o etapě II rekuperace benzinových par při čerpání pohonných hmot do motorových vozidel na čerpacích stanicích.</w:t>
      </w:r>
      <w:r w:rsidRPr="0030358C">
        <w:rPr>
          <w:rFonts w:ascii="Arial" w:hAnsi="Arial" w:cs="Arial"/>
          <w:sz w:val="22"/>
          <w:szCs w:val="22"/>
        </w:rPr>
        <w:br/>
        <w:t xml:space="preserve">Směrnice Evropského parlamentu a Rady </w:t>
      </w:r>
      <w:hyperlink w:history="1">
        <w:r w:rsidR="00A77B3E" w:rsidRPr="0030358C">
          <w:rPr>
            <w:rFonts w:ascii="Arial" w:hAnsi="Arial" w:cs="Arial"/>
            <w:sz w:val="22"/>
            <w:szCs w:val="22"/>
          </w:rPr>
          <w:t>2009/126/ES</w:t>
        </w:r>
      </w:hyperlink>
      <w:r w:rsidRPr="0030358C">
        <w:rPr>
          <w:rFonts w:ascii="Arial" w:hAnsi="Arial" w:cs="Arial"/>
          <w:sz w:val="22"/>
          <w:szCs w:val="22"/>
        </w:rPr>
        <w:t xml:space="preserve"> ze dne 21. října 2009 o etapě II rekuperace benzinových par při čerpání pohonných hmot do motorových vozidel na čerpacích stanicích.</w:t>
      </w:r>
      <w:r w:rsidRPr="0030358C">
        <w:rPr>
          <w:rFonts w:ascii="Arial" w:hAnsi="Arial" w:cs="Arial"/>
          <w:sz w:val="22"/>
          <w:szCs w:val="22"/>
        </w:rPr>
        <w:br/>
      </w:r>
      <w:bookmarkStart w:id="81" w:name="_Hlk181614499"/>
      <w:r w:rsidRPr="0030358C">
        <w:rPr>
          <w:rFonts w:ascii="Arial" w:hAnsi="Arial" w:cs="Arial"/>
          <w:sz w:val="22"/>
          <w:szCs w:val="22"/>
        </w:rPr>
        <w:t xml:space="preserve">Směrnice Evropského parlamentu a Rady </w:t>
      </w:r>
      <w:hyperlink w:history="1">
        <w:r w:rsidR="00A77B3E" w:rsidRPr="0030358C">
          <w:rPr>
            <w:rFonts w:ascii="Arial" w:hAnsi="Arial" w:cs="Arial"/>
            <w:sz w:val="22"/>
            <w:szCs w:val="22"/>
          </w:rPr>
          <w:t>2015/2193/EU</w:t>
        </w:r>
      </w:hyperlink>
      <w:r w:rsidRPr="0030358C">
        <w:rPr>
          <w:rFonts w:ascii="Arial" w:hAnsi="Arial" w:cs="Arial"/>
          <w:sz w:val="22"/>
          <w:szCs w:val="22"/>
        </w:rPr>
        <w:t xml:space="preserve"> ze dne 25. listopadu 2015 o omezení emisí některých znečišťujících látek do ovzduší ze středních spalovacích zařízení.</w:t>
      </w:r>
    </w:p>
    <w:bookmarkEnd w:id="81"/>
    <w:p w14:paraId="354A43A7"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2</w:t>
      </w:r>
      <w:r w:rsidRPr="0030358C">
        <w:rPr>
          <w:rFonts w:ascii="Arial" w:hAnsi="Arial" w:cs="Arial"/>
          <w:sz w:val="22"/>
          <w:szCs w:val="22"/>
        </w:rPr>
        <w:t xml:space="preserve">)    </w:t>
      </w:r>
      <w:hyperlink w:history="1">
        <w:r w:rsidR="00A77B3E" w:rsidRPr="0030358C">
          <w:rPr>
            <w:rFonts w:ascii="Arial" w:hAnsi="Arial" w:cs="Arial"/>
            <w:sz w:val="22"/>
            <w:szCs w:val="22"/>
          </w:rPr>
          <w:t>Zákon č. 22/1997 Sb., o technických požadavcích na výrobky a o změně a doplnění některých zákonů</w:t>
        </w:r>
      </w:hyperlink>
      <w:r w:rsidRPr="0030358C">
        <w:rPr>
          <w:rFonts w:ascii="Arial" w:hAnsi="Arial" w:cs="Arial"/>
          <w:sz w:val="22"/>
          <w:szCs w:val="22"/>
        </w:rPr>
        <w:t>, ve znění pozdějších předpisů.</w:t>
      </w:r>
    </w:p>
    <w:p w14:paraId="7D122DFD"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3</w:t>
      </w:r>
      <w:r w:rsidRPr="0030358C">
        <w:rPr>
          <w:rFonts w:ascii="Arial" w:hAnsi="Arial" w:cs="Arial"/>
          <w:sz w:val="22"/>
          <w:szCs w:val="22"/>
        </w:rPr>
        <w:t xml:space="preserve">)    Nařízení Rady (EHS) č. </w:t>
      </w:r>
      <w:hyperlink w:history="1">
        <w:r w:rsidR="00A77B3E" w:rsidRPr="0030358C">
          <w:rPr>
            <w:rFonts w:ascii="Arial" w:hAnsi="Arial" w:cs="Arial"/>
            <w:sz w:val="22"/>
            <w:szCs w:val="22"/>
          </w:rPr>
          <w:t>2658/87</w:t>
        </w:r>
      </w:hyperlink>
      <w:r w:rsidRPr="0030358C">
        <w:rPr>
          <w:rFonts w:ascii="Arial" w:hAnsi="Arial" w:cs="Arial"/>
          <w:sz w:val="22"/>
          <w:szCs w:val="22"/>
        </w:rPr>
        <w:t xml:space="preserve"> ze dne 23. července 1987 o celní a statistické nomenklatuře a o společném celním sazebníku, ve znění pozdějších předpisů.</w:t>
      </w:r>
    </w:p>
    <w:p w14:paraId="3D7B3853"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4</w:t>
      </w:r>
      <w:r w:rsidRPr="0030358C">
        <w:rPr>
          <w:rFonts w:ascii="Arial" w:hAnsi="Arial" w:cs="Arial"/>
          <w:sz w:val="22"/>
          <w:szCs w:val="22"/>
        </w:rPr>
        <w:t xml:space="preserve">)    </w:t>
      </w:r>
      <w:hyperlink w:history="1">
        <w:r w:rsidR="00A77B3E" w:rsidRPr="0030358C">
          <w:rPr>
            <w:rFonts w:ascii="Arial" w:hAnsi="Arial" w:cs="Arial"/>
            <w:sz w:val="22"/>
            <w:szCs w:val="22"/>
          </w:rPr>
          <w:t>Zákon č. 25/2008 Sb.</w:t>
        </w:r>
      </w:hyperlink>
      <w:r w:rsidRPr="0030358C">
        <w:rPr>
          <w:rFonts w:ascii="Arial" w:hAnsi="Arial" w:cs="Arial"/>
          <w:sz w:val="22"/>
          <w:szCs w:val="22"/>
        </w:rPr>
        <w:t>, o integrovaném registru znečišťování a integrovaném systému plnění ohlašovacích povinností v oblasti životního prostředí, ve znění pozdějších předpisů.</w:t>
      </w:r>
    </w:p>
    <w:p w14:paraId="3B2C93E8"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5</w:t>
      </w:r>
      <w:r w:rsidRPr="0030358C">
        <w:rPr>
          <w:rFonts w:ascii="Arial" w:hAnsi="Arial" w:cs="Arial"/>
          <w:sz w:val="22"/>
          <w:szCs w:val="22"/>
        </w:rPr>
        <w:t xml:space="preserve">)    </w:t>
      </w:r>
      <w:hyperlink w:history="1">
        <w:r w:rsidR="00A77B3E" w:rsidRPr="0030358C">
          <w:rPr>
            <w:rFonts w:ascii="Arial" w:hAnsi="Arial" w:cs="Arial"/>
            <w:sz w:val="22"/>
            <w:szCs w:val="22"/>
          </w:rPr>
          <w:t>Vyhláška č. 312/2012 Sb., o stanovení požadavků na kvalitu paliv používaných pro vnitrozemská a námořní plavidla z hlediska ochrany ovzduší</w:t>
        </w:r>
      </w:hyperlink>
      <w:r w:rsidRPr="0030358C">
        <w:rPr>
          <w:rFonts w:ascii="Arial" w:hAnsi="Arial" w:cs="Arial"/>
          <w:sz w:val="22"/>
          <w:szCs w:val="22"/>
        </w:rPr>
        <w:t xml:space="preserve">, ve znění </w:t>
      </w:r>
      <w:hyperlink w:history="1">
        <w:r w:rsidR="00A77B3E" w:rsidRPr="0030358C">
          <w:rPr>
            <w:rFonts w:ascii="Arial" w:hAnsi="Arial" w:cs="Arial"/>
            <w:sz w:val="22"/>
            <w:szCs w:val="22"/>
          </w:rPr>
          <w:t>vyhlášky č. 154/2014 Sb.</w:t>
        </w:r>
      </w:hyperlink>
    </w:p>
    <w:p w14:paraId="3832F742"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6</w:t>
      </w:r>
      <w:r w:rsidRPr="0030358C">
        <w:rPr>
          <w:rFonts w:ascii="Arial" w:hAnsi="Arial" w:cs="Arial"/>
          <w:sz w:val="22"/>
          <w:szCs w:val="22"/>
        </w:rPr>
        <w:t xml:space="preserve">)    </w:t>
      </w:r>
      <w:hyperlink w:history="1">
        <w:r w:rsidR="00A77B3E" w:rsidRPr="0030358C">
          <w:rPr>
            <w:rFonts w:ascii="Arial" w:hAnsi="Arial" w:cs="Arial"/>
            <w:sz w:val="22"/>
            <w:szCs w:val="22"/>
          </w:rPr>
          <w:t>Zákon č. 76/2002 Sb.</w:t>
        </w:r>
      </w:hyperlink>
      <w:r w:rsidRPr="0030358C">
        <w:rPr>
          <w:rFonts w:ascii="Arial" w:hAnsi="Arial" w:cs="Arial"/>
          <w:sz w:val="22"/>
          <w:szCs w:val="22"/>
        </w:rPr>
        <w:t xml:space="preserve">, o integrované prevenci a omezování znečištění, o integrovaném registru znečišťování a o změně některých zákonů (zákon </w:t>
      </w:r>
      <w:hyperlink w:history="1">
        <w:r w:rsidR="00A77B3E" w:rsidRPr="0030358C">
          <w:rPr>
            <w:rFonts w:ascii="Arial" w:hAnsi="Arial" w:cs="Arial"/>
            <w:sz w:val="22"/>
            <w:szCs w:val="22"/>
          </w:rPr>
          <w:t>o integrované prevenci</w:t>
        </w:r>
      </w:hyperlink>
      <w:r w:rsidRPr="0030358C">
        <w:rPr>
          <w:rFonts w:ascii="Arial" w:hAnsi="Arial" w:cs="Arial"/>
          <w:sz w:val="22"/>
          <w:szCs w:val="22"/>
        </w:rPr>
        <w:t>), ve znění pozdějších předpisů.</w:t>
      </w:r>
    </w:p>
    <w:p w14:paraId="16447FDD"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7</w:t>
      </w:r>
      <w:r w:rsidRPr="0030358C">
        <w:rPr>
          <w:rFonts w:ascii="Arial" w:hAnsi="Arial" w:cs="Arial"/>
          <w:sz w:val="22"/>
          <w:szCs w:val="22"/>
        </w:rPr>
        <w:t xml:space="preserve">)    </w:t>
      </w:r>
      <w:hyperlink w:history="1">
        <w:r w:rsidR="00A77B3E" w:rsidRPr="0030358C">
          <w:rPr>
            <w:rFonts w:ascii="Arial" w:hAnsi="Arial" w:cs="Arial"/>
            <w:sz w:val="22"/>
            <w:szCs w:val="22"/>
          </w:rPr>
          <w:t>§ 39 odst. 1 písm. a)</w:t>
        </w:r>
      </w:hyperlink>
      <w:r w:rsidRPr="0030358C">
        <w:rPr>
          <w:rFonts w:ascii="Arial" w:hAnsi="Arial" w:cs="Arial"/>
          <w:sz w:val="22"/>
          <w:szCs w:val="22"/>
        </w:rPr>
        <w:t xml:space="preserve"> a </w:t>
      </w:r>
      <w:hyperlink w:history="1">
        <w:r w:rsidR="00A77B3E" w:rsidRPr="0030358C">
          <w:rPr>
            <w:rFonts w:ascii="Arial" w:hAnsi="Arial" w:cs="Arial"/>
            <w:sz w:val="22"/>
            <w:szCs w:val="22"/>
          </w:rPr>
          <w:t>§ 41</w:t>
        </w:r>
      </w:hyperlink>
      <w:r w:rsidRPr="0030358C">
        <w:rPr>
          <w:rFonts w:ascii="Arial" w:hAnsi="Arial" w:cs="Arial"/>
          <w:sz w:val="22"/>
          <w:szCs w:val="22"/>
        </w:rPr>
        <w:t xml:space="preserve"> </w:t>
      </w:r>
      <w:hyperlink w:history="1">
        <w:r w:rsidR="00A77B3E" w:rsidRPr="0030358C">
          <w:rPr>
            <w:rFonts w:ascii="Arial" w:hAnsi="Arial" w:cs="Arial"/>
            <w:sz w:val="22"/>
            <w:szCs w:val="22"/>
          </w:rPr>
          <w:t>zákona č. 166/1999 Sb.</w:t>
        </w:r>
      </w:hyperlink>
      <w:r w:rsidRPr="0030358C">
        <w:rPr>
          <w:rFonts w:ascii="Arial" w:hAnsi="Arial" w:cs="Arial"/>
          <w:sz w:val="22"/>
          <w:szCs w:val="22"/>
        </w:rPr>
        <w:t>, o veterinární péči.</w:t>
      </w:r>
    </w:p>
    <w:p w14:paraId="5CE9EF71"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8</w:t>
      </w:r>
      <w:r w:rsidRPr="0030358C">
        <w:rPr>
          <w:rFonts w:ascii="Arial" w:hAnsi="Arial" w:cs="Arial"/>
          <w:sz w:val="22"/>
          <w:szCs w:val="22"/>
        </w:rPr>
        <w:t xml:space="preserve">)    Příloha č. I nařízení Komise (EU) č. </w:t>
      </w:r>
      <w:hyperlink w:history="1">
        <w:r w:rsidR="00A77B3E" w:rsidRPr="0030358C">
          <w:rPr>
            <w:rFonts w:ascii="Arial" w:hAnsi="Arial" w:cs="Arial"/>
            <w:sz w:val="22"/>
            <w:szCs w:val="22"/>
          </w:rPr>
          <w:t>142/2011</w:t>
        </w:r>
      </w:hyperlink>
      <w:r w:rsidRPr="0030358C">
        <w:rPr>
          <w:rFonts w:ascii="Arial" w:hAnsi="Arial" w:cs="Arial"/>
          <w:sz w:val="22"/>
          <w:szCs w:val="22"/>
        </w:rPr>
        <w:t>.</w:t>
      </w:r>
    </w:p>
    <w:p w14:paraId="159397B2" w14:textId="77777777" w:rsidR="00A77B3E" w:rsidRPr="0030358C" w:rsidRDefault="00000000">
      <w:pPr>
        <w:pStyle w:val="124"/>
        <w:rPr>
          <w:rFonts w:ascii="Arial" w:hAnsi="Arial" w:cs="Arial"/>
          <w:sz w:val="22"/>
          <w:szCs w:val="22"/>
        </w:rPr>
      </w:pPr>
      <w:r w:rsidRPr="0030358C">
        <w:rPr>
          <w:rFonts w:ascii="Arial" w:hAnsi="Arial" w:cs="Arial"/>
          <w:sz w:val="22"/>
          <w:szCs w:val="22"/>
          <w:vertAlign w:val="superscript"/>
        </w:rPr>
        <w:t>9</w:t>
      </w:r>
      <w:r w:rsidRPr="0030358C">
        <w:rPr>
          <w:rFonts w:ascii="Arial" w:hAnsi="Arial" w:cs="Arial"/>
          <w:sz w:val="22"/>
          <w:szCs w:val="22"/>
        </w:rPr>
        <w:t xml:space="preserve">)    </w:t>
      </w:r>
      <w:hyperlink w:history="1">
        <w:r w:rsidR="00A77B3E" w:rsidRPr="0030358C">
          <w:rPr>
            <w:rFonts w:ascii="Arial" w:hAnsi="Arial" w:cs="Arial"/>
            <w:sz w:val="22"/>
            <w:szCs w:val="22"/>
          </w:rPr>
          <w:t>Zákon č. 458/2000 Sb. o podmínkách podnikání a o výkonu státní správy v energetických odvětvích a o změně některých zákonů</w:t>
        </w:r>
      </w:hyperlink>
      <w:r w:rsidRPr="0030358C">
        <w:rPr>
          <w:rFonts w:ascii="Arial" w:hAnsi="Arial" w:cs="Arial"/>
          <w:sz w:val="22"/>
          <w:szCs w:val="22"/>
        </w:rPr>
        <w:t xml:space="preserve"> (energetický zákon), ve znění pozdějších předpisů.</w:t>
      </w:r>
    </w:p>
    <w:p w14:paraId="5A2F52BE" w14:textId="77777777" w:rsidR="00A77B3E" w:rsidRPr="0030358C" w:rsidRDefault="00000000" w:rsidP="00340873">
      <w:pPr>
        <w:pStyle w:val="25"/>
        <w:rPr>
          <w:rFonts w:ascii="Arial" w:hAnsi="Arial" w:cs="Arial"/>
          <w:b/>
          <w:bCs/>
          <w:sz w:val="22"/>
          <w:szCs w:val="22"/>
        </w:rPr>
      </w:pPr>
      <w:r w:rsidRPr="0030358C">
        <w:rPr>
          <w:rFonts w:ascii="Arial" w:hAnsi="Arial" w:cs="Arial"/>
          <w:b/>
          <w:bCs/>
          <w:sz w:val="22"/>
          <w:szCs w:val="22"/>
          <w:vertAlign w:val="superscript"/>
        </w:rPr>
        <w:t>10)</w:t>
      </w:r>
      <w:r w:rsidRPr="0030358C">
        <w:rPr>
          <w:rFonts w:ascii="Arial" w:hAnsi="Arial" w:cs="Arial"/>
          <w:b/>
          <w:bCs/>
          <w:sz w:val="22"/>
          <w:szCs w:val="22"/>
        </w:rPr>
        <w:t xml:space="preserve"> Vyhláška č. 31/1995 Sb., kterou se provádí zákon č. 200/1994 Sb., o zeměměřictví a o změně a doplnění některých zákonů souvisejících s jeho zavedením, Českého úřadu zeměměřického a katastrálního.</w:t>
      </w:r>
    </w:p>
    <w:sectPr w:rsidR="00A77B3E" w:rsidRPr="0030358C" w:rsidSect="00D804A3">
      <w:footnotePr>
        <w:numStart w:val="4"/>
      </w:footnotePr>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0EF90" w14:textId="77777777" w:rsidR="00D4395E" w:rsidRDefault="00D4395E">
      <w:r>
        <w:separator/>
      </w:r>
    </w:p>
  </w:endnote>
  <w:endnote w:type="continuationSeparator" w:id="0">
    <w:p w14:paraId="757A60DF" w14:textId="77777777" w:rsidR="00D4395E" w:rsidRDefault="00D43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Times New Roman"/>
    <w:charset w:val="00"/>
    <w:family w:val="auto"/>
    <w:pitch w:val="default"/>
  </w:font>
  <w:font w:name="StarSymbo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76B6E" w14:textId="77777777" w:rsidR="00D4395E" w:rsidRDefault="00D4395E">
      <w:r>
        <w:separator/>
      </w:r>
    </w:p>
  </w:footnote>
  <w:footnote w:type="continuationSeparator" w:id="0">
    <w:p w14:paraId="17CD7EA5" w14:textId="77777777" w:rsidR="00D4395E" w:rsidRDefault="00D4395E">
      <w:r>
        <w:continuationSeparator/>
      </w:r>
    </w:p>
  </w:footnote>
  <w:footnote w:id="1">
    <w:p w14:paraId="381C8503" w14:textId="77777777" w:rsidR="008F52C8" w:rsidRDefault="00000000" w:rsidP="008F52C8">
      <w:pPr>
        <w:pStyle w:val="Textpoznpodarou"/>
      </w:pPr>
      <w:r>
        <w:rPr>
          <w:rStyle w:val="Znakapoznpodarou"/>
        </w:rPr>
        <w:t>7</w:t>
      </w:r>
      <w:r>
        <w:t xml:space="preserve"> ) </w:t>
      </w:r>
      <w:r w:rsidRPr="00EE2BD8">
        <w:rPr>
          <w:lang w:eastAsia="cs-CZ"/>
        </w:rPr>
        <w:t>§ 39 odst. 1 písm. a) a § 41 zákona č.166/1999 Sb., o veterinární péči.</w:t>
      </w:r>
    </w:p>
  </w:footnote>
  <w:footnote w:id="2">
    <w:p w14:paraId="3927A8DE" w14:textId="77777777" w:rsidR="008F52C8" w:rsidRDefault="00000000" w:rsidP="008F52C8">
      <w:pPr>
        <w:pStyle w:val="Textpoznpodarou"/>
      </w:pPr>
      <w:r>
        <w:rPr>
          <w:rStyle w:val="Znakapoznpodarou"/>
        </w:rPr>
        <w:t>8</w:t>
      </w:r>
      <w:r>
        <w:t xml:space="preserve"> </w:t>
      </w:r>
      <w:r w:rsidRPr="00EE2BD8">
        <w:t>)</w:t>
      </w:r>
      <w:r>
        <w:t xml:space="preserve"> </w:t>
      </w:r>
      <w:r w:rsidRPr="00EE2BD8">
        <w:t>P</w:t>
      </w:r>
      <w:r>
        <w:t xml:space="preserve">říloha č. </w:t>
      </w:r>
      <w:r w:rsidRPr="00EE2BD8">
        <w:rPr>
          <w:lang w:eastAsia="cs-CZ"/>
        </w:rPr>
        <w:t>I nařízení</w:t>
      </w:r>
      <w:r>
        <w:rPr>
          <w:lang w:eastAsia="cs-CZ"/>
        </w:rPr>
        <w:t xml:space="preserve"> Komise</w:t>
      </w:r>
      <w:r w:rsidRPr="00EE2BD8">
        <w:rPr>
          <w:lang w:eastAsia="cs-CZ"/>
        </w:rPr>
        <w:t xml:space="preserve"> </w:t>
      </w:r>
      <w:r>
        <w:rPr>
          <w:lang w:eastAsia="cs-CZ"/>
        </w:rPr>
        <w:t>(</w:t>
      </w:r>
      <w:r w:rsidRPr="00EE2BD8">
        <w:rPr>
          <w:lang w:eastAsia="cs-CZ"/>
        </w:rPr>
        <w:t>EU</w:t>
      </w:r>
      <w:r>
        <w:rPr>
          <w:lang w:eastAsia="cs-CZ"/>
        </w:rPr>
        <w:t>)</w:t>
      </w:r>
      <w:r w:rsidRPr="00EE2BD8">
        <w:rPr>
          <w:lang w:eastAsia="cs-CZ"/>
        </w:rPr>
        <w:t xml:space="preserve"> č. 142/2011.</w:t>
      </w:r>
    </w:p>
  </w:footnote>
  <w:footnote w:id="3">
    <w:p w14:paraId="41863240" w14:textId="77777777" w:rsidR="008F52C8" w:rsidRDefault="00000000" w:rsidP="008F52C8">
      <w:pPr>
        <w:pStyle w:val="Textpoznpodarou"/>
      </w:pPr>
      <w:r>
        <w:rPr>
          <w:rStyle w:val="Znakapoznpodarou"/>
        </w:rPr>
        <w:t>7</w:t>
      </w:r>
      <w:r>
        <w:t xml:space="preserve"> ) </w:t>
      </w:r>
      <w:r w:rsidRPr="00EE2BD8">
        <w:rPr>
          <w:lang w:eastAsia="cs-CZ"/>
        </w:rPr>
        <w:t>§ 39 odst. 1 písm. a) a § 41 zákona č.166/1999 Sb., o veterinární péči.</w:t>
      </w:r>
    </w:p>
  </w:footnote>
  <w:footnote w:id="4">
    <w:p w14:paraId="5442A6C7" w14:textId="77777777" w:rsidR="008F52C8" w:rsidRDefault="00000000" w:rsidP="008F52C8">
      <w:pPr>
        <w:pStyle w:val="Textpoznpodarou"/>
      </w:pPr>
      <w:r>
        <w:rPr>
          <w:rStyle w:val="Znakapoznpodarou"/>
        </w:rPr>
        <w:t>8</w:t>
      </w:r>
      <w:r>
        <w:t xml:space="preserve"> </w:t>
      </w:r>
      <w:r w:rsidRPr="00EE2BD8">
        <w:t>)</w:t>
      </w:r>
      <w:r>
        <w:t xml:space="preserve"> </w:t>
      </w:r>
      <w:r w:rsidRPr="00EE2BD8">
        <w:t>P</w:t>
      </w:r>
      <w:r>
        <w:t xml:space="preserve">říloha č. </w:t>
      </w:r>
      <w:r w:rsidRPr="00EE2BD8">
        <w:rPr>
          <w:lang w:eastAsia="cs-CZ"/>
        </w:rPr>
        <w:t>I nařízení</w:t>
      </w:r>
      <w:r>
        <w:rPr>
          <w:lang w:eastAsia="cs-CZ"/>
        </w:rPr>
        <w:t xml:space="preserve"> Komise</w:t>
      </w:r>
      <w:r w:rsidRPr="00EE2BD8">
        <w:rPr>
          <w:lang w:eastAsia="cs-CZ"/>
        </w:rPr>
        <w:t xml:space="preserve"> </w:t>
      </w:r>
      <w:r>
        <w:rPr>
          <w:lang w:eastAsia="cs-CZ"/>
        </w:rPr>
        <w:t>(</w:t>
      </w:r>
      <w:r w:rsidRPr="00EE2BD8">
        <w:rPr>
          <w:lang w:eastAsia="cs-CZ"/>
        </w:rPr>
        <w:t>EU</w:t>
      </w:r>
      <w:r>
        <w:rPr>
          <w:lang w:eastAsia="cs-CZ"/>
        </w:rPr>
        <w:t>)</w:t>
      </w:r>
      <w:r w:rsidRPr="00EE2BD8">
        <w:rPr>
          <w:lang w:eastAsia="cs-CZ"/>
        </w:rPr>
        <w:t xml:space="preserve"> č. 142/2011.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9072"/>
    </w:tblGrid>
    <w:tr w:rsidR="00E40657" w14:paraId="110505CD" w14:textId="77777777">
      <w:tc>
        <w:tcPr>
          <w:tcW w:w="0" w:type="auto"/>
          <w:tcMar>
            <w:top w:w="85" w:type="dxa"/>
            <w:left w:w="146" w:type="dxa"/>
            <w:bottom w:w="85" w:type="dxa"/>
            <w:right w:w="157" w:type="dxa"/>
          </w:tcMar>
          <w:vAlign w:val="center"/>
          <w:hideMark/>
        </w:tcPr>
        <w:p w14:paraId="122ADA4A" w14:textId="77777777" w:rsidR="00212308" w:rsidRDefault="00212308">
          <w:pPr>
            <w:pStyle w:val="HlavickaZlutyText"/>
            <w:jc w:val="right"/>
          </w:pPr>
        </w:p>
      </w:tc>
    </w:tr>
    <w:tr w:rsidR="00E40657" w14:paraId="3C5ABB55" w14:textId="77777777">
      <w:tc>
        <w:tcPr>
          <w:tcW w:w="0" w:type="auto"/>
          <w:tcMar>
            <w:top w:w="85" w:type="dxa"/>
            <w:left w:w="146" w:type="dxa"/>
            <w:bottom w:w="85" w:type="dxa"/>
            <w:right w:w="157" w:type="dxa"/>
          </w:tcMar>
          <w:vAlign w:val="center"/>
          <w:hideMark/>
        </w:tcPr>
        <w:p w14:paraId="08BC56CD" w14:textId="77777777" w:rsidR="00212308" w:rsidRDefault="00212308">
          <w:pPr>
            <w:pStyle w:val="Hlavicka"/>
            <w:jc w:val="right"/>
          </w:pPr>
        </w:p>
      </w:tc>
    </w:tr>
  </w:tbl>
  <w:p w14:paraId="7FD182F1" w14:textId="77777777" w:rsidR="00212308" w:rsidRDefault="00212308">
    <w:pPr>
      <w:pStyle w:val="Hlavic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1476" w14:textId="77777777" w:rsidR="006945AD" w:rsidRDefault="006945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4"/>
    <w:multiLevelType w:val="singleLevel"/>
    <w:tmpl w:val="FCFAC09A"/>
    <w:name w:val="WW8Num4"/>
    <w:lvl w:ilvl="0">
      <w:start w:val="1"/>
      <w:numFmt w:val="decimal"/>
      <w:lvlText w:val="%1)"/>
      <w:lvlJc w:val="left"/>
      <w:pPr>
        <w:tabs>
          <w:tab w:val="num" w:pos="0"/>
        </w:tabs>
        <w:ind w:left="720" w:hanging="360"/>
      </w:pPr>
      <w:rPr>
        <w:rFonts w:cs="Times New Roman" w:hint="default"/>
        <w:sz w:val="20"/>
      </w:rPr>
    </w:lvl>
  </w:abstractNum>
  <w:abstractNum w:abstractNumId="2"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rPr>
    </w:lvl>
  </w:abstractNum>
  <w:abstractNum w:abstractNumId="3" w15:restartNumberingAfterBreak="0">
    <w:nsid w:val="00000006"/>
    <w:multiLevelType w:val="singleLevel"/>
    <w:tmpl w:val="00000006"/>
    <w:name w:val="WW8Num6"/>
    <w:lvl w:ilvl="0">
      <w:start w:val="1"/>
      <w:numFmt w:val="decimal"/>
      <w:lvlText w:val="%1)"/>
      <w:lvlJc w:val="left"/>
      <w:pPr>
        <w:tabs>
          <w:tab w:val="num" w:pos="0"/>
        </w:tabs>
        <w:ind w:left="1080" w:hanging="360"/>
      </w:pPr>
      <w:rPr>
        <w:rFonts w:ascii="Times New Roman" w:hAnsi="Times New Roman" w:cs="Times New Roman"/>
        <w:color w:val="000000"/>
        <w:position w:val="0"/>
        <w:sz w:val="20"/>
        <w:u w:val="none"/>
        <w:vertAlign w:val="baseline"/>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20" w:hanging="360"/>
      </w:pPr>
      <w:rPr>
        <w:rFonts w:cs="Times New Roman"/>
      </w:rPr>
    </w:lvl>
  </w:abstractNum>
  <w:abstractNum w:abstractNumId="5" w15:restartNumberingAfterBreak="0">
    <w:nsid w:val="00000008"/>
    <w:multiLevelType w:val="singleLevel"/>
    <w:tmpl w:val="00000008"/>
    <w:name w:val="WW8Num8"/>
    <w:lvl w:ilvl="0">
      <w:start w:val="1"/>
      <w:numFmt w:val="decimal"/>
      <w:lvlText w:val="%1)"/>
      <w:lvlJc w:val="left"/>
      <w:pPr>
        <w:tabs>
          <w:tab w:val="num" w:pos="0"/>
        </w:tabs>
        <w:ind w:left="720" w:hanging="360"/>
      </w:pPr>
      <w:rPr>
        <w:rFonts w:cs="Times New Roman"/>
      </w:rPr>
    </w:lvl>
  </w:abstractNum>
  <w:abstractNum w:abstractNumId="6" w15:restartNumberingAfterBreak="0">
    <w:nsid w:val="00000009"/>
    <w:multiLevelType w:val="singleLevel"/>
    <w:tmpl w:val="00000009"/>
    <w:name w:val="WW8Num9"/>
    <w:lvl w:ilvl="0">
      <w:start w:val="1"/>
      <w:numFmt w:val="decimal"/>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decimal"/>
      <w:lvlText w:val="%1)"/>
      <w:lvlJc w:val="left"/>
      <w:pPr>
        <w:tabs>
          <w:tab w:val="num" w:pos="0"/>
        </w:tabs>
        <w:ind w:left="720" w:hanging="360"/>
      </w:pPr>
      <w:rPr>
        <w:rFonts w:cs="Times New Roman"/>
      </w:rPr>
    </w:lvl>
  </w:abstractNum>
  <w:abstractNum w:abstractNumId="8" w15:restartNumberingAfterBreak="0">
    <w:nsid w:val="0000000C"/>
    <w:multiLevelType w:val="singleLevel"/>
    <w:tmpl w:val="BDE8F758"/>
    <w:name w:val="WW8Num26"/>
    <w:lvl w:ilvl="0">
      <w:start w:val="1"/>
      <w:numFmt w:val="decimal"/>
      <w:lvlText w:val="%1)"/>
      <w:lvlJc w:val="left"/>
      <w:pPr>
        <w:tabs>
          <w:tab w:val="num" w:pos="720"/>
        </w:tabs>
        <w:ind w:left="720" w:hanging="360"/>
      </w:pPr>
      <w:rPr>
        <w:rFonts w:cs="Times New Roman"/>
        <w:b w:val="0"/>
        <w:i w:val="0"/>
        <w:strike w:val="0"/>
        <w:dstrike w:val="0"/>
      </w:rPr>
    </w:lvl>
  </w:abstractNum>
  <w:abstractNum w:abstractNumId="9" w15:restartNumberingAfterBreak="0">
    <w:nsid w:val="0000000D"/>
    <w:multiLevelType w:val="singleLevel"/>
    <w:tmpl w:val="0000000D"/>
    <w:name w:val="WW8Num13"/>
    <w:lvl w:ilvl="0">
      <w:start w:val="1"/>
      <w:numFmt w:val="lowerLetter"/>
      <w:lvlText w:val="%1)"/>
      <w:lvlJc w:val="left"/>
      <w:pPr>
        <w:tabs>
          <w:tab w:val="num" w:pos="0"/>
        </w:tabs>
        <w:ind w:left="9717" w:hanging="360"/>
      </w:pPr>
    </w:lvl>
  </w:abstractNum>
  <w:abstractNum w:abstractNumId="10" w15:restartNumberingAfterBreak="0">
    <w:nsid w:val="0000000F"/>
    <w:multiLevelType w:val="singleLevel"/>
    <w:tmpl w:val="0000000F"/>
    <w:name w:val="WW8Num29"/>
    <w:lvl w:ilvl="0">
      <w:start w:val="1"/>
      <w:numFmt w:val="decimal"/>
      <w:lvlText w:val="%1)"/>
      <w:lvlJc w:val="left"/>
      <w:pPr>
        <w:tabs>
          <w:tab w:val="num" w:pos="0"/>
        </w:tabs>
        <w:ind w:left="720" w:hanging="360"/>
      </w:pPr>
      <w:rPr>
        <w:rFonts w:cs="Times New Roman"/>
      </w:rPr>
    </w:lvl>
  </w:abstractNum>
  <w:abstractNum w:abstractNumId="11" w15:restartNumberingAfterBreak="0">
    <w:nsid w:val="00000010"/>
    <w:multiLevelType w:val="singleLevel"/>
    <w:tmpl w:val="00000010"/>
    <w:name w:val="WW8Num16"/>
    <w:lvl w:ilvl="0">
      <w:start w:val="1"/>
      <w:numFmt w:val="decimal"/>
      <w:lvlText w:val="%1)"/>
      <w:lvlJc w:val="left"/>
      <w:pPr>
        <w:tabs>
          <w:tab w:val="num" w:pos="0"/>
        </w:tabs>
        <w:ind w:left="780" w:hanging="420"/>
      </w:pPr>
      <w:rPr>
        <w:rFonts w:cs="Times New Roman"/>
      </w:rPr>
    </w:lvl>
  </w:abstractNum>
  <w:abstractNum w:abstractNumId="12" w15:restartNumberingAfterBreak="0">
    <w:nsid w:val="00000012"/>
    <w:multiLevelType w:val="singleLevel"/>
    <w:tmpl w:val="00000012"/>
    <w:name w:val="WW8Num33"/>
    <w:lvl w:ilvl="0">
      <w:start w:val="1"/>
      <w:numFmt w:val="decimal"/>
      <w:lvlText w:val="%1)"/>
      <w:lvlJc w:val="left"/>
      <w:pPr>
        <w:tabs>
          <w:tab w:val="num" w:pos="720"/>
        </w:tabs>
        <w:ind w:left="720" w:hanging="360"/>
      </w:pPr>
      <w:rPr>
        <w:rFonts w:cs="Times New Roman"/>
      </w:rPr>
    </w:lvl>
  </w:abstractNum>
  <w:abstractNum w:abstractNumId="13" w15:restartNumberingAfterBreak="0">
    <w:nsid w:val="00000013"/>
    <w:multiLevelType w:val="singleLevel"/>
    <w:tmpl w:val="00000013"/>
    <w:name w:val="WW8Num19"/>
    <w:lvl w:ilvl="0">
      <w:start w:val="1"/>
      <w:numFmt w:val="lowerLetter"/>
      <w:lvlText w:val="%1)"/>
      <w:lvlJc w:val="left"/>
      <w:pPr>
        <w:tabs>
          <w:tab w:val="num" w:pos="0"/>
        </w:tabs>
        <w:ind w:left="720" w:hanging="360"/>
      </w:pPr>
      <w:rPr>
        <w:rFonts w:cs="Times New Roman"/>
      </w:rPr>
    </w:lvl>
  </w:abstractNum>
  <w:abstractNum w:abstractNumId="14" w15:restartNumberingAfterBreak="0">
    <w:nsid w:val="00000014"/>
    <w:multiLevelType w:val="multilevel"/>
    <w:tmpl w:val="00000014"/>
    <w:name w:val="WW8Num35"/>
    <w:lvl w:ilvl="0">
      <w:start w:val="2"/>
      <w:numFmt w:val="decimal"/>
      <w:lvlText w:val="%1."/>
      <w:lvlJc w:val="left"/>
      <w:pPr>
        <w:tabs>
          <w:tab w:val="num" w:pos="0"/>
        </w:tabs>
        <w:ind w:left="360" w:hanging="360"/>
      </w:pPr>
      <w:rPr>
        <w:rFonts w:cs="Times New Roman"/>
        <w:color w:val="auto"/>
      </w:rPr>
    </w:lvl>
    <w:lvl w:ilvl="1">
      <w:start w:val="3"/>
      <w:numFmt w:val="decimal"/>
      <w:lvlText w:val="%1.%2."/>
      <w:lvlJc w:val="left"/>
      <w:pPr>
        <w:tabs>
          <w:tab w:val="num" w:pos="0"/>
        </w:tabs>
        <w:ind w:left="1080" w:hanging="360"/>
      </w:pPr>
      <w:rPr>
        <w:rFonts w:cs="Times New Roman"/>
        <w:b/>
      </w:rPr>
    </w:lvl>
    <w:lvl w:ilvl="2">
      <w:start w:val="1"/>
      <w:numFmt w:val="decimal"/>
      <w:lvlText w:val="%1.%2.%3."/>
      <w:lvlJc w:val="left"/>
      <w:pPr>
        <w:tabs>
          <w:tab w:val="num" w:pos="0"/>
        </w:tabs>
        <w:ind w:left="2160" w:hanging="720"/>
      </w:pPr>
      <w:rPr>
        <w:rFonts w:cs="Times New Roman"/>
        <w:color w:val="auto"/>
      </w:rPr>
    </w:lvl>
    <w:lvl w:ilvl="3">
      <w:start w:val="1"/>
      <w:numFmt w:val="decimal"/>
      <w:lvlText w:val="%1.%2.%3.%4."/>
      <w:lvlJc w:val="left"/>
      <w:pPr>
        <w:tabs>
          <w:tab w:val="num" w:pos="0"/>
        </w:tabs>
        <w:ind w:left="2880" w:hanging="720"/>
      </w:pPr>
      <w:rPr>
        <w:rFonts w:cs="Times New Roman"/>
        <w:color w:val="auto"/>
      </w:rPr>
    </w:lvl>
    <w:lvl w:ilvl="4">
      <w:start w:val="1"/>
      <w:numFmt w:val="decimal"/>
      <w:lvlText w:val="%1.%2.%3.%4.%5."/>
      <w:lvlJc w:val="left"/>
      <w:pPr>
        <w:tabs>
          <w:tab w:val="num" w:pos="0"/>
        </w:tabs>
        <w:ind w:left="3960" w:hanging="1080"/>
      </w:pPr>
      <w:rPr>
        <w:rFonts w:cs="Times New Roman"/>
        <w:color w:val="auto"/>
      </w:rPr>
    </w:lvl>
    <w:lvl w:ilvl="5">
      <w:start w:val="1"/>
      <w:numFmt w:val="decimal"/>
      <w:lvlText w:val="%1.%2.%3.%4.%5.%6."/>
      <w:lvlJc w:val="left"/>
      <w:pPr>
        <w:tabs>
          <w:tab w:val="num" w:pos="0"/>
        </w:tabs>
        <w:ind w:left="4680" w:hanging="1080"/>
      </w:pPr>
      <w:rPr>
        <w:rFonts w:cs="Times New Roman"/>
        <w:color w:val="auto"/>
      </w:rPr>
    </w:lvl>
    <w:lvl w:ilvl="6">
      <w:start w:val="1"/>
      <w:numFmt w:val="decimal"/>
      <w:lvlText w:val="%1.%2.%3.%4.%5.%6.%7."/>
      <w:lvlJc w:val="left"/>
      <w:pPr>
        <w:tabs>
          <w:tab w:val="num" w:pos="0"/>
        </w:tabs>
        <w:ind w:left="5760" w:hanging="1440"/>
      </w:pPr>
      <w:rPr>
        <w:rFonts w:cs="Times New Roman"/>
        <w:color w:val="auto"/>
      </w:rPr>
    </w:lvl>
    <w:lvl w:ilvl="7">
      <w:start w:val="1"/>
      <w:numFmt w:val="decimal"/>
      <w:lvlText w:val="%1.%2.%3.%4.%5.%6.%7.%8."/>
      <w:lvlJc w:val="left"/>
      <w:pPr>
        <w:tabs>
          <w:tab w:val="num" w:pos="0"/>
        </w:tabs>
        <w:ind w:left="6480" w:hanging="1440"/>
      </w:pPr>
      <w:rPr>
        <w:rFonts w:cs="Times New Roman"/>
        <w:color w:val="auto"/>
      </w:rPr>
    </w:lvl>
    <w:lvl w:ilvl="8">
      <w:start w:val="1"/>
      <w:numFmt w:val="decimal"/>
      <w:lvlText w:val="%1.%2.%3.%4.%5.%6.%7.%8.%9."/>
      <w:lvlJc w:val="left"/>
      <w:pPr>
        <w:tabs>
          <w:tab w:val="num" w:pos="0"/>
        </w:tabs>
        <w:ind w:left="7560" w:hanging="1800"/>
      </w:pPr>
      <w:rPr>
        <w:rFonts w:cs="Times New Roman"/>
        <w:color w:val="auto"/>
      </w:rPr>
    </w:lvl>
  </w:abstractNum>
  <w:abstractNum w:abstractNumId="15" w15:restartNumberingAfterBreak="0">
    <w:nsid w:val="00000015"/>
    <w:multiLevelType w:val="singleLevel"/>
    <w:tmpl w:val="00000015"/>
    <w:name w:val="WW8Num37"/>
    <w:lvl w:ilvl="0">
      <w:start w:val="1"/>
      <w:numFmt w:val="decimal"/>
      <w:lvlText w:val="%1)"/>
      <w:lvlJc w:val="left"/>
      <w:pPr>
        <w:tabs>
          <w:tab w:val="num" w:pos="0"/>
        </w:tabs>
        <w:ind w:left="720" w:hanging="360"/>
      </w:pPr>
      <w:rPr>
        <w:rFonts w:cs="Times New Roman"/>
      </w:rPr>
    </w:lvl>
  </w:abstractNum>
  <w:abstractNum w:abstractNumId="16" w15:restartNumberingAfterBreak="0">
    <w:nsid w:val="00000016"/>
    <w:multiLevelType w:val="singleLevel"/>
    <w:tmpl w:val="00000016"/>
    <w:name w:val="WW8Num38"/>
    <w:lvl w:ilvl="0">
      <w:start w:val="1"/>
      <w:numFmt w:val="decimal"/>
      <w:lvlText w:val="%1)"/>
      <w:lvlJc w:val="left"/>
      <w:pPr>
        <w:tabs>
          <w:tab w:val="num" w:pos="0"/>
        </w:tabs>
        <w:ind w:left="720" w:hanging="360"/>
      </w:pPr>
      <w:rPr>
        <w:rFonts w:cs="Times New Roman"/>
      </w:rPr>
    </w:lvl>
  </w:abstractNum>
  <w:abstractNum w:abstractNumId="17" w15:restartNumberingAfterBreak="0">
    <w:nsid w:val="00000017"/>
    <w:multiLevelType w:val="singleLevel"/>
    <w:tmpl w:val="00000017"/>
    <w:name w:val="WW8Num39"/>
    <w:lvl w:ilvl="0">
      <w:start w:val="1"/>
      <w:numFmt w:val="decimal"/>
      <w:lvlText w:val="%1)"/>
      <w:lvlJc w:val="left"/>
      <w:pPr>
        <w:tabs>
          <w:tab w:val="num" w:pos="0"/>
        </w:tabs>
        <w:ind w:left="720" w:hanging="360"/>
      </w:pPr>
      <w:rPr>
        <w:rFonts w:cs="Times New Roman"/>
      </w:r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720" w:hanging="360"/>
      </w:pPr>
    </w:lvl>
  </w:abstractNum>
  <w:abstractNum w:abstractNumId="19" w15:restartNumberingAfterBreak="0">
    <w:nsid w:val="0000001A"/>
    <w:multiLevelType w:val="multilevel"/>
    <w:tmpl w:val="E73A4E5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Letter"/>
      <w:lvlText w:val="%3)"/>
      <w:lvlJc w:val="left"/>
      <w:pPr>
        <w:tabs>
          <w:tab w:val="num" w:pos="0"/>
        </w:tabs>
        <w:ind w:left="2880" w:hanging="180"/>
      </w:pPr>
      <w:rPr>
        <w:rFonts w:cs="Times New Roman"/>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20" w15:restartNumberingAfterBreak="0">
    <w:nsid w:val="0000001C"/>
    <w:multiLevelType w:val="singleLevel"/>
    <w:tmpl w:val="0000001C"/>
    <w:name w:val="WW8Num44"/>
    <w:lvl w:ilvl="0">
      <w:start w:val="1"/>
      <w:numFmt w:val="lowerLetter"/>
      <w:lvlText w:val="%1)"/>
      <w:lvlJc w:val="left"/>
      <w:pPr>
        <w:tabs>
          <w:tab w:val="num" w:pos="780"/>
        </w:tabs>
        <w:ind w:left="780" w:hanging="360"/>
      </w:pPr>
      <w:rPr>
        <w:rFonts w:cs="Times New Roman"/>
      </w:rPr>
    </w:lvl>
  </w:abstractNum>
  <w:abstractNum w:abstractNumId="21" w15:restartNumberingAfterBreak="0">
    <w:nsid w:val="0000001E"/>
    <w:multiLevelType w:val="singleLevel"/>
    <w:tmpl w:val="0000001E"/>
    <w:name w:val="WW8Num47"/>
    <w:lvl w:ilvl="0">
      <w:start w:val="1"/>
      <w:numFmt w:val="lowerLetter"/>
      <w:lvlText w:val="%1)"/>
      <w:lvlJc w:val="left"/>
      <w:pPr>
        <w:tabs>
          <w:tab w:val="num" w:pos="0"/>
        </w:tabs>
        <w:ind w:left="1080" w:hanging="360"/>
      </w:pPr>
      <w:rPr>
        <w:rFonts w:cs="Times New Roman"/>
      </w:rPr>
    </w:lvl>
  </w:abstractNum>
  <w:abstractNum w:abstractNumId="22" w15:restartNumberingAfterBreak="0">
    <w:nsid w:val="00000022"/>
    <w:multiLevelType w:val="singleLevel"/>
    <w:tmpl w:val="00000022"/>
    <w:name w:val="WW8Num54"/>
    <w:lvl w:ilvl="0">
      <w:start w:val="1"/>
      <w:numFmt w:val="decimal"/>
      <w:lvlText w:val="%1)"/>
      <w:lvlJc w:val="left"/>
      <w:pPr>
        <w:tabs>
          <w:tab w:val="num" w:pos="0"/>
        </w:tabs>
        <w:ind w:left="720" w:hanging="360"/>
      </w:pPr>
      <w:rPr>
        <w:rFonts w:cs="Times New Roman"/>
      </w:rPr>
    </w:lvl>
  </w:abstractNum>
  <w:abstractNum w:abstractNumId="23" w15:restartNumberingAfterBreak="0">
    <w:nsid w:val="00000024"/>
    <w:multiLevelType w:val="singleLevel"/>
    <w:tmpl w:val="00000024"/>
    <w:name w:val="WW8Num56"/>
    <w:lvl w:ilvl="0">
      <w:start w:val="1"/>
      <w:numFmt w:val="decimal"/>
      <w:lvlText w:val="%1)"/>
      <w:lvlJc w:val="left"/>
      <w:pPr>
        <w:tabs>
          <w:tab w:val="num" w:pos="0"/>
        </w:tabs>
        <w:ind w:left="720" w:hanging="360"/>
      </w:pPr>
      <w:rPr>
        <w:rFonts w:cs="Times New Roman"/>
      </w:rPr>
    </w:lvl>
  </w:abstractNum>
  <w:abstractNum w:abstractNumId="24" w15:restartNumberingAfterBreak="0">
    <w:nsid w:val="00000026"/>
    <w:multiLevelType w:val="singleLevel"/>
    <w:tmpl w:val="00000026"/>
    <w:name w:val="WW8Num58"/>
    <w:lvl w:ilvl="0">
      <w:start w:val="1"/>
      <w:numFmt w:val="decimal"/>
      <w:lvlText w:val="%1)"/>
      <w:lvlJc w:val="left"/>
      <w:pPr>
        <w:tabs>
          <w:tab w:val="num" w:pos="0"/>
        </w:tabs>
        <w:ind w:left="1080" w:hanging="360"/>
      </w:pPr>
      <w:rPr>
        <w:rFonts w:cs="Times New Roman"/>
      </w:rPr>
    </w:lvl>
  </w:abstractNum>
  <w:abstractNum w:abstractNumId="25" w15:restartNumberingAfterBreak="0">
    <w:nsid w:val="00000029"/>
    <w:multiLevelType w:val="singleLevel"/>
    <w:tmpl w:val="00000029"/>
    <w:name w:val="WW8Num61"/>
    <w:lvl w:ilvl="0">
      <w:start w:val="1"/>
      <w:numFmt w:val="decimal"/>
      <w:lvlText w:val="%1)"/>
      <w:lvlJc w:val="left"/>
      <w:pPr>
        <w:tabs>
          <w:tab w:val="num" w:pos="0"/>
        </w:tabs>
        <w:ind w:left="720" w:hanging="360"/>
      </w:pPr>
      <w:rPr>
        <w:rFonts w:cs="Times New Roman"/>
      </w:rPr>
    </w:lvl>
  </w:abstractNum>
  <w:abstractNum w:abstractNumId="26" w15:restartNumberingAfterBreak="0">
    <w:nsid w:val="0000002B"/>
    <w:multiLevelType w:val="singleLevel"/>
    <w:tmpl w:val="0000002B"/>
    <w:name w:val="WW8Num63"/>
    <w:lvl w:ilvl="0">
      <w:start w:val="1"/>
      <w:numFmt w:val="decimal"/>
      <w:lvlText w:val="%1)"/>
      <w:lvlJc w:val="left"/>
      <w:pPr>
        <w:tabs>
          <w:tab w:val="num" w:pos="0"/>
        </w:tabs>
        <w:ind w:left="720" w:hanging="360"/>
      </w:pPr>
      <w:rPr>
        <w:rFonts w:cs="Times New Roman"/>
      </w:rPr>
    </w:lvl>
  </w:abstractNum>
  <w:abstractNum w:abstractNumId="27" w15:restartNumberingAfterBreak="0">
    <w:nsid w:val="0000002C"/>
    <w:multiLevelType w:val="multilevel"/>
    <w:tmpl w:val="0000002C"/>
    <w:name w:val="WW8Num65"/>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b/>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8" w15:restartNumberingAfterBreak="0">
    <w:nsid w:val="0000002E"/>
    <w:multiLevelType w:val="singleLevel"/>
    <w:tmpl w:val="0000002E"/>
    <w:name w:val="WW8Num68"/>
    <w:lvl w:ilvl="0">
      <w:start w:val="1"/>
      <w:numFmt w:val="decimal"/>
      <w:lvlText w:val="%1)"/>
      <w:lvlJc w:val="left"/>
      <w:pPr>
        <w:tabs>
          <w:tab w:val="num" w:pos="0"/>
        </w:tabs>
        <w:ind w:left="720" w:hanging="360"/>
      </w:pPr>
      <w:rPr>
        <w:rFonts w:cs="Times New Roman"/>
      </w:rPr>
    </w:lvl>
  </w:abstractNum>
  <w:abstractNum w:abstractNumId="29" w15:restartNumberingAfterBreak="0">
    <w:nsid w:val="0000002F"/>
    <w:multiLevelType w:val="singleLevel"/>
    <w:tmpl w:val="0000002F"/>
    <w:name w:val="WW8Num69"/>
    <w:lvl w:ilvl="0">
      <w:start w:val="1"/>
      <w:numFmt w:val="decimal"/>
      <w:lvlText w:val="%1)"/>
      <w:lvlJc w:val="left"/>
      <w:pPr>
        <w:tabs>
          <w:tab w:val="num" w:pos="1080"/>
        </w:tabs>
        <w:ind w:left="1080" w:hanging="360"/>
      </w:pPr>
      <w:rPr>
        <w:rFonts w:cs="Times New Roman"/>
      </w:rPr>
    </w:lvl>
  </w:abstractNum>
  <w:abstractNum w:abstractNumId="30" w15:restartNumberingAfterBreak="0">
    <w:nsid w:val="00000030"/>
    <w:multiLevelType w:val="singleLevel"/>
    <w:tmpl w:val="04050011"/>
    <w:name w:val="WW8Num63222"/>
    <w:lvl w:ilvl="0">
      <w:start w:val="1"/>
      <w:numFmt w:val="decimal"/>
      <w:lvlText w:val="%1)"/>
      <w:lvlJc w:val="left"/>
      <w:pPr>
        <w:ind w:left="1724" w:hanging="360"/>
      </w:pPr>
    </w:lvl>
  </w:abstractNum>
  <w:abstractNum w:abstractNumId="31" w15:restartNumberingAfterBreak="0">
    <w:nsid w:val="00000032"/>
    <w:multiLevelType w:val="multilevel"/>
    <w:tmpl w:val="00000032"/>
    <w:name w:val="WW8Num72"/>
    <w:lvl w:ilvl="0">
      <w:start w:val="1"/>
      <w:numFmt w:val="decimal"/>
      <w:lvlText w:val="%1."/>
      <w:lvlJc w:val="left"/>
      <w:pPr>
        <w:tabs>
          <w:tab w:val="num" w:pos="0"/>
        </w:tabs>
        <w:ind w:left="720" w:hanging="360"/>
      </w:pPr>
      <w:rPr>
        <w:rFonts w:cs="Times New Roman"/>
      </w:rPr>
    </w:lvl>
    <w:lvl w:ilvl="1">
      <w:start w:val="2"/>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32" w15:restartNumberingAfterBreak="0">
    <w:nsid w:val="00000033"/>
    <w:multiLevelType w:val="singleLevel"/>
    <w:tmpl w:val="00000033"/>
    <w:name w:val="WW8Num73"/>
    <w:lvl w:ilvl="0">
      <w:start w:val="1"/>
      <w:numFmt w:val="decimal"/>
      <w:lvlText w:val="%1)"/>
      <w:lvlJc w:val="left"/>
      <w:pPr>
        <w:tabs>
          <w:tab w:val="num" w:pos="720"/>
        </w:tabs>
        <w:ind w:left="720" w:hanging="360"/>
      </w:pPr>
      <w:rPr>
        <w:rFonts w:cs="Times New Roman"/>
      </w:rPr>
    </w:lvl>
  </w:abstractNum>
  <w:abstractNum w:abstractNumId="33" w15:restartNumberingAfterBreak="0">
    <w:nsid w:val="00000035"/>
    <w:multiLevelType w:val="singleLevel"/>
    <w:tmpl w:val="00000035"/>
    <w:lvl w:ilvl="0">
      <w:start w:val="1"/>
      <w:numFmt w:val="decimal"/>
      <w:lvlText w:val="%1)"/>
      <w:lvlJc w:val="left"/>
      <w:pPr>
        <w:tabs>
          <w:tab w:val="num" w:pos="720"/>
        </w:tabs>
        <w:ind w:left="720" w:hanging="360"/>
      </w:pPr>
      <w:rPr>
        <w:rFonts w:cs="Times New Roman"/>
        <w:sz w:val="20"/>
        <w:szCs w:val="20"/>
      </w:rPr>
    </w:lvl>
  </w:abstractNum>
  <w:abstractNum w:abstractNumId="34" w15:restartNumberingAfterBreak="0">
    <w:nsid w:val="00000036"/>
    <w:multiLevelType w:val="singleLevel"/>
    <w:tmpl w:val="00000036"/>
    <w:name w:val="WW8Num76"/>
    <w:lvl w:ilvl="0">
      <w:start w:val="1"/>
      <w:numFmt w:val="decimal"/>
      <w:lvlText w:val="%1)"/>
      <w:lvlJc w:val="left"/>
      <w:pPr>
        <w:tabs>
          <w:tab w:val="num" w:pos="0"/>
        </w:tabs>
        <w:ind w:left="720" w:hanging="360"/>
      </w:pPr>
      <w:rPr>
        <w:rFonts w:cs="Times New Roman"/>
      </w:rPr>
    </w:lvl>
  </w:abstractNum>
  <w:abstractNum w:abstractNumId="35" w15:restartNumberingAfterBreak="0">
    <w:nsid w:val="002C35BE"/>
    <w:multiLevelType w:val="multilevel"/>
    <w:tmpl w:val="E73A4E58"/>
    <w:lvl w:ilvl="0">
      <w:start w:val="1"/>
      <w:numFmt w:val="decimal"/>
      <w:lvlText w:val="%1."/>
      <w:lvlJc w:val="left"/>
      <w:pPr>
        <w:tabs>
          <w:tab w:val="num" w:pos="-108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080"/>
        </w:tabs>
        <w:ind w:left="1800" w:hanging="180"/>
      </w:pPr>
      <w:rPr>
        <w:rFonts w:cs="Times New Roman"/>
      </w:rPr>
    </w:lvl>
    <w:lvl w:ilvl="3">
      <w:start w:val="1"/>
      <w:numFmt w:val="decimal"/>
      <w:lvlText w:val="%4."/>
      <w:lvlJc w:val="left"/>
      <w:pPr>
        <w:tabs>
          <w:tab w:val="num" w:pos="-1080"/>
        </w:tabs>
        <w:ind w:left="2520" w:hanging="360"/>
      </w:pPr>
    </w:lvl>
    <w:lvl w:ilvl="4">
      <w:start w:val="1"/>
      <w:numFmt w:val="lowerLetter"/>
      <w:lvlText w:val="%5."/>
      <w:lvlJc w:val="left"/>
      <w:pPr>
        <w:tabs>
          <w:tab w:val="num" w:pos="-1080"/>
        </w:tabs>
        <w:ind w:left="3240" w:hanging="360"/>
      </w:pPr>
    </w:lvl>
    <w:lvl w:ilvl="5">
      <w:start w:val="1"/>
      <w:numFmt w:val="lowerRoman"/>
      <w:lvlText w:val="%6."/>
      <w:lvlJc w:val="left"/>
      <w:pPr>
        <w:tabs>
          <w:tab w:val="num" w:pos="-1080"/>
        </w:tabs>
        <w:ind w:left="3960" w:hanging="180"/>
      </w:pPr>
    </w:lvl>
    <w:lvl w:ilvl="6">
      <w:start w:val="1"/>
      <w:numFmt w:val="decimal"/>
      <w:lvlText w:val="%7."/>
      <w:lvlJc w:val="left"/>
      <w:pPr>
        <w:tabs>
          <w:tab w:val="num" w:pos="-1080"/>
        </w:tabs>
        <w:ind w:left="4680" w:hanging="360"/>
      </w:pPr>
    </w:lvl>
    <w:lvl w:ilvl="7">
      <w:start w:val="1"/>
      <w:numFmt w:val="lowerLetter"/>
      <w:lvlText w:val="%8."/>
      <w:lvlJc w:val="left"/>
      <w:pPr>
        <w:tabs>
          <w:tab w:val="num" w:pos="-1080"/>
        </w:tabs>
        <w:ind w:left="5400" w:hanging="360"/>
      </w:pPr>
    </w:lvl>
    <w:lvl w:ilvl="8">
      <w:start w:val="1"/>
      <w:numFmt w:val="lowerRoman"/>
      <w:lvlText w:val="%9."/>
      <w:lvlJc w:val="left"/>
      <w:pPr>
        <w:tabs>
          <w:tab w:val="num" w:pos="-1080"/>
        </w:tabs>
        <w:ind w:left="6120" w:hanging="180"/>
      </w:pPr>
    </w:lvl>
  </w:abstractNum>
  <w:abstractNum w:abstractNumId="36" w15:restartNumberingAfterBreak="0">
    <w:nsid w:val="006853B5"/>
    <w:multiLevelType w:val="hybridMultilevel"/>
    <w:tmpl w:val="0452219C"/>
    <w:lvl w:ilvl="0" w:tplc="3AAE7F0A">
      <w:start w:val="1"/>
      <w:numFmt w:val="decimal"/>
      <w:lvlText w:val="%1)"/>
      <w:lvlJc w:val="left"/>
      <w:pPr>
        <w:ind w:left="720" w:hanging="360"/>
      </w:pPr>
    </w:lvl>
    <w:lvl w:ilvl="1" w:tplc="38346B4C" w:tentative="1">
      <w:start w:val="1"/>
      <w:numFmt w:val="lowerLetter"/>
      <w:lvlText w:val="%2."/>
      <w:lvlJc w:val="left"/>
      <w:pPr>
        <w:ind w:left="1440" w:hanging="360"/>
      </w:pPr>
      <w:rPr>
        <w:rFonts w:cs="Times New Roman"/>
      </w:rPr>
    </w:lvl>
    <w:lvl w:ilvl="2" w:tplc="BEC410AC" w:tentative="1">
      <w:start w:val="1"/>
      <w:numFmt w:val="lowerRoman"/>
      <w:lvlText w:val="%3."/>
      <w:lvlJc w:val="right"/>
      <w:pPr>
        <w:ind w:left="2160" w:hanging="180"/>
      </w:pPr>
      <w:rPr>
        <w:rFonts w:cs="Times New Roman"/>
      </w:rPr>
    </w:lvl>
    <w:lvl w:ilvl="3" w:tplc="D4123E7A" w:tentative="1">
      <w:start w:val="1"/>
      <w:numFmt w:val="decimal"/>
      <w:lvlText w:val="%4."/>
      <w:lvlJc w:val="left"/>
      <w:pPr>
        <w:ind w:left="2880" w:hanging="360"/>
      </w:pPr>
      <w:rPr>
        <w:rFonts w:cs="Times New Roman"/>
      </w:rPr>
    </w:lvl>
    <w:lvl w:ilvl="4" w:tplc="5C22FACC" w:tentative="1">
      <w:start w:val="1"/>
      <w:numFmt w:val="lowerLetter"/>
      <w:lvlText w:val="%5."/>
      <w:lvlJc w:val="left"/>
      <w:pPr>
        <w:ind w:left="3600" w:hanging="360"/>
      </w:pPr>
      <w:rPr>
        <w:rFonts w:cs="Times New Roman"/>
      </w:rPr>
    </w:lvl>
    <w:lvl w:ilvl="5" w:tplc="EA10FF44" w:tentative="1">
      <w:start w:val="1"/>
      <w:numFmt w:val="lowerRoman"/>
      <w:lvlText w:val="%6."/>
      <w:lvlJc w:val="right"/>
      <w:pPr>
        <w:ind w:left="4320" w:hanging="180"/>
      </w:pPr>
      <w:rPr>
        <w:rFonts w:cs="Times New Roman"/>
      </w:rPr>
    </w:lvl>
    <w:lvl w:ilvl="6" w:tplc="752EEDE4" w:tentative="1">
      <w:start w:val="1"/>
      <w:numFmt w:val="decimal"/>
      <w:lvlText w:val="%7."/>
      <w:lvlJc w:val="left"/>
      <w:pPr>
        <w:ind w:left="5040" w:hanging="360"/>
      </w:pPr>
      <w:rPr>
        <w:rFonts w:cs="Times New Roman"/>
      </w:rPr>
    </w:lvl>
    <w:lvl w:ilvl="7" w:tplc="FB58266E" w:tentative="1">
      <w:start w:val="1"/>
      <w:numFmt w:val="lowerLetter"/>
      <w:lvlText w:val="%8."/>
      <w:lvlJc w:val="left"/>
      <w:pPr>
        <w:ind w:left="5760" w:hanging="360"/>
      </w:pPr>
      <w:rPr>
        <w:rFonts w:cs="Times New Roman"/>
      </w:rPr>
    </w:lvl>
    <w:lvl w:ilvl="8" w:tplc="9B603EA6" w:tentative="1">
      <w:start w:val="1"/>
      <w:numFmt w:val="lowerRoman"/>
      <w:lvlText w:val="%9."/>
      <w:lvlJc w:val="right"/>
      <w:pPr>
        <w:ind w:left="6480" w:hanging="180"/>
      </w:pPr>
      <w:rPr>
        <w:rFonts w:cs="Times New Roman"/>
      </w:rPr>
    </w:lvl>
  </w:abstractNum>
  <w:abstractNum w:abstractNumId="37" w15:restartNumberingAfterBreak="0">
    <w:nsid w:val="00D04842"/>
    <w:multiLevelType w:val="hybridMultilevel"/>
    <w:tmpl w:val="B1DE08D8"/>
    <w:lvl w:ilvl="0" w:tplc="220A253C">
      <w:start w:val="1"/>
      <w:numFmt w:val="decimal"/>
      <w:lvlText w:val="%1."/>
      <w:lvlJc w:val="left"/>
      <w:pPr>
        <w:ind w:left="1230" w:hanging="360"/>
      </w:pPr>
    </w:lvl>
    <w:lvl w:ilvl="1" w:tplc="ED5ED210" w:tentative="1">
      <w:start w:val="1"/>
      <w:numFmt w:val="lowerLetter"/>
      <w:lvlText w:val="%2."/>
      <w:lvlJc w:val="left"/>
      <w:pPr>
        <w:ind w:left="1950" w:hanging="360"/>
      </w:pPr>
    </w:lvl>
    <w:lvl w:ilvl="2" w:tplc="4C222600" w:tentative="1">
      <w:start w:val="1"/>
      <w:numFmt w:val="lowerRoman"/>
      <w:lvlText w:val="%3."/>
      <w:lvlJc w:val="right"/>
      <w:pPr>
        <w:ind w:left="2670" w:hanging="180"/>
      </w:pPr>
    </w:lvl>
    <w:lvl w:ilvl="3" w:tplc="1EFE8080" w:tentative="1">
      <w:start w:val="1"/>
      <w:numFmt w:val="decimal"/>
      <w:lvlText w:val="%4."/>
      <w:lvlJc w:val="left"/>
      <w:pPr>
        <w:ind w:left="3390" w:hanging="360"/>
      </w:pPr>
    </w:lvl>
    <w:lvl w:ilvl="4" w:tplc="1236F9CC" w:tentative="1">
      <w:start w:val="1"/>
      <w:numFmt w:val="lowerLetter"/>
      <w:lvlText w:val="%5."/>
      <w:lvlJc w:val="left"/>
      <w:pPr>
        <w:ind w:left="4110" w:hanging="360"/>
      </w:pPr>
    </w:lvl>
    <w:lvl w:ilvl="5" w:tplc="88D02938" w:tentative="1">
      <w:start w:val="1"/>
      <w:numFmt w:val="lowerRoman"/>
      <w:lvlText w:val="%6."/>
      <w:lvlJc w:val="right"/>
      <w:pPr>
        <w:ind w:left="4830" w:hanging="180"/>
      </w:pPr>
    </w:lvl>
    <w:lvl w:ilvl="6" w:tplc="9326B066" w:tentative="1">
      <w:start w:val="1"/>
      <w:numFmt w:val="decimal"/>
      <w:lvlText w:val="%7."/>
      <w:lvlJc w:val="left"/>
      <w:pPr>
        <w:ind w:left="5550" w:hanging="360"/>
      </w:pPr>
    </w:lvl>
    <w:lvl w:ilvl="7" w:tplc="AF2CAC0C" w:tentative="1">
      <w:start w:val="1"/>
      <w:numFmt w:val="lowerLetter"/>
      <w:lvlText w:val="%8."/>
      <w:lvlJc w:val="left"/>
      <w:pPr>
        <w:ind w:left="6270" w:hanging="360"/>
      </w:pPr>
    </w:lvl>
    <w:lvl w:ilvl="8" w:tplc="DE089828" w:tentative="1">
      <w:start w:val="1"/>
      <w:numFmt w:val="lowerRoman"/>
      <w:lvlText w:val="%9."/>
      <w:lvlJc w:val="right"/>
      <w:pPr>
        <w:ind w:left="6990" w:hanging="180"/>
      </w:pPr>
    </w:lvl>
  </w:abstractNum>
  <w:abstractNum w:abstractNumId="38" w15:restartNumberingAfterBreak="0">
    <w:nsid w:val="01E1369F"/>
    <w:multiLevelType w:val="hybridMultilevel"/>
    <w:tmpl w:val="76EA9116"/>
    <w:lvl w:ilvl="0" w:tplc="7AEC1956">
      <w:start w:val="1"/>
      <w:numFmt w:val="decimal"/>
      <w:lvlText w:val="%1."/>
      <w:lvlJc w:val="left"/>
      <w:pPr>
        <w:ind w:left="360" w:hanging="360"/>
      </w:pPr>
      <w:rPr>
        <w:rFonts w:hint="default"/>
      </w:rPr>
    </w:lvl>
    <w:lvl w:ilvl="1" w:tplc="366E66AE" w:tentative="1">
      <w:start w:val="1"/>
      <w:numFmt w:val="lowerLetter"/>
      <w:lvlText w:val="%2."/>
      <w:lvlJc w:val="left"/>
      <w:pPr>
        <w:ind w:left="1080" w:hanging="360"/>
      </w:pPr>
    </w:lvl>
    <w:lvl w:ilvl="2" w:tplc="79BE13E4" w:tentative="1">
      <w:start w:val="1"/>
      <w:numFmt w:val="lowerRoman"/>
      <w:lvlText w:val="%3."/>
      <w:lvlJc w:val="right"/>
      <w:pPr>
        <w:ind w:left="1800" w:hanging="180"/>
      </w:pPr>
    </w:lvl>
    <w:lvl w:ilvl="3" w:tplc="5276CE90" w:tentative="1">
      <w:start w:val="1"/>
      <w:numFmt w:val="decimal"/>
      <w:lvlText w:val="%4."/>
      <w:lvlJc w:val="left"/>
      <w:pPr>
        <w:ind w:left="2520" w:hanging="360"/>
      </w:pPr>
    </w:lvl>
    <w:lvl w:ilvl="4" w:tplc="14488D9E" w:tentative="1">
      <w:start w:val="1"/>
      <w:numFmt w:val="lowerLetter"/>
      <w:lvlText w:val="%5."/>
      <w:lvlJc w:val="left"/>
      <w:pPr>
        <w:ind w:left="3240" w:hanging="360"/>
      </w:pPr>
    </w:lvl>
    <w:lvl w:ilvl="5" w:tplc="54327C74" w:tentative="1">
      <w:start w:val="1"/>
      <w:numFmt w:val="lowerRoman"/>
      <w:lvlText w:val="%6."/>
      <w:lvlJc w:val="right"/>
      <w:pPr>
        <w:ind w:left="3960" w:hanging="180"/>
      </w:pPr>
    </w:lvl>
    <w:lvl w:ilvl="6" w:tplc="00F04D2A" w:tentative="1">
      <w:start w:val="1"/>
      <w:numFmt w:val="decimal"/>
      <w:lvlText w:val="%7."/>
      <w:lvlJc w:val="left"/>
      <w:pPr>
        <w:ind w:left="4680" w:hanging="360"/>
      </w:pPr>
    </w:lvl>
    <w:lvl w:ilvl="7" w:tplc="9DC0486C" w:tentative="1">
      <w:start w:val="1"/>
      <w:numFmt w:val="lowerLetter"/>
      <w:lvlText w:val="%8."/>
      <w:lvlJc w:val="left"/>
      <w:pPr>
        <w:ind w:left="5400" w:hanging="360"/>
      </w:pPr>
    </w:lvl>
    <w:lvl w:ilvl="8" w:tplc="BD94862E" w:tentative="1">
      <w:start w:val="1"/>
      <w:numFmt w:val="lowerRoman"/>
      <w:lvlText w:val="%9."/>
      <w:lvlJc w:val="right"/>
      <w:pPr>
        <w:ind w:left="6120" w:hanging="180"/>
      </w:pPr>
    </w:lvl>
  </w:abstractNum>
  <w:abstractNum w:abstractNumId="39" w15:restartNumberingAfterBreak="0">
    <w:nsid w:val="01FC4B10"/>
    <w:multiLevelType w:val="multilevel"/>
    <w:tmpl w:val="B32ADDE8"/>
    <w:lvl w:ilvl="0">
      <w:start w:val="1"/>
      <w:numFmt w:val="lowerLetter"/>
      <w:lvlText w:val="%1)"/>
      <w:lvlJc w:val="left"/>
      <w:pPr>
        <w:ind w:left="717" w:hanging="360"/>
      </w:pPr>
      <w:rPr>
        <w:rFonts w:cs="Times New Roman" w:hint="default"/>
      </w:rPr>
    </w:lvl>
    <w:lvl w:ilvl="1">
      <w:start w:val="1"/>
      <w:numFmt w:val="lowerLetter"/>
      <w:lvlText w:val="%2."/>
      <w:lvlJc w:val="left"/>
      <w:pPr>
        <w:ind w:left="1437" w:hanging="360"/>
      </w:pPr>
      <w:rPr>
        <w:rFonts w:cs="Times New Roman"/>
      </w:rPr>
    </w:lvl>
    <w:lvl w:ilvl="2">
      <w:start w:val="1"/>
      <w:numFmt w:val="decimal"/>
      <w:lvlText w:val="%3)"/>
      <w:lvlJc w:val="left"/>
      <w:pPr>
        <w:ind w:left="2337" w:hanging="360"/>
      </w:pPr>
      <w:rPr>
        <w:rFonts w:ascii="Arial" w:hAnsi="Arial" w:cs="Times New Roman" w:hint="default"/>
        <w:b/>
        <w:i w:val="0"/>
        <w:sz w:val="20"/>
        <w:szCs w:val="20"/>
      </w:rPr>
    </w:lvl>
    <w:lvl w:ilvl="3">
      <w:start w:val="1"/>
      <w:numFmt w:val="decimal"/>
      <w:lvlText w:val="%4."/>
      <w:lvlJc w:val="left"/>
      <w:pPr>
        <w:ind w:left="2877" w:hanging="360"/>
      </w:pPr>
      <w:rPr>
        <w:rFonts w:cs="Times New Roman"/>
      </w:rPr>
    </w:lvl>
    <w:lvl w:ilvl="4">
      <w:start w:val="1"/>
      <w:numFmt w:val="lowerLetter"/>
      <w:lvlText w:val="%5."/>
      <w:lvlJc w:val="left"/>
      <w:pPr>
        <w:ind w:left="3597" w:hanging="360"/>
      </w:pPr>
      <w:rPr>
        <w:rFonts w:cs="Times New Roman"/>
      </w:rPr>
    </w:lvl>
    <w:lvl w:ilvl="5">
      <w:start w:val="1"/>
      <w:numFmt w:val="lowerRoman"/>
      <w:lvlText w:val="%6."/>
      <w:lvlJc w:val="right"/>
      <w:pPr>
        <w:ind w:left="4317" w:hanging="180"/>
      </w:pPr>
      <w:rPr>
        <w:rFonts w:cs="Times New Roman"/>
      </w:rPr>
    </w:lvl>
    <w:lvl w:ilvl="6">
      <w:start w:val="1"/>
      <w:numFmt w:val="decimal"/>
      <w:lvlText w:val="%7."/>
      <w:lvlJc w:val="left"/>
      <w:pPr>
        <w:ind w:left="5037" w:hanging="360"/>
      </w:pPr>
      <w:rPr>
        <w:rFonts w:cs="Times New Roman"/>
      </w:rPr>
    </w:lvl>
    <w:lvl w:ilvl="7">
      <w:start w:val="1"/>
      <w:numFmt w:val="lowerLetter"/>
      <w:lvlText w:val="%8."/>
      <w:lvlJc w:val="left"/>
      <w:pPr>
        <w:ind w:left="5757" w:hanging="360"/>
      </w:pPr>
      <w:rPr>
        <w:rFonts w:cs="Times New Roman"/>
      </w:rPr>
    </w:lvl>
    <w:lvl w:ilvl="8">
      <w:start w:val="1"/>
      <w:numFmt w:val="lowerRoman"/>
      <w:lvlText w:val="%9."/>
      <w:lvlJc w:val="right"/>
      <w:pPr>
        <w:ind w:left="6477" w:hanging="180"/>
      </w:pPr>
      <w:rPr>
        <w:rFonts w:cs="Times New Roman"/>
      </w:rPr>
    </w:lvl>
  </w:abstractNum>
  <w:abstractNum w:abstractNumId="40" w15:restartNumberingAfterBreak="0">
    <w:nsid w:val="024C39E5"/>
    <w:multiLevelType w:val="hybridMultilevel"/>
    <w:tmpl w:val="1D2467A4"/>
    <w:lvl w:ilvl="0" w:tplc="4A00404A">
      <w:start w:val="1"/>
      <w:numFmt w:val="decimal"/>
      <w:lvlText w:val="%1)"/>
      <w:lvlJc w:val="left"/>
      <w:pPr>
        <w:ind w:left="2568" w:hanging="360"/>
      </w:pPr>
    </w:lvl>
    <w:lvl w:ilvl="1" w:tplc="A6FEE1B0" w:tentative="1">
      <w:start w:val="1"/>
      <w:numFmt w:val="lowerLetter"/>
      <w:lvlText w:val="%2."/>
      <w:lvlJc w:val="left"/>
      <w:pPr>
        <w:ind w:left="3288" w:hanging="360"/>
      </w:pPr>
    </w:lvl>
    <w:lvl w:ilvl="2" w:tplc="AC0A9DFA" w:tentative="1">
      <w:start w:val="1"/>
      <w:numFmt w:val="lowerRoman"/>
      <w:lvlText w:val="%3."/>
      <w:lvlJc w:val="right"/>
      <w:pPr>
        <w:ind w:left="4008" w:hanging="180"/>
      </w:pPr>
    </w:lvl>
    <w:lvl w:ilvl="3" w:tplc="2A16DDC0" w:tentative="1">
      <w:start w:val="1"/>
      <w:numFmt w:val="decimal"/>
      <w:lvlText w:val="%4."/>
      <w:lvlJc w:val="left"/>
      <w:pPr>
        <w:ind w:left="4728" w:hanging="360"/>
      </w:pPr>
    </w:lvl>
    <w:lvl w:ilvl="4" w:tplc="D1B8049A" w:tentative="1">
      <w:start w:val="1"/>
      <w:numFmt w:val="lowerLetter"/>
      <w:lvlText w:val="%5."/>
      <w:lvlJc w:val="left"/>
      <w:pPr>
        <w:ind w:left="5448" w:hanging="360"/>
      </w:pPr>
    </w:lvl>
    <w:lvl w:ilvl="5" w:tplc="FB2C69C8" w:tentative="1">
      <w:start w:val="1"/>
      <w:numFmt w:val="lowerRoman"/>
      <w:lvlText w:val="%6."/>
      <w:lvlJc w:val="right"/>
      <w:pPr>
        <w:ind w:left="6168" w:hanging="180"/>
      </w:pPr>
    </w:lvl>
    <w:lvl w:ilvl="6" w:tplc="A88C9A94" w:tentative="1">
      <w:start w:val="1"/>
      <w:numFmt w:val="decimal"/>
      <w:lvlText w:val="%7."/>
      <w:lvlJc w:val="left"/>
      <w:pPr>
        <w:ind w:left="6888" w:hanging="360"/>
      </w:pPr>
    </w:lvl>
    <w:lvl w:ilvl="7" w:tplc="8AC662DC" w:tentative="1">
      <w:start w:val="1"/>
      <w:numFmt w:val="lowerLetter"/>
      <w:lvlText w:val="%8."/>
      <w:lvlJc w:val="left"/>
      <w:pPr>
        <w:ind w:left="7608" w:hanging="360"/>
      </w:pPr>
    </w:lvl>
    <w:lvl w:ilvl="8" w:tplc="2AEE7962" w:tentative="1">
      <w:start w:val="1"/>
      <w:numFmt w:val="lowerRoman"/>
      <w:lvlText w:val="%9."/>
      <w:lvlJc w:val="right"/>
      <w:pPr>
        <w:ind w:left="8328" w:hanging="180"/>
      </w:pPr>
    </w:lvl>
  </w:abstractNum>
  <w:abstractNum w:abstractNumId="41" w15:restartNumberingAfterBreak="0">
    <w:nsid w:val="02D544C0"/>
    <w:multiLevelType w:val="hybridMultilevel"/>
    <w:tmpl w:val="E0440DD0"/>
    <w:lvl w:ilvl="0" w:tplc="CC9E6C0E">
      <w:start w:val="1"/>
      <w:numFmt w:val="decimal"/>
      <w:lvlText w:val="%1)"/>
      <w:lvlJc w:val="center"/>
      <w:pPr>
        <w:ind w:left="2337" w:hanging="360"/>
      </w:pPr>
      <w:rPr>
        <w:rFonts w:ascii="Arial" w:hAnsi="Arial" w:cs="Times New Roman" w:hint="default"/>
        <w:b/>
        <w:i w:val="0"/>
        <w:sz w:val="20"/>
        <w:szCs w:val="20"/>
      </w:rPr>
    </w:lvl>
    <w:lvl w:ilvl="1" w:tplc="D92AD538" w:tentative="1">
      <w:start w:val="1"/>
      <w:numFmt w:val="lowerLetter"/>
      <w:lvlText w:val="%2."/>
      <w:lvlJc w:val="left"/>
      <w:pPr>
        <w:ind w:left="1440" w:hanging="360"/>
      </w:pPr>
    </w:lvl>
    <w:lvl w:ilvl="2" w:tplc="7FC2C5B2" w:tentative="1">
      <w:start w:val="1"/>
      <w:numFmt w:val="lowerRoman"/>
      <w:lvlText w:val="%3."/>
      <w:lvlJc w:val="right"/>
      <w:pPr>
        <w:ind w:left="2160" w:hanging="180"/>
      </w:pPr>
    </w:lvl>
    <w:lvl w:ilvl="3" w:tplc="B7303816" w:tentative="1">
      <w:start w:val="1"/>
      <w:numFmt w:val="decimal"/>
      <w:lvlText w:val="%4."/>
      <w:lvlJc w:val="left"/>
      <w:pPr>
        <w:ind w:left="2880" w:hanging="360"/>
      </w:pPr>
    </w:lvl>
    <w:lvl w:ilvl="4" w:tplc="1B364C9C" w:tentative="1">
      <w:start w:val="1"/>
      <w:numFmt w:val="lowerLetter"/>
      <w:lvlText w:val="%5."/>
      <w:lvlJc w:val="left"/>
      <w:pPr>
        <w:ind w:left="3600" w:hanging="360"/>
      </w:pPr>
    </w:lvl>
    <w:lvl w:ilvl="5" w:tplc="61EAD6A8" w:tentative="1">
      <w:start w:val="1"/>
      <w:numFmt w:val="lowerRoman"/>
      <w:lvlText w:val="%6."/>
      <w:lvlJc w:val="right"/>
      <w:pPr>
        <w:ind w:left="4320" w:hanging="180"/>
      </w:pPr>
    </w:lvl>
    <w:lvl w:ilvl="6" w:tplc="75883CC6" w:tentative="1">
      <w:start w:val="1"/>
      <w:numFmt w:val="decimal"/>
      <w:lvlText w:val="%7."/>
      <w:lvlJc w:val="left"/>
      <w:pPr>
        <w:ind w:left="5040" w:hanging="360"/>
      </w:pPr>
    </w:lvl>
    <w:lvl w:ilvl="7" w:tplc="DD94310A" w:tentative="1">
      <w:start w:val="1"/>
      <w:numFmt w:val="lowerLetter"/>
      <w:lvlText w:val="%8."/>
      <w:lvlJc w:val="left"/>
      <w:pPr>
        <w:ind w:left="5760" w:hanging="360"/>
      </w:pPr>
    </w:lvl>
    <w:lvl w:ilvl="8" w:tplc="D7A8E2EE" w:tentative="1">
      <w:start w:val="1"/>
      <w:numFmt w:val="lowerRoman"/>
      <w:lvlText w:val="%9."/>
      <w:lvlJc w:val="right"/>
      <w:pPr>
        <w:ind w:left="6480" w:hanging="180"/>
      </w:pPr>
    </w:lvl>
  </w:abstractNum>
  <w:abstractNum w:abstractNumId="42" w15:restartNumberingAfterBreak="0">
    <w:nsid w:val="037307EF"/>
    <w:multiLevelType w:val="hybridMultilevel"/>
    <w:tmpl w:val="3D30C06A"/>
    <w:name w:val="WW8Num632"/>
    <w:lvl w:ilvl="0" w:tplc="5C164736">
      <w:start w:val="1"/>
      <w:numFmt w:val="decimal"/>
      <w:lvlText w:val="%1)"/>
      <w:lvlJc w:val="left"/>
      <w:pPr>
        <w:tabs>
          <w:tab w:val="num" w:pos="284"/>
        </w:tabs>
        <w:ind w:left="1004" w:hanging="360"/>
      </w:pPr>
      <w:rPr>
        <w:rFonts w:cs="Times New Roman"/>
      </w:rPr>
    </w:lvl>
    <w:lvl w:ilvl="1" w:tplc="38BA9ADE" w:tentative="1">
      <w:start w:val="1"/>
      <w:numFmt w:val="lowerLetter"/>
      <w:lvlText w:val="%2."/>
      <w:lvlJc w:val="left"/>
      <w:pPr>
        <w:ind w:left="1724" w:hanging="360"/>
      </w:pPr>
    </w:lvl>
    <w:lvl w:ilvl="2" w:tplc="DB78162C" w:tentative="1">
      <w:start w:val="1"/>
      <w:numFmt w:val="lowerRoman"/>
      <w:lvlText w:val="%3."/>
      <w:lvlJc w:val="right"/>
      <w:pPr>
        <w:ind w:left="2444" w:hanging="180"/>
      </w:pPr>
    </w:lvl>
    <w:lvl w:ilvl="3" w:tplc="0FEE8166" w:tentative="1">
      <w:start w:val="1"/>
      <w:numFmt w:val="decimal"/>
      <w:lvlText w:val="%4."/>
      <w:lvlJc w:val="left"/>
      <w:pPr>
        <w:ind w:left="3164" w:hanging="360"/>
      </w:pPr>
    </w:lvl>
    <w:lvl w:ilvl="4" w:tplc="85745434" w:tentative="1">
      <w:start w:val="1"/>
      <w:numFmt w:val="lowerLetter"/>
      <w:lvlText w:val="%5."/>
      <w:lvlJc w:val="left"/>
      <w:pPr>
        <w:ind w:left="3884" w:hanging="360"/>
      </w:pPr>
    </w:lvl>
    <w:lvl w:ilvl="5" w:tplc="C5D8930C" w:tentative="1">
      <w:start w:val="1"/>
      <w:numFmt w:val="lowerRoman"/>
      <w:lvlText w:val="%6."/>
      <w:lvlJc w:val="right"/>
      <w:pPr>
        <w:ind w:left="4604" w:hanging="180"/>
      </w:pPr>
    </w:lvl>
    <w:lvl w:ilvl="6" w:tplc="9C52633A" w:tentative="1">
      <w:start w:val="1"/>
      <w:numFmt w:val="decimal"/>
      <w:lvlText w:val="%7."/>
      <w:lvlJc w:val="left"/>
      <w:pPr>
        <w:ind w:left="5324" w:hanging="360"/>
      </w:pPr>
    </w:lvl>
    <w:lvl w:ilvl="7" w:tplc="225684F4" w:tentative="1">
      <w:start w:val="1"/>
      <w:numFmt w:val="lowerLetter"/>
      <w:lvlText w:val="%8."/>
      <w:lvlJc w:val="left"/>
      <w:pPr>
        <w:ind w:left="6044" w:hanging="360"/>
      </w:pPr>
    </w:lvl>
    <w:lvl w:ilvl="8" w:tplc="26B8DD2A" w:tentative="1">
      <w:start w:val="1"/>
      <w:numFmt w:val="lowerRoman"/>
      <w:lvlText w:val="%9."/>
      <w:lvlJc w:val="right"/>
      <w:pPr>
        <w:ind w:left="6764" w:hanging="180"/>
      </w:pPr>
    </w:lvl>
  </w:abstractNum>
  <w:abstractNum w:abstractNumId="43" w15:restartNumberingAfterBreak="0">
    <w:nsid w:val="047E0AC5"/>
    <w:multiLevelType w:val="hybridMultilevel"/>
    <w:tmpl w:val="C5A85BE8"/>
    <w:name w:val="WW8Num102"/>
    <w:lvl w:ilvl="0" w:tplc="2A12586C">
      <w:start w:val="1"/>
      <w:numFmt w:val="decimal"/>
      <w:lvlText w:val="%1)"/>
      <w:lvlJc w:val="left"/>
      <w:pPr>
        <w:tabs>
          <w:tab w:val="num" w:pos="0"/>
        </w:tabs>
        <w:ind w:left="720" w:hanging="360"/>
      </w:pPr>
      <w:rPr>
        <w:rFonts w:cs="Times New Roman" w:hint="default"/>
      </w:rPr>
    </w:lvl>
    <w:lvl w:ilvl="1" w:tplc="7E502278" w:tentative="1">
      <w:start w:val="1"/>
      <w:numFmt w:val="lowerLetter"/>
      <w:lvlText w:val="%2."/>
      <w:lvlJc w:val="left"/>
      <w:pPr>
        <w:ind w:left="1440" w:hanging="360"/>
      </w:pPr>
    </w:lvl>
    <w:lvl w:ilvl="2" w:tplc="CF628BFE" w:tentative="1">
      <w:start w:val="1"/>
      <w:numFmt w:val="lowerRoman"/>
      <w:lvlText w:val="%3."/>
      <w:lvlJc w:val="right"/>
      <w:pPr>
        <w:ind w:left="2160" w:hanging="180"/>
      </w:pPr>
    </w:lvl>
    <w:lvl w:ilvl="3" w:tplc="2E8CF8EA" w:tentative="1">
      <w:start w:val="1"/>
      <w:numFmt w:val="decimal"/>
      <w:lvlText w:val="%4."/>
      <w:lvlJc w:val="left"/>
      <w:pPr>
        <w:ind w:left="2880" w:hanging="360"/>
      </w:pPr>
    </w:lvl>
    <w:lvl w:ilvl="4" w:tplc="AAACFDEE" w:tentative="1">
      <w:start w:val="1"/>
      <w:numFmt w:val="lowerLetter"/>
      <w:lvlText w:val="%5."/>
      <w:lvlJc w:val="left"/>
      <w:pPr>
        <w:ind w:left="3600" w:hanging="360"/>
      </w:pPr>
    </w:lvl>
    <w:lvl w:ilvl="5" w:tplc="28640F8E" w:tentative="1">
      <w:start w:val="1"/>
      <w:numFmt w:val="lowerRoman"/>
      <w:lvlText w:val="%6."/>
      <w:lvlJc w:val="right"/>
      <w:pPr>
        <w:ind w:left="4320" w:hanging="180"/>
      </w:pPr>
    </w:lvl>
    <w:lvl w:ilvl="6" w:tplc="FF700848" w:tentative="1">
      <w:start w:val="1"/>
      <w:numFmt w:val="decimal"/>
      <w:lvlText w:val="%7."/>
      <w:lvlJc w:val="left"/>
      <w:pPr>
        <w:ind w:left="5040" w:hanging="360"/>
      </w:pPr>
    </w:lvl>
    <w:lvl w:ilvl="7" w:tplc="2208D4B8" w:tentative="1">
      <w:start w:val="1"/>
      <w:numFmt w:val="lowerLetter"/>
      <w:lvlText w:val="%8."/>
      <w:lvlJc w:val="left"/>
      <w:pPr>
        <w:ind w:left="5760" w:hanging="360"/>
      </w:pPr>
    </w:lvl>
    <w:lvl w:ilvl="8" w:tplc="2B3AD59C" w:tentative="1">
      <w:start w:val="1"/>
      <w:numFmt w:val="lowerRoman"/>
      <w:lvlText w:val="%9."/>
      <w:lvlJc w:val="right"/>
      <w:pPr>
        <w:ind w:left="6480" w:hanging="180"/>
      </w:pPr>
    </w:lvl>
  </w:abstractNum>
  <w:abstractNum w:abstractNumId="44" w15:restartNumberingAfterBreak="0">
    <w:nsid w:val="04DA3E7E"/>
    <w:multiLevelType w:val="multilevel"/>
    <w:tmpl w:val="32343A9E"/>
    <w:lvl w:ilvl="0">
      <w:start w:val="1"/>
      <w:numFmt w:val="decimal"/>
      <w:lvlText w:val="%1)"/>
      <w:lvlJc w:val="left"/>
      <w:pPr>
        <w:ind w:left="2132" w:hanging="360"/>
      </w:pPr>
    </w:lvl>
    <w:lvl w:ilvl="1">
      <w:start w:val="1"/>
      <w:numFmt w:val="lowerLetter"/>
      <w:lvlText w:val="%2."/>
      <w:lvlJc w:val="left"/>
      <w:pPr>
        <w:ind w:left="2852" w:hanging="360"/>
      </w:pPr>
    </w:lvl>
    <w:lvl w:ilvl="2">
      <w:start w:val="1"/>
      <w:numFmt w:val="lowerRoman"/>
      <w:lvlText w:val="%3."/>
      <w:lvlJc w:val="right"/>
      <w:pPr>
        <w:ind w:left="3572" w:hanging="180"/>
      </w:pPr>
    </w:lvl>
    <w:lvl w:ilvl="3">
      <w:start w:val="1"/>
      <w:numFmt w:val="decimal"/>
      <w:lvlText w:val="%4."/>
      <w:lvlJc w:val="left"/>
      <w:pPr>
        <w:ind w:left="4292" w:hanging="360"/>
      </w:pPr>
    </w:lvl>
    <w:lvl w:ilvl="4">
      <w:start w:val="1"/>
      <w:numFmt w:val="lowerLetter"/>
      <w:lvlText w:val="%5."/>
      <w:lvlJc w:val="left"/>
      <w:pPr>
        <w:ind w:left="5012" w:hanging="360"/>
      </w:pPr>
    </w:lvl>
    <w:lvl w:ilvl="5">
      <w:start w:val="1"/>
      <w:numFmt w:val="lowerRoman"/>
      <w:lvlText w:val="%6."/>
      <w:lvlJc w:val="right"/>
      <w:pPr>
        <w:ind w:left="5732" w:hanging="180"/>
      </w:pPr>
    </w:lvl>
    <w:lvl w:ilvl="6">
      <w:start w:val="1"/>
      <w:numFmt w:val="decimal"/>
      <w:lvlText w:val="%7."/>
      <w:lvlJc w:val="left"/>
      <w:pPr>
        <w:ind w:left="6452" w:hanging="360"/>
      </w:pPr>
    </w:lvl>
    <w:lvl w:ilvl="7">
      <w:start w:val="1"/>
      <w:numFmt w:val="lowerLetter"/>
      <w:lvlText w:val="%8."/>
      <w:lvlJc w:val="left"/>
      <w:pPr>
        <w:ind w:left="7172" w:hanging="360"/>
      </w:pPr>
    </w:lvl>
    <w:lvl w:ilvl="8">
      <w:start w:val="1"/>
      <w:numFmt w:val="lowerRoman"/>
      <w:lvlText w:val="%9."/>
      <w:lvlJc w:val="right"/>
      <w:pPr>
        <w:ind w:left="7892" w:hanging="180"/>
      </w:pPr>
    </w:lvl>
  </w:abstractNum>
  <w:abstractNum w:abstractNumId="45" w15:restartNumberingAfterBreak="0">
    <w:nsid w:val="05AD7DF7"/>
    <w:multiLevelType w:val="multilevel"/>
    <w:tmpl w:val="639CEB2A"/>
    <w:lvl w:ilvl="0">
      <w:start w:val="1"/>
      <w:numFmt w:val="bullet"/>
      <w:lvlText w:val=""/>
      <w:lvlJc w:val="left"/>
      <w:pPr>
        <w:ind w:left="360" w:hanging="360"/>
      </w:pPr>
      <w:rPr>
        <w:rFonts w:ascii="Wingdings" w:eastAsia="Wingdings" w:hAnsi="Wingdings" w:cs="Wingdings" w:hint="default"/>
      </w:rPr>
    </w:lvl>
    <w:lvl w:ilvl="1">
      <w:start w:val="1"/>
      <w:numFmt w:val="bullet"/>
      <w:lvlText w:val=""/>
      <w:lvlJc w:val="left"/>
      <w:pPr>
        <w:ind w:left="720" w:hanging="360"/>
      </w:pPr>
      <w:rPr>
        <w:rFonts w:ascii="Wingdings" w:eastAsia="Wingdings" w:hAnsi="Wingdings" w:cs="Wingdings" w:hint="default"/>
      </w:rPr>
    </w:lvl>
    <w:lvl w:ilvl="2">
      <w:start w:val="1"/>
      <w:numFmt w:val="bullet"/>
      <w:lvlText w:val=""/>
      <w:lvlJc w:val="left"/>
      <w:pPr>
        <w:ind w:left="1080" w:hanging="360"/>
      </w:pPr>
      <w:rPr>
        <w:rFonts w:ascii="Wingdings" w:eastAsia="Wingdings" w:hAnsi="Wingdings" w:cs="Wingdings" w:hint="default"/>
      </w:rPr>
    </w:lvl>
    <w:lvl w:ilvl="3">
      <w:start w:val="1"/>
      <w:numFmt w:val="bullet"/>
      <w:lvlText w:val=""/>
      <w:lvlJc w:val="left"/>
      <w:pPr>
        <w:ind w:left="1440" w:hanging="360"/>
      </w:pPr>
      <w:rPr>
        <w:rFonts w:ascii="Symbol" w:eastAsia="Symbol" w:hAnsi="Symbol" w:cs="Symbol" w:hint="default"/>
      </w:rPr>
    </w:lvl>
    <w:lvl w:ilvl="4">
      <w:start w:val="1"/>
      <w:numFmt w:val="bullet"/>
      <w:lvlText w:val=""/>
      <w:lvlJc w:val="left"/>
      <w:pPr>
        <w:ind w:left="1800" w:hanging="360"/>
      </w:pPr>
      <w:rPr>
        <w:rFonts w:ascii="Symbol" w:eastAsia="Symbol" w:hAnsi="Symbol" w:cs="Symbol" w:hint="default"/>
      </w:rPr>
    </w:lvl>
    <w:lvl w:ilvl="5">
      <w:start w:val="1"/>
      <w:numFmt w:val="bullet"/>
      <w:lvlText w:val=""/>
      <w:lvlJc w:val="left"/>
      <w:pPr>
        <w:ind w:left="2160" w:hanging="360"/>
      </w:pPr>
      <w:rPr>
        <w:rFonts w:ascii="Wingdings" w:eastAsia="Wingdings" w:hAnsi="Wingdings" w:cs="Wingdings" w:hint="default"/>
      </w:rPr>
    </w:lvl>
    <w:lvl w:ilvl="6">
      <w:start w:val="1"/>
      <w:numFmt w:val="bullet"/>
      <w:lvlText w:val=""/>
      <w:lvlJc w:val="left"/>
      <w:pPr>
        <w:ind w:left="2520" w:hanging="360"/>
      </w:pPr>
      <w:rPr>
        <w:rFonts w:ascii="Wingdings" w:eastAsia="Wingdings" w:hAnsi="Wingdings" w:cs="Wingdings" w:hint="default"/>
      </w:rPr>
    </w:lvl>
    <w:lvl w:ilvl="7">
      <w:start w:val="1"/>
      <w:numFmt w:val="bullet"/>
      <w:lvlText w:val=""/>
      <w:lvlJc w:val="left"/>
      <w:pPr>
        <w:ind w:left="2880" w:hanging="360"/>
      </w:pPr>
      <w:rPr>
        <w:rFonts w:ascii="Symbol" w:eastAsia="Symbol" w:hAnsi="Symbol" w:cs="Symbol" w:hint="default"/>
      </w:rPr>
    </w:lvl>
    <w:lvl w:ilvl="8">
      <w:start w:val="1"/>
      <w:numFmt w:val="bullet"/>
      <w:lvlText w:val=""/>
      <w:lvlJc w:val="left"/>
      <w:pPr>
        <w:ind w:left="3240" w:hanging="360"/>
      </w:pPr>
      <w:rPr>
        <w:rFonts w:ascii="Symbol" w:eastAsia="Symbol" w:hAnsi="Symbol" w:cs="Symbol" w:hint="default"/>
      </w:rPr>
    </w:lvl>
  </w:abstractNum>
  <w:abstractNum w:abstractNumId="46" w15:restartNumberingAfterBreak="0">
    <w:nsid w:val="07033188"/>
    <w:multiLevelType w:val="hybridMultilevel"/>
    <w:tmpl w:val="6E46E946"/>
    <w:lvl w:ilvl="0" w:tplc="453C9ECC">
      <w:start w:val="1"/>
      <w:numFmt w:val="decimal"/>
      <w:lvlText w:val="%1)"/>
      <w:lvlJc w:val="left"/>
      <w:pPr>
        <w:ind w:left="720" w:hanging="360"/>
      </w:pPr>
      <w:rPr>
        <w:rFonts w:hint="default"/>
      </w:rPr>
    </w:lvl>
    <w:lvl w:ilvl="1" w:tplc="8F96FB5E" w:tentative="1">
      <w:start w:val="1"/>
      <w:numFmt w:val="lowerLetter"/>
      <w:lvlText w:val="%2."/>
      <w:lvlJc w:val="left"/>
      <w:pPr>
        <w:ind w:left="1440" w:hanging="360"/>
      </w:pPr>
    </w:lvl>
    <w:lvl w:ilvl="2" w:tplc="D7E4ECCE" w:tentative="1">
      <w:start w:val="1"/>
      <w:numFmt w:val="lowerRoman"/>
      <w:lvlText w:val="%3."/>
      <w:lvlJc w:val="right"/>
      <w:pPr>
        <w:ind w:left="2160" w:hanging="180"/>
      </w:pPr>
    </w:lvl>
    <w:lvl w:ilvl="3" w:tplc="38407A68" w:tentative="1">
      <w:start w:val="1"/>
      <w:numFmt w:val="decimal"/>
      <w:lvlText w:val="%4."/>
      <w:lvlJc w:val="left"/>
      <w:pPr>
        <w:ind w:left="2880" w:hanging="360"/>
      </w:pPr>
    </w:lvl>
    <w:lvl w:ilvl="4" w:tplc="4ECE9910" w:tentative="1">
      <w:start w:val="1"/>
      <w:numFmt w:val="lowerLetter"/>
      <w:lvlText w:val="%5."/>
      <w:lvlJc w:val="left"/>
      <w:pPr>
        <w:ind w:left="3600" w:hanging="360"/>
      </w:pPr>
    </w:lvl>
    <w:lvl w:ilvl="5" w:tplc="7EF88C44" w:tentative="1">
      <w:start w:val="1"/>
      <w:numFmt w:val="lowerRoman"/>
      <w:lvlText w:val="%6."/>
      <w:lvlJc w:val="right"/>
      <w:pPr>
        <w:ind w:left="4320" w:hanging="180"/>
      </w:pPr>
    </w:lvl>
    <w:lvl w:ilvl="6" w:tplc="A46C35CA" w:tentative="1">
      <w:start w:val="1"/>
      <w:numFmt w:val="decimal"/>
      <w:lvlText w:val="%7."/>
      <w:lvlJc w:val="left"/>
      <w:pPr>
        <w:ind w:left="5040" w:hanging="360"/>
      </w:pPr>
    </w:lvl>
    <w:lvl w:ilvl="7" w:tplc="0E4CC478" w:tentative="1">
      <w:start w:val="1"/>
      <w:numFmt w:val="lowerLetter"/>
      <w:lvlText w:val="%8."/>
      <w:lvlJc w:val="left"/>
      <w:pPr>
        <w:ind w:left="5760" w:hanging="360"/>
      </w:pPr>
    </w:lvl>
    <w:lvl w:ilvl="8" w:tplc="D0EECEFE" w:tentative="1">
      <w:start w:val="1"/>
      <w:numFmt w:val="lowerRoman"/>
      <w:lvlText w:val="%9."/>
      <w:lvlJc w:val="right"/>
      <w:pPr>
        <w:ind w:left="6480" w:hanging="180"/>
      </w:pPr>
    </w:lvl>
  </w:abstractNum>
  <w:abstractNum w:abstractNumId="47" w15:restartNumberingAfterBreak="0">
    <w:nsid w:val="071F6899"/>
    <w:multiLevelType w:val="hybridMultilevel"/>
    <w:tmpl w:val="1D2467A4"/>
    <w:lvl w:ilvl="0" w:tplc="E78CA9F8">
      <w:start w:val="1"/>
      <w:numFmt w:val="decimal"/>
      <w:lvlText w:val="%1)"/>
      <w:lvlJc w:val="left"/>
      <w:pPr>
        <w:ind w:left="2700" w:hanging="360"/>
      </w:pPr>
    </w:lvl>
    <w:lvl w:ilvl="1" w:tplc="2166D23C" w:tentative="1">
      <w:start w:val="1"/>
      <w:numFmt w:val="lowerLetter"/>
      <w:lvlText w:val="%2."/>
      <w:lvlJc w:val="left"/>
      <w:pPr>
        <w:ind w:left="3420" w:hanging="360"/>
      </w:pPr>
    </w:lvl>
    <w:lvl w:ilvl="2" w:tplc="C90EA342" w:tentative="1">
      <w:start w:val="1"/>
      <w:numFmt w:val="lowerRoman"/>
      <w:lvlText w:val="%3."/>
      <w:lvlJc w:val="right"/>
      <w:pPr>
        <w:ind w:left="4140" w:hanging="180"/>
      </w:pPr>
    </w:lvl>
    <w:lvl w:ilvl="3" w:tplc="9E7EC694" w:tentative="1">
      <w:start w:val="1"/>
      <w:numFmt w:val="decimal"/>
      <w:lvlText w:val="%4."/>
      <w:lvlJc w:val="left"/>
      <w:pPr>
        <w:ind w:left="4860" w:hanging="360"/>
      </w:pPr>
    </w:lvl>
    <w:lvl w:ilvl="4" w:tplc="A5763578" w:tentative="1">
      <w:start w:val="1"/>
      <w:numFmt w:val="lowerLetter"/>
      <w:lvlText w:val="%5."/>
      <w:lvlJc w:val="left"/>
      <w:pPr>
        <w:ind w:left="5580" w:hanging="360"/>
      </w:pPr>
    </w:lvl>
    <w:lvl w:ilvl="5" w:tplc="C45CAD08" w:tentative="1">
      <w:start w:val="1"/>
      <w:numFmt w:val="lowerRoman"/>
      <w:lvlText w:val="%6."/>
      <w:lvlJc w:val="right"/>
      <w:pPr>
        <w:ind w:left="6300" w:hanging="180"/>
      </w:pPr>
    </w:lvl>
    <w:lvl w:ilvl="6" w:tplc="B8F0846C" w:tentative="1">
      <w:start w:val="1"/>
      <w:numFmt w:val="decimal"/>
      <w:lvlText w:val="%7."/>
      <w:lvlJc w:val="left"/>
      <w:pPr>
        <w:ind w:left="7020" w:hanging="360"/>
      </w:pPr>
    </w:lvl>
    <w:lvl w:ilvl="7" w:tplc="B39037EE" w:tentative="1">
      <w:start w:val="1"/>
      <w:numFmt w:val="lowerLetter"/>
      <w:lvlText w:val="%8."/>
      <w:lvlJc w:val="left"/>
      <w:pPr>
        <w:ind w:left="7740" w:hanging="360"/>
      </w:pPr>
    </w:lvl>
    <w:lvl w:ilvl="8" w:tplc="17EC0B2E" w:tentative="1">
      <w:start w:val="1"/>
      <w:numFmt w:val="lowerRoman"/>
      <w:lvlText w:val="%9."/>
      <w:lvlJc w:val="right"/>
      <w:pPr>
        <w:ind w:left="8460" w:hanging="180"/>
      </w:pPr>
    </w:lvl>
  </w:abstractNum>
  <w:abstractNum w:abstractNumId="48" w15:restartNumberingAfterBreak="0">
    <w:nsid w:val="08426B9F"/>
    <w:multiLevelType w:val="multilevel"/>
    <w:tmpl w:val="F6D4B28A"/>
    <w:lvl w:ilvl="0">
      <w:start w:val="1"/>
      <w:numFmt w:val="decimal"/>
      <w:lvlText w:val="%1)"/>
      <w:lvlJc w:val="left"/>
      <w:pPr>
        <w:ind w:left="2568" w:hanging="360"/>
      </w:pPr>
    </w:lvl>
    <w:lvl w:ilvl="1">
      <w:start w:val="1"/>
      <w:numFmt w:val="lowerLetter"/>
      <w:lvlText w:val="%2."/>
      <w:lvlJc w:val="left"/>
      <w:pPr>
        <w:ind w:left="3288" w:hanging="360"/>
      </w:pPr>
    </w:lvl>
    <w:lvl w:ilvl="2">
      <w:start w:val="1"/>
      <w:numFmt w:val="lowerRoman"/>
      <w:lvlText w:val="%3."/>
      <w:lvlJc w:val="right"/>
      <w:pPr>
        <w:ind w:left="4008" w:hanging="180"/>
      </w:pPr>
    </w:lvl>
    <w:lvl w:ilvl="3">
      <w:start w:val="1"/>
      <w:numFmt w:val="decimal"/>
      <w:lvlText w:val="%4."/>
      <w:lvlJc w:val="left"/>
      <w:pPr>
        <w:ind w:left="4728" w:hanging="360"/>
      </w:pPr>
    </w:lvl>
    <w:lvl w:ilvl="4">
      <w:start w:val="1"/>
      <w:numFmt w:val="lowerLetter"/>
      <w:lvlText w:val="%5."/>
      <w:lvlJc w:val="left"/>
      <w:pPr>
        <w:ind w:left="5448" w:hanging="360"/>
      </w:pPr>
    </w:lvl>
    <w:lvl w:ilvl="5">
      <w:start w:val="1"/>
      <w:numFmt w:val="lowerRoman"/>
      <w:lvlText w:val="%6."/>
      <w:lvlJc w:val="right"/>
      <w:pPr>
        <w:ind w:left="6168" w:hanging="180"/>
      </w:pPr>
    </w:lvl>
    <w:lvl w:ilvl="6">
      <w:start w:val="1"/>
      <w:numFmt w:val="decimal"/>
      <w:lvlText w:val="%7."/>
      <w:lvlJc w:val="left"/>
      <w:pPr>
        <w:ind w:left="6888" w:hanging="360"/>
      </w:pPr>
    </w:lvl>
    <w:lvl w:ilvl="7">
      <w:start w:val="1"/>
      <w:numFmt w:val="lowerLetter"/>
      <w:lvlText w:val="%8."/>
      <w:lvlJc w:val="left"/>
      <w:pPr>
        <w:ind w:left="7608" w:hanging="360"/>
      </w:pPr>
    </w:lvl>
    <w:lvl w:ilvl="8">
      <w:start w:val="1"/>
      <w:numFmt w:val="lowerRoman"/>
      <w:lvlText w:val="%9."/>
      <w:lvlJc w:val="right"/>
      <w:pPr>
        <w:ind w:left="8328" w:hanging="180"/>
      </w:pPr>
    </w:lvl>
  </w:abstractNum>
  <w:abstractNum w:abstractNumId="49" w15:restartNumberingAfterBreak="0">
    <w:nsid w:val="08985155"/>
    <w:multiLevelType w:val="hybridMultilevel"/>
    <w:tmpl w:val="7FAA16A6"/>
    <w:lvl w:ilvl="0" w:tplc="365A957A">
      <w:start w:val="1"/>
      <w:numFmt w:val="decimal"/>
      <w:lvlText w:val="%1."/>
      <w:lvlJc w:val="left"/>
      <w:pPr>
        <w:ind w:left="720" w:hanging="360"/>
      </w:pPr>
      <w:rPr>
        <w:rFonts w:hint="default"/>
      </w:rPr>
    </w:lvl>
    <w:lvl w:ilvl="1" w:tplc="052000C4" w:tentative="1">
      <w:start w:val="1"/>
      <w:numFmt w:val="lowerLetter"/>
      <w:lvlText w:val="%2."/>
      <w:lvlJc w:val="left"/>
      <w:pPr>
        <w:ind w:left="1440" w:hanging="360"/>
      </w:pPr>
    </w:lvl>
    <w:lvl w:ilvl="2" w:tplc="CAA0FB8C" w:tentative="1">
      <w:start w:val="1"/>
      <w:numFmt w:val="lowerRoman"/>
      <w:lvlText w:val="%3."/>
      <w:lvlJc w:val="right"/>
      <w:pPr>
        <w:ind w:left="2160" w:hanging="180"/>
      </w:pPr>
    </w:lvl>
    <w:lvl w:ilvl="3" w:tplc="C2F272F6" w:tentative="1">
      <w:start w:val="1"/>
      <w:numFmt w:val="decimal"/>
      <w:lvlText w:val="%4."/>
      <w:lvlJc w:val="left"/>
      <w:pPr>
        <w:ind w:left="2880" w:hanging="360"/>
      </w:pPr>
    </w:lvl>
    <w:lvl w:ilvl="4" w:tplc="DF00BD1E" w:tentative="1">
      <w:start w:val="1"/>
      <w:numFmt w:val="lowerLetter"/>
      <w:lvlText w:val="%5."/>
      <w:lvlJc w:val="left"/>
      <w:pPr>
        <w:ind w:left="3600" w:hanging="360"/>
      </w:pPr>
    </w:lvl>
    <w:lvl w:ilvl="5" w:tplc="A64E7700" w:tentative="1">
      <w:start w:val="1"/>
      <w:numFmt w:val="lowerRoman"/>
      <w:lvlText w:val="%6."/>
      <w:lvlJc w:val="right"/>
      <w:pPr>
        <w:ind w:left="4320" w:hanging="180"/>
      </w:pPr>
    </w:lvl>
    <w:lvl w:ilvl="6" w:tplc="D332E56E" w:tentative="1">
      <w:start w:val="1"/>
      <w:numFmt w:val="decimal"/>
      <w:lvlText w:val="%7."/>
      <w:lvlJc w:val="left"/>
      <w:pPr>
        <w:ind w:left="5040" w:hanging="360"/>
      </w:pPr>
    </w:lvl>
    <w:lvl w:ilvl="7" w:tplc="28B04022" w:tentative="1">
      <w:start w:val="1"/>
      <w:numFmt w:val="lowerLetter"/>
      <w:lvlText w:val="%8."/>
      <w:lvlJc w:val="left"/>
      <w:pPr>
        <w:ind w:left="5760" w:hanging="360"/>
      </w:pPr>
    </w:lvl>
    <w:lvl w:ilvl="8" w:tplc="B6CA1CD0" w:tentative="1">
      <w:start w:val="1"/>
      <w:numFmt w:val="lowerRoman"/>
      <w:lvlText w:val="%9."/>
      <w:lvlJc w:val="right"/>
      <w:pPr>
        <w:ind w:left="6480" w:hanging="180"/>
      </w:pPr>
    </w:lvl>
  </w:abstractNum>
  <w:abstractNum w:abstractNumId="50" w15:restartNumberingAfterBreak="0">
    <w:nsid w:val="09617EF6"/>
    <w:multiLevelType w:val="hybridMultilevel"/>
    <w:tmpl w:val="D4B844EA"/>
    <w:name w:val="WW8Num632222"/>
    <w:lvl w:ilvl="0" w:tplc="AE7EC746">
      <w:start w:val="1"/>
      <w:numFmt w:val="decimal"/>
      <w:lvlText w:val="%1)"/>
      <w:lvlJc w:val="left"/>
      <w:pPr>
        <w:ind w:left="720" w:hanging="360"/>
      </w:pPr>
    </w:lvl>
    <w:lvl w:ilvl="1" w:tplc="84809A6A" w:tentative="1">
      <w:start w:val="1"/>
      <w:numFmt w:val="lowerLetter"/>
      <w:lvlText w:val="%2."/>
      <w:lvlJc w:val="left"/>
      <w:pPr>
        <w:ind w:left="1440" w:hanging="360"/>
      </w:pPr>
    </w:lvl>
    <w:lvl w:ilvl="2" w:tplc="4EDCADAC" w:tentative="1">
      <w:start w:val="1"/>
      <w:numFmt w:val="lowerRoman"/>
      <w:lvlText w:val="%3."/>
      <w:lvlJc w:val="right"/>
      <w:pPr>
        <w:ind w:left="2160" w:hanging="180"/>
      </w:pPr>
    </w:lvl>
    <w:lvl w:ilvl="3" w:tplc="35EC2E2E" w:tentative="1">
      <w:start w:val="1"/>
      <w:numFmt w:val="decimal"/>
      <w:lvlText w:val="%4."/>
      <w:lvlJc w:val="left"/>
      <w:pPr>
        <w:ind w:left="2880" w:hanging="360"/>
      </w:pPr>
    </w:lvl>
    <w:lvl w:ilvl="4" w:tplc="1BFA8A76" w:tentative="1">
      <w:start w:val="1"/>
      <w:numFmt w:val="lowerLetter"/>
      <w:lvlText w:val="%5."/>
      <w:lvlJc w:val="left"/>
      <w:pPr>
        <w:ind w:left="3600" w:hanging="360"/>
      </w:pPr>
    </w:lvl>
    <w:lvl w:ilvl="5" w:tplc="48EE32E4" w:tentative="1">
      <w:start w:val="1"/>
      <w:numFmt w:val="lowerRoman"/>
      <w:lvlText w:val="%6."/>
      <w:lvlJc w:val="right"/>
      <w:pPr>
        <w:ind w:left="4320" w:hanging="180"/>
      </w:pPr>
    </w:lvl>
    <w:lvl w:ilvl="6" w:tplc="9AD2F1EA" w:tentative="1">
      <w:start w:val="1"/>
      <w:numFmt w:val="decimal"/>
      <w:lvlText w:val="%7."/>
      <w:lvlJc w:val="left"/>
      <w:pPr>
        <w:ind w:left="5040" w:hanging="360"/>
      </w:pPr>
    </w:lvl>
    <w:lvl w:ilvl="7" w:tplc="1F401CBC" w:tentative="1">
      <w:start w:val="1"/>
      <w:numFmt w:val="lowerLetter"/>
      <w:lvlText w:val="%8."/>
      <w:lvlJc w:val="left"/>
      <w:pPr>
        <w:ind w:left="5760" w:hanging="360"/>
      </w:pPr>
    </w:lvl>
    <w:lvl w:ilvl="8" w:tplc="A83EC834" w:tentative="1">
      <w:start w:val="1"/>
      <w:numFmt w:val="lowerRoman"/>
      <w:lvlText w:val="%9."/>
      <w:lvlJc w:val="right"/>
      <w:pPr>
        <w:ind w:left="6480" w:hanging="180"/>
      </w:pPr>
    </w:lvl>
  </w:abstractNum>
  <w:abstractNum w:abstractNumId="51" w15:restartNumberingAfterBreak="0">
    <w:nsid w:val="09F34FB5"/>
    <w:multiLevelType w:val="multilevel"/>
    <w:tmpl w:val="377A9DE8"/>
    <w:lvl w:ilvl="0">
      <w:start w:val="50"/>
      <w:numFmt w:val="bullet"/>
      <w:lvlText w:val=""/>
      <w:lvlJc w:val="left"/>
      <w:pPr>
        <w:ind w:left="1080" w:hanging="360"/>
      </w:pPr>
      <w:rPr>
        <w:rFonts w:ascii="Wingdings" w:eastAsiaTheme="minorHAnsi" w:hAnsi="Wingdings"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15:restartNumberingAfterBreak="0">
    <w:nsid w:val="0A254F85"/>
    <w:multiLevelType w:val="multilevel"/>
    <w:tmpl w:val="EB629890"/>
    <w:lvl w:ilvl="0">
      <w:start w:val="1"/>
      <w:numFmt w:val="lowerLetter"/>
      <w:lvlText w:val="%1)"/>
      <w:lvlJc w:val="left"/>
      <w:pPr>
        <w:tabs>
          <w:tab w:val="num" w:pos="0"/>
        </w:tabs>
      </w:p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3" w15:restartNumberingAfterBreak="0">
    <w:nsid w:val="0D035F24"/>
    <w:multiLevelType w:val="hybridMultilevel"/>
    <w:tmpl w:val="69FC69C4"/>
    <w:lvl w:ilvl="0" w:tplc="EDA21090">
      <w:start w:val="1"/>
      <w:numFmt w:val="lowerLetter"/>
      <w:lvlText w:val="%1."/>
      <w:lvlJc w:val="left"/>
      <w:pPr>
        <w:ind w:left="720" w:hanging="360"/>
      </w:pPr>
    </w:lvl>
    <w:lvl w:ilvl="1" w:tplc="A238B13A" w:tentative="1">
      <w:start w:val="1"/>
      <w:numFmt w:val="lowerLetter"/>
      <w:lvlText w:val="%2."/>
      <w:lvlJc w:val="left"/>
      <w:pPr>
        <w:ind w:left="1440" w:hanging="360"/>
      </w:pPr>
    </w:lvl>
    <w:lvl w:ilvl="2" w:tplc="7F0ED6A8" w:tentative="1">
      <w:start w:val="1"/>
      <w:numFmt w:val="lowerRoman"/>
      <w:lvlText w:val="%3."/>
      <w:lvlJc w:val="right"/>
      <w:pPr>
        <w:ind w:left="2160" w:hanging="180"/>
      </w:pPr>
    </w:lvl>
    <w:lvl w:ilvl="3" w:tplc="8F6A6838" w:tentative="1">
      <w:start w:val="1"/>
      <w:numFmt w:val="decimal"/>
      <w:lvlText w:val="%4."/>
      <w:lvlJc w:val="left"/>
      <w:pPr>
        <w:ind w:left="2880" w:hanging="360"/>
      </w:pPr>
    </w:lvl>
    <w:lvl w:ilvl="4" w:tplc="A5F2C2EA" w:tentative="1">
      <w:start w:val="1"/>
      <w:numFmt w:val="lowerLetter"/>
      <w:lvlText w:val="%5."/>
      <w:lvlJc w:val="left"/>
      <w:pPr>
        <w:ind w:left="3600" w:hanging="360"/>
      </w:pPr>
    </w:lvl>
    <w:lvl w:ilvl="5" w:tplc="4088F04A" w:tentative="1">
      <w:start w:val="1"/>
      <w:numFmt w:val="lowerRoman"/>
      <w:lvlText w:val="%6."/>
      <w:lvlJc w:val="right"/>
      <w:pPr>
        <w:ind w:left="4320" w:hanging="180"/>
      </w:pPr>
    </w:lvl>
    <w:lvl w:ilvl="6" w:tplc="EBF6F96A" w:tentative="1">
      <w:start w:val="1"/>
      <w:numFmt w:val="decimal"/>
      <w:lvlText w:val="%7."/>
      <w:lvlJc w:val="left"/>
      <w:pPr>
        <w:ind w:left="5040" w:hanging="360"/>
      </w:pPr>
    </w:lvl>
    <w:lvl w:ilvl="7" w:tplc="22624B28" w:tentative="1">
      <w:start w:val="1"/>
      <w:numFmt w:val="lowerLetter"/>
      <w:lvlText w:val="%8."/>
      <w:lvlJc w:val="left"/>
      <w:pPr>
        <w:ind w:left="5760" w:hanging="360"/>
      </w:pPr>
    </w:lvl>
    <w:lvl w:ilvl="8" w:tplc="AB600882" w:tentative="1">
      <w:start w:val="1"/>
      <w:numFmt w:val="lowerRoman"/>
      <w:lvlText w:val="%9."/>
      <w:lvlJc w:val="right"/>
      <w:pPr>
        <w:ind w:left="6480" w:hanging="180"/>
      </w:pPr>
    </w:lvl>
  </w:abstractNum>
  <w:abstractNum w:abstractNumId="54" w15:restartNumberingAfterBreak="0">
    <w:nsid w:val="0E35306F"/>
    <w:multiLevelType w:val="singleLevel"/>
    <w:tmpl w:val="00000013"/>
    <w:lvl w:ilvl="0">
      <w:start w:val="1"/>
      <w:numFmt w:val="lowerLetter"/>
      <w:lvlText w:val="%1)"/>
      <w:lvlJc w:val="left"/>
      <w:pPr>
        <w:tabs>
          <w:tab w:val="num" w:pos="0"/>
        </w:tabs>
        <w:ind w:left="720" w:hanging="360"/>
      </w:pPr>
      <w:rPr>
        <w:rFonts w:cs="Times New Roman"/>
      </w:rPr>
    </w:lvl>
  </w:abstractNum>
  <w:abstractNum w:abstractNumId="55" w15:restartNumberingAfterBreak="0">
    <w:nsid w:val="10792D18"/>
    <w:multiLevelType w:val="hybridMultilevel"/>
    <w:tmpl w:val="613471CA"/>
    <w:lvl w:ilvl="0" w:tplc="1ADCE2DE">
      <w:start w:val="1"/>
      <w:numFmt w:val="lowerLetter"/>
      <w:lvlText w:val="%1)"/>
      <w:lvlJc w:val="left"/>
      <w:pPr>
        <w:ind w:left="720" w:hanging="360"/>
      </w:pPr>
    </w:lvl>
    <w:lvl w:ilvl="1" w:tplc="E774D0D4" w:tentative="1">
      <w:start w:val="1"/>
      <w:numFmt w:val="lowerLetter"/>
      <w:lvlText w:val="%2."/>
      <w:lvlJc w:val="left"/>
      <w:pPr>
        <w:ind w:left="1440" w:hanging="360"/>
      </w:pPr>
    </w:lvl>
    <w:lvl w:ilvl="2" w:tplc="FCC00A12" w:tentative="1">
      <w:start w:val="1"/>
      <w:numFmt w:val="lowerRoman"/>
      <w:lvlText w:val="%3."/>
      <w:lvlJc w:val="right"/>
      <w:pPr>
        <w:ind w:left="2160" w:hanging="180"/>
      </w:pPr>
    </w:lvl>
    <w:lvl w:ilvl="3" w:tplc="90E65A4E" w:tentative="1">
      <w:start w:val="1"/>
      <w:numFmt w:val="decimal"/>
      <w:lvlText w:val="%4."/>
      <w:lvlJc w:val="left"/>
      <w:pPr>
        <w:ind w:left="2880" w:hanging="360"/>
      </w:pPr>
    </w:lvl>
    <w:lvl w:ilvl="4" w:tplc="BF48C5E0" w:tentative="1">
      <w:start w:val="1"/>
      <w:numFmt w:val="lowerLetter"/>
      <w:lvlText w:val="%5."/>
      <w:lvlJc w:val="left"/>
      <w:pPr>
        <w:ind w:left="3600" w:hanging="360"/>
      </w:pPr>
    </w:lvl>
    <w:lvl w:ilvl="5" w:tplc="A4DAEABA" w:tentative="1">
      <w:start w:val="1"/>
      <w:numFmt w:val="lowerRoman"/>
      <w:lvlText w:val="%6."/>
      <w:lvlJc w:val="right"/>
      <w:pPr>
        <w:ind w:left="4320" w:hanging="180"/>
      </w:pPr>
    </w:lvl>
    <w:lvl w:ilvl="6" w:tplc="958EE920" w:tentative="1">
      <w:start w:val="1"/>
      <w:numFmt w:val="decimal"/>
      <w:lvlText w:val="%7."/>
      <w:lvlJc w:val="left"/>
      <w:pPr>
        <w:ind w:left="5040" w:hanging="360"/>
      </w:pPr>
    </w:lvl>
    <w:lvl w:ilvl="7" w:tplc="2B246844" w:tentative="1">
      <w:start w:val="1"/>
      <w:numFmt w:val="lowerLetter"/>
      <w:lvlText w:val="%8."/>
      <w:lvlJc w:val="left"/>
      <w:pPr>
        <w:ind w:left="5760" w:hanging="360"/>
      </w:pPr>
    </w:lvl>
    <w:lvl w:ilvl="8" w:tplc="597EBA0E" w:tentative="1">
      <w:start w:val="1"/>
      <w:numFmt w:val="lowerRoman"/>
      <w:lvlText w:val="%9."/>
      <w:lvlJc w:val="right"/>
      <w:pPr>
        <w:ind w:left="6480" w:hanging="180"/>
      </w:pPr>
    </w:lvl>
  </w:abstractNum>
  <w:abstractNum w:abstractNumId="56" w15:restartNumberingAfterBreak="0">
    <w:nsid w:val="13206706"/>
    <w:multiLevelType w:val="multilevel"/>
    <w:tmpl w:val="5DD4F45E"/>
    <w:lvl w:ilvl="0">
      <w:start w:val="1"/>
      <w:numFmt w:val="ordin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32D4AD6"/>
    <w:multiLevelType w:val="hybridMultilevel"/>
    <w:tmpl w:val="4F445DC0"/>
    <w:lvl w:ilvl="0" w:tplc="440E258E">
      <w:start w:val="1"/>
      <w:numFmt w:val="ordinal"/>
      <w:lvlText w:val="%1"/>
      <w:lvlJc w:val="left"/>
      <w:pPr>
        <w:ind w:left="720" w:hanging="360"/>
      </w:pPr>
      <w:rPr>
        <w:rFonts w:cs="Times New Roman" w:hint="default"/>
      </w:rPr>
    </w:lvl>
    <w:lvl w:ilvl="1" w:tplc="1A78C818" w:tentative="1">
      <w:start w:val="1"/>
      <w:numFmt w:val="lowerLetter"/>
      <w:lvlText w:val="%2."/>
      <w:lvlJc w:val="left"/>
      <w:pPr>
        <w:ind w:left="1440" w:hanging="360"/>
      </w:pPr>
      <w:rPr>
        <w:rFonts w:cs="Times New Roman"/>
      </w:rPr>
    </w:lvl>
    <w:lvl w:ilvl="2" w:tplc="E562609E" w:tentative="1">
      <w:start w:val="1"/>
      <w:numFmt w:val="lowerRoman"/>
      <w:lvlText w:val="%3."/>
      <w:lvlJc w:val="right"/>
      <w:pPr>
        <w:ind w:left="2160" w:hanging="180"/>
      </w:pPr>
      <w:rPr>
        <w:rFonts w:cs="Times New Roman"/>
      </w:rPr>
    </w:lvl>
    <w:lvl w:ilvl="3" w:tplc="ECE0D34E" w:tentative="1">
      <w:start w:val="1"/>
      <w:numFmt w:val="decimal"/>
      <w:lvlText w:val="%4."/>
      <w:lvlJc w:val="left"/>
      <w:pPr>
        <w:ind w:left="2880" w:hanging="360"/>
      </w:pPr>
      <w:rPr>
        <w:rFonts w:cs="Times New Roman"/>
      </w:rPr>
    </w:lvl>
    <w:lvl w:ilvl="4" w:tplc="FC5A8D4A" w:tentative="1">
      <w:start w:val="1"/>
      <w:numFmt w:val="lowerLetter"/>
      <w:lvlText w:val="%5."/>
      <w:lvlJc w:val="left"/>
      <w:pPr>
        <w:ind w:left="3600" w:hanging="360"/>
      </w:pPr>
      <w:rPr>
        <w:rFonts w:cs="Times New Roman"/>
      </w:rPr>
    </w:lvl>
    <w:lvl w:ilvl="5" w:tplc="CA6077A2" w:tentative="1">
      <w:start w:val="1"/>
      <w:numFmt w:val="lowerRoman"/>
      <w:lvlText w:val="%6."/>
      <w:lvlJc w:val="right"/>
      <w:pPr>
        <w:ind w:left="4320" w:hanging="180"/>
      </w:pPr>
      <w:rPr>
        <w:rFonts w:cs="Times New Roman"/>
      </w:rPr>
    </w:lvl>
    <w:lvl w:ilvl="6" w:tplc="00806E28">
      <w:start w:val="1"/>
      <w:numFmt w:val="decimal"/>
      <w:lvlText w:val="%7."/>
      <w:lvlJc w:val="left"/>
      <w:pPr>
        <w:ind w:left="5040" w:hanging="360"/>
      </w:pPr>
      <w:rPr>
        <w:rFonts w:cs="Times New Roman"/>
      </w:rPr>
    </w:lvl>
    <w:lvl w:ilvl="7" w:tplc="7B98E7B6" w:tentative="1">
      <w:start w:val="1"/>
      <w:numFmt w:val="lowerLetter"/>
      <w:lvlText w:val="%8."/>
      <w:lvlJc w:val="left"/>
      <w:pPr>
        <w:ind w:left="5760" w:hanging="360"/>
      </w:pPr>
      <w:rPr>
        <w:rFonts w:cs="Times New Roman"/>
      </w:rPr>
    </w:lvl>
    <w:lvl w:ilvl="8" w:tplc="F4A4BD76" w:tentative="1">
      <w:start w:val="1"/>
      <w:numFmt w:val="lowerRoman"/>
      <w:lvlText w:val="%9."/>
      <w:lvlJc w:val="right"/>
      <w:pPr>
        <w:ind w:left="6480" w:hanging="180"/>
      </w:pPr>
      <w:rPr>
        <w:rFonts w:cs="Times New Roman"/>
      </w:rPr>
    </w:lvl>
  </w:abstractNum>
  <w:abstractNum w:abstractNumId="58" w15:restartNumberingAfterBreak="0">
    <w:nsid w:val="13416260"/>
    <w:multiLevelType w:val="hybridMultilevel"/>
    <w:tmpl w:val="1BE6CCCA"/>
    <w:lvl w:ilvl="0" w:tplc="5AB653FE">
      <w:start w:val="12"/>
      <w:numFmt w:val="bullet"/>
      <w:lvlText w:val="-"/>
      <w:lvlJc w:val="left"/>
      <w:pPr>
        <w:ind w:left="1080" w:hanging="360"/>
      </w:pPr>
      <w:rPr>
        <w:rFonts w:ascii="Arial" w:eastAsia="Times New Roman" w:hAnsi="Arial" w:cs="Arial" w:hint="default"/>
      </w:rPr>
    </w:lvl>
    <w:lvl w:ilvl="1" w:tplc="89B08DF0" w:tentative="1">
      <w:start w:val="1"/>
      <w:numFmt w:val="bullet"/>
      <w:lvlText w:val="o"/>
      <w:lvlJc w:val="left"/>
      <w:pPr>
        <w:ind w:left="1800" w:hanging="360"/>
      </w:pPr>
      <w:rPr>
        <w:rFonts w:ascii="Courier New" w:hAnsi="Courier New" w:cs="Courier New" w:hint="default"/>
      </w:rPr>
    </w:lvl>
    <w:lvl w:ilvl="2" w:tplc="D65AB292" w:tentative="1">
      <w:start w:val="1"/>
      <w:numFmt w:val="bullet"/>
      <w:lvlText w:val=""/>
      <w:lvlJc w:val="left"/>
      <w:pPr>
        <w:ind w:left="2520" w:hanging="360"/>
      </w:pPr>
      <w:rPr>
        <w:rFonts w:ascii="Wingdings" w:hAnsi="Wingdings" w:hint="default"/>
      </w:rPr>
    </w:lvl>
    <w:lvl w:ilvl="3" w:tplc="1DB058AE" w:tentative="1">
      <w:start w:val="1"/>
      <w:numFmt w:val="bullet"/>
      <w:lvlText w:val=""/>
      <w:lvlJc w:val="left"/>
      <w:pPr>
        <w:ind w:left="3240" w:hanging="360"/>
      </w:pPr>
      <w:rPr>
        <w:rFonts w:ascii="Symbol" w:hAnsi="Symbol" w:hint="default"/>
      </w:rPr>
    </w:lvl>
    <w:lvl w:ilvl="4" w:tplc="75247696" w:tentative="1">
      <w:start w:val="1"/>
      <w:numFmt w:val="bullet"/>
      <w:lvlText w:val="o"/>
      <w:lvlJc w:val="left"/>
      <w:pPr>
        <w:ind w:left="3960" w:hanging="360"/>
      </w:pPr>
      <w:rPr>
        <w:rFonts w:ascii="Courier New" w:hAnsi="Courier New" w:cs="Courier New" w:hint="default"/>
      </w:rPr>
    </w:lvl>
    <w:lvl w:ilvl="5" w:tplc="BACA6F5C" w:tentative="1">
      <w:start w:val="1"/>
      <w:numFmt w:val="bullet"/>
      <w:lvlText w:val=""/>
      <w:lvlJc w:val="left"/>
      <w:pPr>
        <w:ind w:left="4680" w:hanging="360"/>
      </w:pPr>
      <w:rPr>
        <w:rFonts w:ascii="Wingdings" w:hAnsi="Wingdings" w:hint="default"/>
      </w:rPr>
    </w:lvl>
    <w:lvl w:ilvl="6" w:tplc="75780D66" w:tentative="1">
      <w:start w:val="1"/>
      <w:numFmt w:val="bullet"/>
      <w:lvlText w:val=""/>
      <w:lvlJc w:val="left"/>
      <w:pPr>
        <w:ind w:left="5400" w:hanging="360"/>
      </w:pPr>
      <w:rPr>
        <w:rFonts w:ascii="Symbol" w:hAnsi="Symbol" w:hint="default"/>
      </w:rPr>
    </w:lvl>
    <w:lvl w:ilvl="7" w:tplc="80AEF38E" w:tentative="1">
      <w:start w:val="1"/>
      <w:numFmt w:val="bullet"/>
      <w:lvlText w:val="o"/>
      <w:lvlJc w:val="left"/>
      <w:pPr>
        <w:ind w:left="6120" w:hanging="360"/>
      </w:pPr>
      <w:rPr>
        <w:rFonts w:ascii="Courier New" w:hAnsi="Courier New" w:cs="Courier New" w:hint="default"/>
      </w:rPr>
    </w:lvl>
    <w:lvl w:ilvl="8" w:tplc="4AC871C6" w:tentative="1">
      <w:start w:val="1"/>
      <w:numFmt w:val="bullet"/>
      <w:lvlText w:val=""/>
      <w:lvlJc w:val="left"/>
      <w:pPr>
        <w:ind w:left="6840" w:hanging="360"/>
      </w:pPr>
      <w:rPr>
        <w:rFonts w:ascii="Wingdings" w:hAnsi="Wingdings" w:hint="default"/>
      </w:rPr>
    </w:lvl>
  </w:abstractNum>
  <w:abstractNum w:abstractNumId="59" w15:restartNumberingAfterBreak="0">
    <w:nsid w:val="142160BF"/>
    <w:multiLevelType w:val="multilevel"/>
    <w:tmpl w:val="A2CA885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60" w15:restartNumberingAfterBreak="0">
    <w:nsid w:val="14681098"/>
    <w:multiLevelType w:val="multilevel"/>
    <w:tmpl w:val="AB847C5E"/>
    <w:lvl w:ilvl="0">
      <w:start w:val="1"/>
      <w:numFmt w:val="decimal"/>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61" w15:restartNumberingAfterBreak="0">
    <w:nsid w:val="14941F1B"/>
    <w:multiLevelType w:val="hybridMultilevel"/>
    <w:tmpl w:val="1D2467A4"/>
    <w:lvl w:ilvl="0" w:tplc="56F427AE">
      <w:start w:val="1"/>
      <w:numFmt w:val="decimal"/>
      <w:lvlText w:val="%1)"/>
      <w:lvlJc w:val="left"/>
      <w:pPr>
        <w:ind w:left="2700" w:hanging="360"/>
      </w:pPr>
    </w:lvl>
    <w:lvl w:ilvl="1" w:tplc="9A4CF3D4" w:tentative="1">
      <w:start w:val="1"/>
      <w:numFmt w:val="lowerLetter"/>
      <w:lvlText w:val="%2."/>
      <w:lvlJc w:val="left"/>
      <w:pPr>
        <w:ind w:left="3420" w:hanging="360"/>
      </w:pPr>
    </w:lvl>
    <w:lvl w:ilvl="2" w:tplc="AA2CD79E" w:tentative="1">
      <w:start w:val="1"/>
      <w:numFmt w:val="lowerRoman"/>
      <w:lvlText w:val="%3."/>
      <w:lvlJc w:val="right"/>
      <w:pPr>
        <w:ind w:left="4140" w:hanging="180"/>
      </w:pPr>
    </w:lvl>
    <w:lvl w:ilvl="3" w:tplc="52B446A0" w:tentative="1">
      <w:start w:val="1"/>
      <w:numFmt w:val="decimal"/>
      <w:lvlText w:val="%4."/>
      <w:lvlJc w:val="left"/>
      <w:pPr>
        <w:ind w:left="4860" w:hanging="360"/>
      </w:pPr>
    </w:lvl>
    <w:lvl w:ilvl="4" w:tplc="FC40DF48" w:tentative="1">
      <w:start w:val="1"/>
      <w:numFmt w:val="lowerLetter"/>
      <w:lvlText w:val="%5."/>
      <w:lvlJc w:val="left"/>
      <w:pPr>
        <w:ind w:left="5580" w:hanging="360"/>
      </w:pPr>
    </w:lvl>
    <w:lvl w:ilvl="5" w:tplc="92D0D6C2" w:tentative="1">
      <w:start w:val="1"/>
      <w:numFmt w:val="lowerRoman"/>
      <w:lvlText w:val="%6."/>
      <w:lvlJc w:val="right"/>
      <w:pPr>
        <w:ind w:left="6300" w:hanging="180"/>
      </w:pPr>
    </w:lvl>
    <w:lvl w:ilvl="6" w:tplc="698A64BE" w:tentative="1">
      <w:start w:val="1"/>
      <w:numFmt w:val="decimal"/>
      <w:lvlText w:val="%7."/>
      <w:lvlJc w:val="left"/>
      <w:pPr>
        <w:ind w:left="7020" w:hanging="360"/>
      </w:pPr>
    </w:lvl>
    <w:lvl w:ilvl="7" w:tplc="3C68AA60" w:tentative="1">
      <w:start w:val="1"/>
      <w:numFmt w:val="lowerLetter"/>
      <w:lvlText w:val="%8."/>
      <w:lvlJc w:val="left"/>
      <w:pPr>
        <w:ind w:left="7740" w:hanging="360"/>
      </w:pPr>
    </w:lvl>
    <w:lvl w:ilvl="8" w:tplc="C08E95AA" w:tentative="1">
      <w:start w:val="1"/>
      <w:numFmt w:val="lowerRoman"/>
      <w:lvlText w:val="%9."/>
      <w:lvlJc w:val="right"/>
      <w:pPr>
        <w:ind w:left="8460" w:hanging="180"/>
      </w:pPr>
    </w:lvl>
  </w:abstractNum>
  <w:abstractNum w:abstractNumId="62" w15:restartNumberingAfterBreak="0">
    <w:nsid w:val="17640163"/>
    <w:multiLevelType w:val="hybridMultilevel"/>
    <w:tmpl w:val="DBA004E8"/>
    <w:name w:val="WW8Num292"/>
    <w:lvl w:ilvl="0" w:tplc="B0923EC2">
      <w:start w:val="1"/>
      <w:numFmt w:val="decimal"/>
      <w:lvlText w:val="%1)"/>
      <w:lvlJc w:val="left"/>
      <w:pPr>
        <w:tabs>
          <w:tab w:val="num" w:pos="0"/>
        </w:tabs>
        <w:ind w:left="720" w:hanging="360"/>
      </w:pPr>
      <w:rPr>
        <w:rFonts w:cs="Times New Roman" w:hint="default"/>
      </w:rPr>
    </w:lvl>
    <w:lvl w:ilvl="1" w:tplc="131C6902" w:tentative="1">
      <w:start w:val="1"/>
      <w:numFmt w:val="lowerLetter"/>
      <w:lvlText w:val="%2."/>
      <w:lvlJc w:val="left"/>
      <w:pPr>
        <w:ind w:left="1440" w:hanging="360"/>
      </w:pPr>
    </w:lvl>
    <w:lvl w:ilvl="2" w:tplc="0FA0B46E" w:tentative="1">
      <w:start w:val="1"/>
      <w:numFmt w:val="lowerRoman"/>
      <w:lvlText w:val="%3."/>
      <w:lvlJc w:val="right"/>
      <w:pPr>
        <w:ind w:left="2160" w:hanging="180"/>
      </w:pPr>
    </w:lvl>
    <w:lvl w:ilvl="3" w:tplc="6E7049CC" w:tentative="1">
      <w:start w:val="1"/>
      <w:numFmt w:val="decimal"/>
      <w:lvlText w:val="%4."/>
      <w:lvlJc w:val="left"/>
      <w:pPr>
        <w:ind w:left="2880" w:hanging="360"/>
      </w:pPr>
    </w:lvl>
    <w:lvl w:ilvl="4" w:tplc="72EA0452" w:tentative="1">
      <w:start w:val="1"/>
      <w:numFmt w:val="lowerLetter"/>
      <w:lvlText w:val="%5."/>
      <w:lvlJc w:val="left"/>
      <w:pPr>
        <w:ind w:left="3600" w:hanging="360"/>
      </w:pPr>
    </w:lvl>
    <w:lvl w:ilvl="5" w:tplc="FA9A8FF0" w:tentative="1">
      <w:start w:val="1"/>
      <w:numFmt w:val="lowerRoman"/>
      <w:lvlText w:val="%6."/>
      <w:lvlJc w:val="right"/>
      <w:pPr>
        <w:ind w:left="4320" w:hanging="180"/>
      </w:pPr>
    </w:lvl>
    <w:lvl w:ilvl="6" w:tplc="76A8786A" w:tentative="1">
      <w:start w:val="1"/>
      <w:numFmt w:val="decimal"/>
      <w:lvlText w:val="%7."/>
      <w:lvlJc w:val="left"/>
      <w:pPr>
        <w:ind w:left="5040" w:hanging="360"/>
      </w:pPr>
    </w:lvl>
    <w:lvl w:ilvl="7" w:tplc="D646D13E" w:tentative="1">
      <w:start w:val="1"/>
      <w:numFmt w:val="lowerLetter"/>
      <w:lvlText w:val="%8."/>
      <w:lvlJc w:val="left"/>
      <w:pPr>
        <w:ind w:left="5760" w:hanging="360"/>
      </w:pPr>
    </w:lvl>
    <w:lvl w:ilvl="8" w:tplc="C8A0602C" w:tentative="1">
      <w:start w:val="1"/>
      <w:numFmt w:val="lowerRoman"/>
      <w:lvlText w:val="%9."/>
      <w:lvlJc w:val="right"/>
      <w:pPr>
        <w:ind w:left="6480" w:hanging="180"/>
      </w:pPr>
    </w:lvl>
  </w:abstractNum>
  <w:abstractNum w:abstractNumId="63" w15:restartNumberingAfterBreak="0">
    <w:nsid w:val="19AC1734"/>
    <w:multiLevelType w:val="hybridMultilevel"/>
    <w:tmpl w:val="616846A4"/>
    <w:lvl w:ilvl="0" w:tplc="EED27162">
      <w:start w:val="1"/>
      <w:numFmt w:val="decimal"/>
      <w:lvlText w:val="%1."/>
      <w:lvlJc w:val="left"/>
      <w:pPr>
        <w:ind w:left="720" w:hanging="360"/>
      </w:pPr>
      <w:rPr>
        <w:rFonts w:cs="Times New Roman" w:hint="default"/>
      </w:rPr>
    </w:lvl>
    <w:lvl w:ilvl="1" w:tplc="2AD81CDE" w:tentative="1">
      <w:start w:val="1"/>
      <w:numFmt w:val="lowerLetter"/>
      <w:lvlText w:val="%2."/>
      <w:lvlJc w:val="left"/>
      <w:pPr>
        <w:ind w:left="1440" w:hanging="360"/>
      </w:pPr>
      <w:rPr>
        <w:rFonts w:cs="Times New Roman"/>
      </w:rPr>
    </w:lvl>
    <w:lvl w:ilvl="2" w:tplc="E2846F50" w:tentative="1">
      <w:start w:val="1"/>
      <w:numFmt w:val="lowerRoman"/>
      <w:lvlText w:val="%3."/>
      <w:lvlJc w:val="right"/>
      <w:pPr>
        <w:ind w:left="2160" w:hanging="180"/>
      </w:pPr>
      <w:rPr>
        <w:rFonts w:cs="Times New Roman"/>
      </w:rPr>
    </w:lvl>
    <w:lvl w:ilvl="3" w:tplc="E8CA5390" w:tentative="1">
      <w:start w:val="1"/>
      <w:numFmt w:val="decimal"/>
      <w:lvlText w:val="%4."/>
      <w:lvlJc w:val="left"/>
      <w:pPr>
        <w:ind w:left="2880" w:hanging="360"/>
      </w:pPr>
      <w:rPr>
        <w:rFonts w:cs="Times New Roman"/>
      </w:rPr>
    </w:lvl>
    <w:lvl w:ilvl="4" w:tplc="10A03848" w:tentative="1">
      <w:start w:val="1"/>
      <w:numFmt w:val="lowerLetter"/>
      <w:lvlText w:val="%5."/>
      <w:lvlJc w:val="left"/>
      <w:pPr>
        <w:ind w:left="3600" w:hanging="360"/>
      </w:pPr>
      <w:rPr>
        <w:rFonts w:cs="Times New Roman"/>
      </w:rPr>
    </w:lvl>
    <w:lvl w:ilvl="5" w:tplc="7EA86AEC" w:tentative="1">
      <w:start w:val="1"/>
      <w:numFmt w:val="lowerRoman"/>
      <w:lvlText w:val="%6."/>
      <w:lvlJc w:val="right"/>
      <w:pPr>
        <w:ind w:left="4320" w:hanging="180"/>
      </w:pPr>
      <w:rPr>
        <w:rFonts w:cs="Times New Roman"/>
      </w:rPr>
    </w:lvl>
    <w:lvl w:ilvl="6" w:tplc="6B70271A" w:tentative="1">
      <w:start w:val="1"/>
      <w:numFmt w:val="decimal"/>
      <w:lvlText w:val="%7."/>
      <w:lvlJc w:val="left"/>
      <w:pPr>
        <w:ind w:left="5040" w:hanging="360"/>
      </w:pPr>
      <w:rPr>
        <w:rFonts w:cs="Times New Roman"/>
      </w:rPr>
    </w:lvl>
    <w:lvl w:ilvl="7" w:tplc="586A64AC" w:tentative="1">
      <w:start w:val="1"/>
      <w:numFmt w:val="lowerLetter"/>
      <w:lvlText w:val="%8."/>
      <w:lvlJc w:val="left"/>
      <w:pPr>
        <w:ind w:left="5760" w:hanging="360"/>
      </w:pPr>
      <w:rPr>
        <w:rFonts w:cs="Times New Roman"/>
      </w:rPr>
    </w:lvl>
    <w:lvl w:ilvl="8" w:tplc="A68A9962" w:tentative="1">
      <w:start w:val="1"/>
      <w:numFmt w:val="lowerRoman"/>
      <w:lvlText w:val="%9."/>
      <w:lvlJc w:val="right"/>
      <w:pPr>
        <w:ind w:left="6480" w:hanging="180"/>
      </w:pPr>
      <w:rPr>
        <w:rFonts w:cs="Times New Roman"/>
      </w:rPr>
    </w:lvl>
  </w:abstractNum>
  <w:abstractNum w:abstractNumId="64" w15:restartNumberingAfterBreak="0">
    <w:nsid w:val="1DAA365C"/>
    <w:multiLevelType w:val="multilevel"/>
    <w:tmpl w:val="2DFA572E"/>
    <w:lvl w:ilvl="0">
      <w:start w:val="5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1DD41555"/>
    <w:multiLevelType w:val="hybridMultilevel"/>
    <w:tmpl w:val="00DEAE3E"/>
    <w:lvl w:ilvl="0" w:tplc="40509552">
      <w:start w:val="1"/>
      <w:numFmt w:val="decimal"/>
      <w:lvlText w:val="%1)"/>
      <w:lvlJc w:val="left"/>
      <w:pPr>
        <w:ind w:left="1004" w:hanging="360"/>
      </w:pPr>
      <w:rPr>
        <w:rFonts w:cs="Times New Roman"/>
      </w:rPr>
    </w:lvl>
    <w:lvl w:ilvl="1" w:tplc="02DE4692">
      <w:start w:val="1"/>
      <w:numFmt w:val="decimal"/>
      <w:lvlText w:val="%2)"/>
      <w:lvlJc w:val="left"/>
      <w:pPr>
        <w:ind w:left="1724" w:hanging="360"/>
      </w:pPr>
    </w:lvl>
    <w:lvl w:ilvl="2" w:tplc="ABDA6986" w:tentative="1">
      <w:start w:val="1"/>
      <w:numFmt w:val="lowerRoman"/>
      <w:lvlText w:val="%3."/>
      <w:lvlJc w:val="right"/>
      <w:pPr>
        <w:ind w:left="2444" w:hanging="180"/>
      </w:pPr>
    </w:lvl>
    <w:lvl w:ilvl="3" w:tplc="A8126B9C" w:tentative="1">
      <w:start w:val="1"/>
      <w:numFmt w:val="decimal"/>
      <w:lvlText w:val="%4."/>
      <w:lvlJc w:val="left"/>
      <w:pPr>
        <w:ind w:left="3164" w:hanging="360"/>
      </w:pPr>
    </w:lvl>
    <w:lvl w:ilvl="4" w:tplc="CFEE938E" w:tentative="1">
      <w:start w:val="1"/>
      <w:numFmt w:val="lowerLetter"/>
      <w:lvlText w:val="%5."/>
      <w:lvlJc w:val="left"/>
      <w:pPr>
        <w:ind w:left="3884" w:hanging="360"/>
      </w:pPr>
    </w:lvl>
    <w:lvl w:ilvl="5" w:tplc="147406FA" w:tentative="1">
      <w:start w:val="1"/>
      <w:numFmt w:val="lowerRoman"/>
      <w:lvlText w:val="%6."/>
      <w:lvlJc w:val="right"/>
      <w:pPr>
        <w:ind w:left="4604" w:hanging="180"/>
      </w:pPr>
    </w:lvl>
    <w:lvl w:ilvl="6" w:tplc="047084C8" w:tentative="1">
      <w:start w:val="1"/>
      <w:numFmt w:val="decimal"/>
      <w:lvlText w:val="%7."/>
      <w:lvlJc w:val="left"/>
      <w:pPr>
        <w:ind w:left="5324" w:hanging="360"/>
      </w:pPr>
    </w:lvl>
    <w:lvl w:ilvl="7" w:tplc="542807FC" w:tentative="1">
      <w:start w:val="1"/>
      <w:numFmt w:val="lowerLetter"/>
      <w:lvlText w:val="%8."/>
      <w:lvlJc w:val="left"/>
      <w:pPr>
        <w:ind w:left="6044" w:hanging="360"/>
      </w:pPr>
    </w:lvl>
    <w:lvl w:ilvl="8" w:tplc="B0B24AA2" w:tentative="1">
      <w:start w:val="1"/>
      <w:numFmt w:val="lowerRoman"/>
      <w:lvlText w:val="%9."/>
      <w:lvlJc w:val="right"/>
      <w:pPr>
        <w:ind w:left="6764" w:hanging="180"/>
      </w:pPr>
    </w:lvl>
  </w:abstractNum>
  <w:abstractNum w:abstractNumId="66" w15:restartNumberingAfterBreak="0">
    <w:nsid w:val="1FE835B9"/>
    <w:multiLevelType w:val="multilevel"/>
    <w:tmpl w:val="708036F4"/>
    <w:lvl w:ilvl="0">
      <w:start w:val="1"/>
      <w:numFmt w:val="bullet"/>
      <w:lvlText w:val="ü"/>
      <w:lvlJc w:val="left"/>
      <w:pPr>
        <w:ind w:left="709" w:hanging="360"/>
      </w:pPr>
      <w:rPr>
        <w:rFonts w:ascii="Wingdings" w:eastAsia="Wingdings" w:hAnsi="Wingdings" w:cs="Wingdings"/>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67" w15:restartNumberingAfterBreak="0">
    <w:nsid w:val="220252D7"/>
    <w:multiLevelType w:val="hybridMultilevel"/>
    <w:tmpl w:val="1D2467A4"/>
    <w:lvl w:ilvl="0" w:tplc="535A2608">
      <w:start w:val="1"/>
      <w:numFmt w:val="decimal"/>
      <w:lvlText w:val="%1)"/>
      <w:lvlJc w:val="left"/>
      <w:pPr>
        <w:ind w:left="2132" w:hanging="360"/>
      </w:pPr>
    </w:lvl>
    <w:lvl w:ilvl="1" w:tplc="624430F0" w:tentative="1">
      <w:start w:val="1"/>
      <w:numFmt w:val="lowerLetter"/>
      <w:lvlText w:val="%2."/>
      <w:lvlJc w:val="left"/>
      <w:pPr>
        <w:ind w:left="2852" w:hanging="360"/>
      </w:pPr>
    </w:lvl>
    <w:lvl w:ilvl="2" w:tplc="C8EE10A6" w:tentative="1">
      <w:start w:val="1"/>
      <w:numFmt w:val="lowerRoman"/>
      <w:lvlText w:val="%3."/>
      <w:lvlJc w:val="right"/>
      <w:pPr>
        <w:ind w:left="3572" w:hanging="180"/>
      </w:pPr>
    </w:lvl>
    <w:lvl w:ilvl="3" w:tplc="2138DE96" w:tentative="1">
      <w:start w:val="1"/>
      <w:numFmt w:val="decimal"/>
      <w:lvlText w:val="%4."/>
      <w:lvlJc w:val="left"/>
      <w:pPr>
        <w:ind w:left="4292" w:hanging="360"/>
      </w:pPr>
    </w:lvl>
    <w:lvl w:ilvl="4" w:tplc="AA923DAA" w:tentative="1">
      <w:start w:val="1"/>
      <w:numFmt w:val="lowerLetter"/>
      <w:lvlText w:val="%5."/>
      <w:lvlJc w:val="left"/>
      <w:pPr>
        <w:ind w:left="5012" w:hanging="360"/>
      </w:pPr>
    </w:lvl>
    <w:lvl w:ilvl="5" w:tplc="12A8348C" w:tentative="1">
      <w:start w:val="1"/>
      <w:numFmt w:val="lowerRoman"/>
      <w:lvlText w:val="%6."/>
      <w:lvlJc w:val="right"/>
      <w:pPr>
        <w:ind w:left="5732" w:hanging="180"/>
      </w:pPr>
    </w:lvl>
    <w:lvl w:ilvl="6" w:tplc="4C0A8F26" w:tentative="1">
      <w:start w:val="1"/>
      <w:numFmt w:val="decimal"/>
      <w:lvlText w:val="%7."/>
      <w:lvlJc w:val="left"/>
      <w:pPr>
        <w:ind w:left="6452" w:hanging="360"/>
      </w:pPr>
    </w:lvl>
    <w:lvl w:ilvl="7" w:tplc="41A6ED1E" w:tentative="1">
      <w:start w:val="1"/>
      <w:numFmt w:val="lowerLetter"/>
      <w:lvlText w:val="%8."/>
      <w:lvlJc w:val="left"/>
      <w:pPr>
        <w:ind w:left="7172" w:hanging="360"/>
      </w:pPr>
    </w:lvl>
    <w:lvl w:ilvl="8" w:tplc="5DDADFF2" w:tentative="1">
      <w:start w:val="1"/>
      <w:numFmt w:val="lowerRoman"/>
      <w:lvlText w:val="%9."/>
      <w:lvlJc w:val="right"/>
      <w:pPr>
        <w:ind w:left="7892" w:hanging="180"/>
      </w:pPr>
    </w:lvl>
  </w:abstractNum>
  <w:abstractNum w:abstractNumId="68" w15:restartNumberingAfterBreak="0">
    <w:nsid w:val="223C196C"/>
    <w:multiLevelType w:val="hybridMultilevel"/>
    <w:tmpl w:val="10F2617E"/>
    <w:name w:val="WW8Num82"/>
    <w:lvl w:ilvl="0" w:tplc="6DAE2B00">
      <w:start w:val="1"/>
      <w:numFmt w:val="decimal"/>
      <w:lvlText w:val="%1)"/>
      <w:lvlJc w:val="left"/>
      <w:pPr>
        <w:tabs>
          <w:tab w:val="num" w:pos="0"/>
        </w:tabs>
        <w:ind w:left="720" w:hanging="360"/>
      </w:pPr>
      <w:rPr>
        <w:rFonts w:cs="Times New Roman" w:hint="default"/>
      </w:rPr>
    </w:lvl>
    <w:lvl w:ilvl="1" w:tplc="FA9E1DB6" w:tentative="1">
      <w:start w:val="1"/>
      <w:numFmt w:val="lowerLetter"/>
      <w:lvlText w:val="%2."/>
      <w:lvlJc w:val="left"/>
      <w:pPr>
        <w:ind w:left="1440" w:hanging="360"/>
      </w:pPr>
    </w:lvl>
    <w:lvl w:ilvl="2" w:tplc="4B56A3D8" w:tentative="1">
      <w:start w:val="1"/>
      <w:numFmt w:val="lowerRoman"/>
      <w:lvlText w:val="%3."/>
      <w:lvlJc w:val="right"/>
      <w:pPr>
        <w:ind w:left="2160" w:hanging="180"/>
      </w:pPr>
    </w:lvl>
    <w:lvl w:ilvl="3" w:tplc="46CECB92" w:tentative="1">
      <w:start w:val="1"/>
      <w:numFmt w:val="decimal"/>
      <w:lvlText w:val="%4."/>
      <w:lvlJc w:val="left"/>
      <w:pPr>
        <w:ind w:left="2880" w:hanging="360"/>
      </w:pPr>
    </w:lvl>
    <w:lvl w:ilvl="4" w:tplc="3FEA52C4" w:tentative="1">
      <w:start w:val="1"/>
      <w:numFmt w:val="lowerLetter"/>
      <w:lvlText w:val="%5."/>
      <w:lvlJc w:val="left"/>
      <w:pPr>
        <w:ind w:left="3600" w:hanging="360"/>
      </w:pPr>
    </w:lvl>
    <w:lvl w:ilvl="5" w:tplc="81A410FE" w:tentative="1">
      <w:start w:val="1"/>
      <w:numFmt w:val="lowerRoman"/>
      <w:lvlText w:val="%6."/>
      <w:lvlJc w:val="right"/>
      <w:pPr>
        <w:ind w:left="4320" w:hanging="180"/>
      </w:pPr>
    </w:lvl>
    <w:lvl w:ilvl="6" w:tplc="2766BE24" w:tentative="1">
      <w:start w:val="1"/>
      <w:numFmt w:val="decimal"/>
      <w:lvlText w:val="%7."/>
      <w:lvlJc w:val="left"/>
      <w:pPr>
        <w:ind w:left="5040" w:hanging="360"/>
      </w:pPr>
    </w:lvl>
    <w:lvl w:ilvl="7" w:tplc="251626D6" w:tentative="1">
      <w:start w:val="1"/>
      <w:numFmt w:val="lowerLetter"/>
      <w:lvlText w:val="%8."/>
      <w:lvlJc w:val="left"/>
      <w:pPr>
        <w:ind w:left="5760" w:hanging="360"/>
      </w:pPr>
    </w:lvl>
    <w:lvl w:ilvl="8" w:tplc="62188F9A" w:tentative="1">
      <w:start w:val="1"/>
      <w:numFmt w:val="lowerRoman"/>
      <w:lvlText w:val="%9."/>
      <w:lvlJc w:val="right"/>
      <w:pPr>
        <w:ind w:left="6480" w:hanging="180"/>
      </w:pPr>
    </w:lvl>
  </w:abstractNum>
  <w:abstractNum w:abstractNumId="69" w15:restartNumberingAfterBreak="0">
    <w:nsid w:val="22E279C8"/>
    <w:multiLevelType w:val="hybridMultilevel"/>
    <w:tmpl w:val="679E82BC"/>
    <w:lvl w:ilvl="0" w:tplc="8B3A93FC">
      <w:start w:val="1"/>
      <w:numFmt w:val="decimal"/>
      <w:lvlText w:val="%1)"/>
      <w:lvlJc w:val="left"/>
      <w:pPr>
        <w:ind w:left="1080" w:hanging="360"/>
      </w:pPr>
      <w:rPr>
        <w:rFonts w:cs="Times New Roman"/>
      </w:rPr>
    </w:lvl>
    <w:lvl w:ilvl="1" w:tplc="CFF0DCC6" w:tentative="1">
      <w:start w:val="1"/>
      <w:numFmt w:val="lowerLetter"/>
      <w:lvlText w:val="%2."/>
      <w:lvlJc w:val="left"/>
      <w:pPr>
        <w:ind w:left="1800" w:hanging="360"/>
      </w:pPr>
      <w:rPr>
        <w:rFonts w:cs="Times New Roman"/>
      </w:rPr>
    </w:lvl>
    <w:lvl w:ilvl="2" w:tplc="38382946" w:tentative="1">
      <w:start w:val="1"/>
      <w:numFmt w:val="lowerRoman"/>
      <w:lvlText w:val="%3."/>
      <w:lvlJc w:val="right"/>
      <w:pPr>
        <w:ind w:left="2520" w:hanging="180"/>
      </w:pPr>
      <w:rPr>
        <w:rFonts w:cs="Times New Roman"/>
      </w:rPr>
    </w:lvl>
    <w:lvl w:ilvl="3" w:tplc="D41CCB32" w:tentative="1">
      <w:start w:val="1"/>
      <w:numFmt w:val="decimal"/>
      <w:lvlText w:val="%4."/>
      <w:lvlJc w:val="left"/>
      <w:pPr>
        <w:ind w:left="3240" w:hanging="360"/>
      </w:pPr>
      <w:rPr>
        <w:rFonts w:cs="Times New Roman"/>
      </w:rPr>
    </w:lvl>
    <w:lvl w:ilvl="4" w:tplc="F2C64AB6" w:tentative="1">
      <w:start w:val="1"/>
      <w:numFmt w:val="lowerLetter"/>
      <w:lvlText w:val="%5."/>
      <w:lvlJc w:val="left"/>
      <w:pPr>
        <w:ind w:left="3960" w:hanging="360"/>
      </w:pPr>
      <w:rPr>
        <w:rFonts w:cs="Times New Roman"/>
      </w:rPr>
    </w:lvl>
    <w:lvl w:ilvl="5" w:tplc="B7DCFC10" w:tentative="1">
      <w:start w:val="1"/>
      <w:numFmt w:val="lowerRoman"/>
      <w:lvlText w:val="%6."/>
      <w:lvlJc w:val="right"/>
      <w:pPr>
        <w:ind w:left="4680" w:hanging="180"/>
      </w:pPr>
      <w:rPr>
        <w:rFonts w:cs="Times New Roman"/>
      </w:rPr>
    </w:lvl>
    <w:lvl w:ilvl="6" w:tplc="A860DA08" w:tentative="1">
      <w:start w:val="1"/>
      <w:numFmt w:val="decimal"/>
      <w:lvlText w:val="%7."/>
      <w:lvlJc w:val="left"/>
      <w:pPr>
        <w:ind w:left="5400" w:hanging="360"/>
      </w:pPr>
      <w:rPr>
        <w:rFonts w:cs="Times New Roman"/>
      </w:rPr>
    </w:lvl>
    <w:lvl w:ilvl="7" w:tplc="110C43B0" w:tentative="1">
      <w:start w:val="1"/>
      <w:numFmt w:val="lowerLetter"/>
      <w:lvlText w:val="%8."/>
      <w:lvlJc w:val="left"/>
      <w:pPr>
        <w:ind w:left="6120" w:hanging="360"/>
      </w:pPr>
      <w:rPr>
        <w:rFonts w:cs="Times New Roman"/>
      </w:rPr>
    </w:lvl>
    <w:lvl w:ilvl="8" w:tplc="376C7A3C" w:tentative="1">
      <w:start w:val="1"/>
      <w:numFmt w:val="lowerRoman"/>
      <w:lvlText w:val="%9."/>
      <w:lvlJc w:val="right"/>
      <w:pPr>
        <w:ind w:left="6840" w:hanging="180"/>
      </w:pPr>
      <w:rPr>
        <w:rFonts w:cs="Times New Roman"/>
      </w:rPr>
    </w:lvl>
  </w:abstractNum>
  <w:abstractNum w:abstractNumId="70" w15:restartNumberingAfterBreak="0">
    <w:nsid w:val="23122489"/>
    <w:multiLevelType w:val="hybridMultilevel"/>
    <w:tmpl w:val="C9CC1802"/>
    <w:lvl w:ilvl="0" w:tplc="27983AD0">
      <w:start w:val="1"/>
      <w:numFmt w:val="decimal"/>
      <w:lvlText w:val="%1)"/>
      <w:lvlJc w:val="left"/>
      <w:pPr>
        <w:ind w:left="2880" w:hanging="360"/>
      </w:pPr>
    </w:lvl>
    <w:lvl w:ilvl="1" w:tplc="922417F8" w:tentative="1">
      <w:start w:val="1"/>
      <w:numFmt w:val="lowerLetter"/>
      <w:lvlText w:val="%2."/>
      <w:lvlJc w:val="left"/>
      <w:pPr>
        <w:ind w:left="3600" w:hanging="360"/>
      </w:pPr>
      <w:rPr>
        <w:rFonts w:cs="Times New Roman"/>
      </w:rPr>
    </w:lvl>
    <w:lvl w:ilvl="2" w:tplc="E538346A" w:tentative="1">
      <w:start w:val="1"/>
      <w:numFmt w:val="lowerRoman"/>
      <w:lvlText w:val="%3."/>
      <w:lvlJc w:val="right"/>
      <w:pPr>
        <w:ind w:left="4320" w:hanging="180"/>
      </w:pPr>
      <w:rPr>
        <w:rFonts w:cs="Times New Roman"/>
      </w:rPr>
    </w:lvl>
    <w:lvl w:ilvl="3" w:tplc="22CA116A" w:tentative="1">
      <w:start w:val="1"/>
      <w:numFmt w:val="decimal"/>
      <w:lvlText w:val="%4."/>
      <w:lvlJc w:val="left"/>
      <w:pPr>
        <w:ind w:left="5040" w:hanging="360"/>
      </w:pPr>
      <w:rPr>
        <w:rFonts w:cs="Times New Roman"/>
      </w:rPr>
    </w:lvl>
    <w:lvl w:ilvl="4" w:tplc="5E960202" w:tentative="1">
      <w:start w:val="1"/>
      <w:numFmt w:val="lowerLetter"/>
      <w:lvlText w:val="%5."/>
      <w:lvlJc w:val="left"/>
      <w:pPr>
        <w:ind w:left="5760" w:hanging="360"/>
      </w:pPr>
      <w:rPr>
        <w:rFonts w:cs="Times New Roman"/>
      </w:rPr>
    </w:lvl>
    <w:lvl w:ilvl="5" w:tplc="59EAE718" w:tentative="1">
      <w:start w:val="1"/>
      <w:numFmt w:val="lowerRoman"/>
      <w:lvlText w:val="%6."/>
      <w:lvlJc w:val="right"/>
      <w:pPr>
        <w:ind w:left="6480" w:hanging="180"/>
      </w:pPr>
      <w:rPr>
        <w:rFonts w:cs="Times New Roman"/>
      </w:rPr>
    </w:lvl>
    <w:lvl w:ilvl="6" w:tplc="306056AC" w:tentative="1">
      <w:start w:val="1"/>
      <w:numFmt w:val="decimal"/>
      <w:lvlText w:val="%7."/>
      <w:lvlJc w:val="left"/>
      <w:pPr>
        <w:ind w:left="7200" w:hanging="360"/>
      </w:pPr>
      <w:rPr>
        <w:rFonts w:cs="Times New Roman"/>
      </w:rPr>
    </w:lvl>
    <w:lvl w:ilvl="7" w:tplc="5D0883AC" w:tentative="1">
      <w:start w:val="1"/>
      <w:numFmt w:val="lowerLetter"/>
      <w:lvlText w:val="%8."/>
      <w:lvlJc w:val="left"/>
      <w:pPr>
        <w:ind w:left="7920" w:hanging="360"/>
      </w:pPr>
      <w:rPr>
        <w:rFonts w:cs="Times New Roman"/>
      </w:rPr>
    </w:lvl>
    <w:lvl w:ilvl="8" w:tplc="CC2677D8" w:tentative="1">
      <w:start w:val="1"/>
      <w:numFmt w:val="lowerRoman"/>
      <w:lvlText w:val="%9."/>
      <w:lvlJc w:val="right"/>
      <w:pPr>
        <w:ind w:left="8640" w:hanging="180"/>
      </w:pPr>
      <w:rPr>
        <w:rFonts w:cs="Times New Roman"/>
      </w:rPr>
    </w:lvl>
  </w:abstractNum>
  <w:abstractNum w:abstractNumId="71" w15:restartNumberingAfterBreak="0">
    <w:nsid w:val="2315259E"/>
    <w:multiLevelType w:val="multilevel"/>
    <w:tmpl w:val="9EE073F2"/>
    <w:lvl w:ilvl="0">
      <w:start w:val="1"/>
      <w:numFmt w:val="ordin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242D045C"/>
    <w:multiLevelType w:val="hybridMultilevel"/>
    <w:tmpl w:val="636ECC50"/>
    <w:lvl w:ilvl="0" w:tplc="401AB918">
      <w:start w:val="1"/>
      <w:numFmt w:val="decimal"/>
      <w:lvlText w:val="(%1)"/>
      <w:lvlJc w:val="left"/>
      <w:pPr>
        <w:ind w:left="720" w:hanging="360"/>
      </w:pPr>
      <w:rPr>
        <w:rFonts w:hint="default"/>
      </w:rPr>
    </w:lvl>
    <w:lvl w:ilvl="1" w:tplc="87E857BE" w:tentative="1">
      <w:start w:val="1"/>
      <w:numFmt w:val="lowerLetter"/>
      <w:lvlText w:val="%2."/>
      <w:lvlJc w:val="left"/>
      <w:pPr>
        <w:ind w:left="1440" w:hanging="360"/>
      </w:pPr>
    </w:lvl>
    <w:lvl w:ilvl="2" w:tplc="6F2081D2" w:tentative="1">
      <w:start w:val="1"/>
      <w:numFmt w:val="lowerRoman"/>
      <w:lvlText w:val="%3."/>
      <w:lvlJc w:val="right"/>
      <w:pPr>
        <w:ind w:left="2160" w:hanging="180"/>
      </w:pPr>
    </w:lvl>
    <w:lvl w:ilvl="3" w:tplc="E4589394" w:tentative="1">
      <w:start w:val="1"/>
      <w:numFmt w:val="decimal"/>
      <w:lvlText w:val="%4."/>
      <w:lvlJc w:val="left"/>
      <w:pPr>
        <w:ind w:left="2880" w:hanging="360"/>
      </w:pPr>
    </w:lvl>
    <w:lvl w:ilvl="4" w:tplc="1AC69442" w:tentative="1">
      <w:start w:val="1"/>
      <w:numFmt w:val="lowerLetter"/>
      <w:lvlText w:val="%5."/>
      <w:lvlJc w:val="left"/>
      <w:pPr>
        <w:ind w:left="3600" w:hanging="360"/>
      </w:pPr>
    </w:lvl>
    <w:lvl w:ilvl="5" w:tplc="26085A6E" w:tentative="1">
      <w:start w:val="1"/>
      <w:numFmt w:val="lowerRoman"/>
      <w:lvlText w:val="%6."/>
      <w:lvlJc w:val="right"/>
      <w:pPr>
        <w:ind w:left="4320" w:hanging="180"/>
      </w:pPr>
    </w:lvl>
    <w:lvl w:ilvl="6" w:tplc="82AEC74C" w:tentative="1">
      <w:start w:val="1"/>
      <w:numFmt w:val="decimal"/>
      <w:lvlText w:val="%7."/>
      <w:lvlJc w:val="left"/>
      <w:pPr>
        <w:ind w:left="5040" w:hanging="360"/>
      </w:pPr>
    </w:lvl>
    <w:lvl w:ilvl="7" w:tplc="63E47F7C" w:tentative="1">
      <w:start w:val="1"/>
      <w:numFmt w:val="lowerLetter"/>
      <w:lvlText w:val="%8."/>
      <w:lvlJc w:val="left"/>
      <w:pPr>
        <w:ind w:left="5760" w:hanging="360"/>
      </w:pPr>
    </w:lvl>
    <w:lvl w:ilvl="8" w:tplc="2752E374" w:tentative="1">
      <w:start w:val="1"/>
      <w:numFmt w:val="lowerRoman"/>
      <w:lvlText w:val="%9."/>
      <w:lvlJc w:val="right"/>
      <w:pPr>
        <w:ind w:left="6480" w:hanging="180"/>
      </w:pPr>
    </w:lvl>
  </w:abstractNum>
  <w:abstractNum w:abstractNumId="73" w15:restartNumberingAfterBreak="0">
    <w:nsid w:val="242D04AD"/>
    <w:multiLevelType w:val="hybridMultilevel"/>
    <w:tmpl w:val="707480EC"/>
    <w:lvl w:ilvl="0" w:tplc="C932024E">
      <w:start w:val="1"/>
      <w:numFmt w:val="lowerLetter"/>
      <w:lvlText w:val="%1)"/>
      <w:lvlJc w:val="left"/>
      <w:pPr>
        <w:ind w:left="360" w:hanging="360"/>
      </w:pPr>
      <w:rPr>
        <w:rFonts w:cs="Times New Roman"/>
      </w:rPr>
    </w:lvl>
    <w:lvl w:ilvl="1" w:tplc="A39E7768" w:tentative="1">
      <w:start w:val="1"/>
      <w:numFmt w:val="lowerLetter"/>
      <w:lvlText w:val="%2."/>
      <w:lvlJc w:val="left"/>
      <w:pPr>
        <w:ind w:left="1080" w:hanging="360"/>
      </w:pPr>
    </w:lvl>
    <w:lvl w:ilvl="2" w:tplc="3A1CB16C" w:tentative="1">
      <w:start w:val="1"/>
      <w:numFmt w:val="lowerRoman"/>
      <w:lvlText w:val="%3."/>
      <w:lvlJc w:val="right"/>
      <w:pPr>
        <w:ind w:left="1800" w:hanging="180"/>
      </w:pPr>
    </w:lvl>
    <w:lvl w:ilvl="3" w:tplc="13D654B6" w:tentative="1">
      <w:start w:val="1"/>
      <w:numFmt w:val="decimal"/>
      <w:lvlText w:val="%4."/>
      <w:lvlJc w:val="left"/>
      <w:pPr>
        <w:ind w:left="2520" w:hanging="360"/>
      </w:pPr>
    </w:lvl>
    <w:lvl w:ilvl="4" w:tplc="1A42C5D2" w:tentative="1">
      <w:start w:val="1"/>
      <w:numFmt w:val="lowerLetter"/>
      <w:lvlText w:val="%5."/>
      <w:lvlJc w:val="left"/>
      <w:pPr>
        <w:ind w:left="3240" w:hanging="360"/>
      </w:pPr>
    </w:lvl>
    <w:lvl w:ilvl="5" w:tplc="A4C46C80" w:tentative="1">
      <w:start w:val="1"/>
      <w:numFmt w:val="lowerRoman"/>
      <w:lvlText w:val="%6."/>
      <w:lvlJc w:val="right"/>
      <w:pPr>
        <w:ind w:left="3960" w:hanging="180"/>
      </w:pPr>
    </w:lvl>
    <w:lvl w:ilvl="6" w:tplc="F3E8BA72" w:tentative="1">
      <w:start w:val="1"/>
      <w:numFmt w:val="decimal"/>
      <w:lvlText w:val="%7."/>
      <w:lvlJc w:val="left"/>
      <w:pPr>
        <w:ind w:left="4680" w:hanging="360"/>
      </w:pPr>
    </w:lvl>
    <w:lvl w:ilvl="7" w:tplc="1ED42D76" w:tentative="1">
      <w:start w:val="1"/>
      <w:numFmt w:val="lowerLetter"/>
      <w:lvlText w:val="%8."/>
      <w:lvlJc w:val="left"/>
      <w:pPr>
        <w:ind w:left="5400" w:hanging="360"/>
      </w:pPr>
    </w:lvl>
    <w:lvl w:ilvl="8" w:tplc="6A0CC35E" w:tentative="1">
      <w:start w:val="1"/>
      <w:numFmt w:val="lowerRoman"/>
      <w:lvlText w:val="%9."/>
      <w:lvlJc w:val="right"/>
      <w:pPr>
        <w:ind w:left="6120" w:hanging="180"/>
      </w:pPr>
    </w:lvl>
  </w:abstractNum>
  <w:abstractNum w:abstractNumId="74" w15:restartNumberingAfterBreak="0">
    <w:nsid w:val="24FF1262"/>
    <w:multiLevelType w:val="hybridMultilevel"/>
    <w:tmpl w:val="C9987670"/>
    <w:name w:val="WW8Num92"/>
    <w:lvl w:ilvl="0" w:tplc="B6960A54">
      <w:start w:val="1"/>
      <w:numFmt w:val="decimal"/>
      <w:lvlText w:val="%1)"/>
      <w:lvlJc w:val="left"/>
      <w:pPr>
        <w:ind w:left="720" w:hanging="360"/>
      </w:pPr>
      <w:rPr>
        <w:rFonts w:ascii="Times New Roman" w:hAnsi="Times New Roman" w:cs="Times New Roman" w:hint="default"/>
        <w:b/>
        <w:i w:val="0"/>
        <w:caps w:val="0"/>
        <w:strike w:val="0"/>
        <w:dstrike w:val="0"/>
        <w:vanish w:val="0"/>
        <w:sz w:val="22"/>
        <w:vertAlign w:val="baseline"/>
      </w:rPr>
    </w:lvl>
    <w:lvl w:ilvl="1" w:tplc="A1D2782A" w:tentative="1">
      <w:start w:val="1"/>
      <w:numFmt w:val="lowerLetter"/>
      <w:lvlText w:val="%2."/>
      <w:lvlJc w:val="left"/>
      <w:pPr>
        <w:ind w:left="1440" w:hanging="360"/>
      </w:pPr>
    </w:lvl>
    <w:lvl w:ilvl="2" w:tplc="599AF07C" w:tentative="1">
      <w:start w:val="1"/>
      <w:numFmt w:val="lowerRoman"/>
      <w:lvlText w:val="%3."/>
      <w:lvlJc w:val="right"/>
      <w:pPr>
        <w:ind w:left="2160" w:hanging="180"/>
      </w:pPr>
    </w:lvl>
    <w:lvl w:ilvl="3" w:tplc="84F4F354" w:tentative="1">
      <w:start w:val="1"/>
      <w:numFmt w:val="decimal"/>
      <w:lvlText w:val="%4."/>
      <w:lvlJc w:val="left"/>
      <w:pPr>
        <w:ind w:left="2880" w:hanging="360"/>
      </w:pPr>
    </w:lvl>
    <w:lvl w:ilvl="4" w:tplc="6A9EA0B2" w:tentative="1">
      <w:start w:val="1"/>
      <w:numFmt w:val="lowerLetter"/>
      <w:lvlText w:val="%5."/>
      <w:lvlJc w:val="left"/>
      <w:pPr>
        <w:ind w:left="3600" w:hanging="360"/>
      </w:pPr>
    </w:lvl>
    <w:lvl w:ilvl="5" w:tplc="3A3A1F6E" w:tentative="1">
      <w:start w:val="1"/>
      <w:numFmt w:val="lowerRoman"/>
      <w:lvlText w:val="%6."/>
      <w:lvlJc w:val="right"/>
      <w:pPr>
        <w:ind w:left="4320" w:hanging="180"/>
      </w:pPr>
    </w:lvl>
    <w:lvl w:ilvl="6" w:tplc="1E3892B2" w:tentative="1">
      <w:start w:val="1"/>
      <w:numFmt w:val="decimal"/>
      <w:lvlText w:val="%7."/>
      <w:lvlJc w:val="left"/>
      <w:pPr>
        <w:ind w:left="5040" w:hanging="360"/>
      </w:pPr>
    </w:lvl>
    <w:lvl w:ilvl="7" w:tplc="3C166D0A" w:tentative="1">
      <w:start w:val="1"/>
      <w:numFmt w:val="lowerLetter"/>
      <w:lvlText w:val="%8."/>
      <w:lvlJc w:val="left"/>
      <w:pPr>
        <w:ind w:left="5760" w:hanging="360"/>
      </w:pPr>
    </w:lvl>
    <w:lvl w:ilvl="8" w:tplc="9C4E01B4" w:tentative="1">
      <w:start w:val="1"/>
      <w:numFmt w:val="lowerRoman"/>
      <w:lvlText w:val="%9."/>
      <w:lvlJc w:val="right"/>
      <w:pPr>
        <w:ind w:left="6480" w:hanging="180"/>
      </w:pPr>
    </w:lvl>
  </w:abstractNum>
  <w:abstractNum w:abstractNumId="75" w15:restartNumberingAfterBreak="0">
    <w:nsid w:val="25C93D3D"/>
    <w:multiLevelType w:val="hybridMultilevel"/>
    <w:tmpl w:val="1C9A9FD8"/>
    <w:name w:val="WW8Num372"/>
    <w:lvl w:ilvl="0" w:tplc="E072F4F2">
      <w:start w:val="1"/>
      <w:numFmt w:val="decimal"/>
      <w:lvlText w:val="%1)"/>
      <w:lvlJc w:val="left"/>
      <w:pPr>
        <w:tabs>
          <w:tab w:val="num" w:pos="0"/>
        </w:tabs>
        <w:ind w:left="720" w:hanging="360"/>
      </w:pPr>
      <w:rPr>
        <w:rFonts w:cs="Times New Roman" w:hint="default"/>
      </w:rPr>
    </w:lvl>
    <w:lvl w:ilvl="1" w:tplc="AD7041D0" w:tentative="1">
      <w:start w:val="1"/>
      <w:numFmt w:val="lowerLetter"/>
      <w:lvlText w:val="%2."/>
      <w:lvlJc w:val="left"/>
      <w:pPr>
        <w:ind w:left="1440" w:hanging="360"/>
      </w:pPr>
    </w:lvl>
    <w:lvl w:ilvl="2" w:tplc="442CAD90" w:tentative="1">
      <w:start w:val="1"/>
      <w:numFmt w:val="lowerRoman"/>
      <w:lvlText w:val="%3."/>
      <w:lvlJc w:val="right"/>
      <w:pPr>
        <w:ind w:left="2160" w:hanging="180"/>
      </w:pPr>
    </w:lvl>
    <w:lvl w:ilvl="3" w:tplc="F6385EF2" w:tentative="1">
      <w:start w:val="1"/>
      <w:numFmt w:val="decimal"/>
      <w:lvlText w:val="%4."/>
      <w:lvlJc w:val="left"/>
      <w:pPr>
        <w:ind w:left="2880" w:hanging="360"/>
      </w:pPr>
    </w:lvl>
    <w:lvl w:ilvl="4" w:tplc="E1CE4ABA" w:tentative="1">
      <w:start w:val="1"/>
      <w:numFmt w:val="lowerLetter"/>
      <w:lvlText w:val="%5."/>
      <w:lvlJc w:val="left"/>
      <w:pPr>
        <w:ind w:left="3600" w:hanging="360"/>
      </w:pPr>
    </w:lvl>
    <w:lvl w:ilvl="5" w:tplc="5A909B1E" w:tentative="1">
      <w:start w:val="1"/>
      <w:numFmt w:val="lowerRoman"/>
      <w:lvlText w:val="%6."/>
      <w:lvlJc w:val="right"/>
      <w:pPr>
        <w:ind w:left="4320" w:hanging="180"/>
      </w:pPr>
    </w:lvl>
    <w:lvl w:ilvl="6" w:tplc="3F540EDE" w:tentative="1">
      <w:start w:val="1"/>
      <w:numFmt w:val="decimal"/>
      <w:lvlText w:val="%7."/>
      <w:lvlJc w:val="left"/>
      <w:pPr>
        <w:ind w:left="5040" w:hanging="360"/>
      </w:pPr>
    </w:lvl>
    <w:lvl w:ilvl="7" w:tplc="B8006F86" w:tentative="1">
      <w:start w:val="1"/>
      <w:numFmt w:val="lowerLetter"/>
      <w:lvlText w:val="%8."/>
      <w:lvlJc w:val="left"/>
      <w:pPr>
        <w:ind w:left="5760" w:hanging="360"/>
      </w:pPr>
    </w:lvl>
    <w:lvl w:ilvl="8" w:tplc="EC16A2F2" w:tentative="1">
      <w:start w:val="1"/>
      <w:numFmt w:val="lowerRoman"/>
      <w:lvlText w:val="%9."/>
      <w:lvlJc w:val="right"/>
      <w:pPr>
        <w:ind w:left="6480" w:hanging="180"/>
      </w:pPr>
    </w:lvl>
  </w:abstractNum>
  <w:abstractNum w:abstractNumId="76" w15:restartNumberingAfterBreak="0">
    <w:nsid w:val="25E7432E"/>
    <w:multiLevelType w:val="multilevel"/>
    <w:tmpl w:val="AFB8D362"/>
    <w:lvl w:ilvl="0">
      <w:start w:val="1"/>
      <w:numFmt w:val="lowerLetter"/>
      <w:lvlText w:val="%1)"/>
      <w:lvlJc w:val="left"/>
      <w:pPr>
        <w:ind w:left="0" w:firstLine="0"/>
      </w:pPr>
      <w:rPr>
        <w:rFonts w:hint="default"/>
      </w:rPr>
    </w:lvl>
    <w:lvl w:ilvl="1">
      <w:start w:val="1"/>
      <w:numFmt w:val="bullet"/>
      <w:lvlText w:val="o"/>
      <w:lvlJc w:val="left"/>
      <w:pPr>
        <w:ind w:left="735" w:hanging="360"/>
      </w:pPr>
      <w:rPr>
        <w:rFonts w:ascii="Symbol" w:eastAsia="Symbol" w:hAnsi="Symbol" w:cs="Symbol" w:hint="default"/>
      </w:rPr>
    </w:lvl>
    <w:lvl w:ilvl="2">
      <w:start w:val="1"/>
      <w:numFmt w:val="bullet"/>
      <w:lvlText w:val="▪"/>
      <w:lvlJc w:val="left"/>
      <w:pPr>
        <w:ind w:left="1455" w:hanging="360"/>
      </w:pPr>
      <w:rPr>
        <w:rFonts w:ascii="Symbol" w:eastAsia="Symbol" w:hAnsi="Symbol" w:cs="Symbol" w:hint="default"/>
      </w:rPr>
    </w:lvl>
    <w:lvl w:ilvl="3">
      <w:start w:val="1"/>
      <w:numFmt w:val="bullet"/>
      <w:lvlText w:val="•"/>
      <w:lvlJc w:val="left"/>
      <w:pPr>
        <w:ind w:left="2175" w:hanging="360"/>
      </w:pPr>
      <w:rPr>
        <w:rFonts w:ascii="Symbol" w:eastAsia="Symbol" w:hAnsi="Symbol" w:cs="Symbol" w:hint="default"/>
      </w:rPr>
    </w:lvl>
    <w:lvl w:ilvl="4">
      <w:start w:val="1"/>
      <w:numFmt w:val="bullet"/>
      <w:lvlText w:val="o"/>
      <w:lvlJc w:val="left"/>
      <w:pPr>
        <w:ind w:left="2895" w:hanging="360"/>
      </w:pPr>
      <w:rPr>
        <w:rFonts w:ascii="Symbol" w:eastAsia="Symbol" w:hAnsi="Symbol" w:cs="Symbol" w:hint="default"/>
      </w:rPr>
    </w:lvl>
    <w:lvl w:ilvl="5">
      <w:start w:val="1"/>
      <w:numFmt w:val="bullet"/>
      <w:lvlText w:val="▪"/>
      <w:lvlJc w:val="left"/>
      <w:pPr>
        <w:ind w:left="3615" w:hanging="360"/>
      </w:pPr>
      <w:rPr>
        <w:rFonts w:ascii="Symbol" w:eastAsia="Symbol" w:hAnsi="Symbol" w:cs="Symbol" w:hint="default"/>
      </w:rPr>
    </w:lvl>
    <w:lvl w:ilvl="6">
      <w:start w:val="1"/>
      <w:numFmt w:val="bullet"/>
      <w:lvlText w:val="•"/>
      <w:lvlJc w:val="left"/>
      <w:pPr>
        <w:ind w:left="4335" w:hanging="360"/>
      </w:pPr>
      <w:rPr>
        <w:rFonts w:ascii="Symbol" w:eastAsia="Symbol" w:hAnsi="Symbol" w:cs="Symbol" w:hint="default"/>
      </w:rPr>
    </w:lvl>
    <w:lvl w:ilvl="7">
      <w:start w:val="1"/>
      <w:numFmt w:val="bullet"/>
      <w:lvlText w:val="o"/>
      <w:lvlJc w:val="left"/>
      <w:pPr>
        <w:ind w:left="5055" w:hanging="360"/>
      </w:pPr>
      <w:rPr>
        <w:rFonts w:ascii="Symbol" w:eastAsia="Symbol" w:hAnsi="Symbol" w:cs="Symbol" w:hint="default"/>
      </w:rPr>
    </w:lvl>
    <w:lvl w:ilvl="8">
      <w:start w:val="1"/>
      <w:numFmt w:val="bullet"/>
      <w:lvlText w:val="▪"/>
      <w:lvlJc w:val="left"/>
      <w:pPr>
        <w:ind w:left="5775" w:hanging="360"/>
      </w:pPr>
      <w:rPr>
        <w:rFonts w:ascii="Symbol" w:eastAsia="Symbol" w:hAnsi="Symbol" w:cs="Symbol" w:hint="default"/>
      </w:rPr>
    </w:lvl>
  </w:abstractNum>
  <w:abstractNum w:abstractNumId="77" w15:restartNumberingAfterBreak="0">
    <w:nsid w:val="25E86186"/>
    <w:multiLevelType w:val="multilevel"/>
    <w:tmpl w:val="D5305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8" w15:restartNumberingAfterBreak="0">
    <w:nsid w:val="260002AA"/>
    <w:multiLevelType w:val="multilevel"/>
    <w:tmpl w:val="B4CA2B74"/>
    <w:lvl w:ilvl="0">
      <w:start w:val="1"/>
      <w:numFmt w:val="decimal"/>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79" w15:restartNumberingAfterBreak="0">
    <w:nsid w:val="266A57CE"/>
    <w:multiLevelType w:val="hybridMultilevel"/>
    <w:tmpl w:val="8376B520"/>
    <w:lvl w:ilvl="0" w:tplc="EE62C7AC">
      <w:start w:val="1"/>
      <w:numFmt w:val="lowerLetter"/>
      <w:lvlText w:val="%1)"/>
      <w:lvlJc w:val="left"/>
      <w:pPr>
        <w:ind w:left="1146" w:hanging="360"/>
      </w:pPr>
      <w:rPr>
        <w:rFonts w:hint="default"/>
        <w:b/>
        <w:i w:val="0"/>
      </w:rPr>
    </w:lvl>
    <w:lvl w:ilvl="1" w:tplc="BE36CBB2" w:tentative="1">
      <w:start w:val="1"/>
      <w:numFmt w:val="lowerLetter"/>
      <w:lvlText w:val="%2."/>
      <w:lvlJc w:val="left"/>
      <w:pPr>
        <w:ind w:left="1866" w:hanging="360"/>
      </w:pPr>
    </w:lvl>
    <w:lvl w:ilvl="2" w:tplc="0D3E7018" w:tentative="1">
      <w:start w:val="1"/>
      <w:numFmt w:val="lowerRoman"/>
      <w:lvlText w:val="%3."/>
      <w:lvlJc w:val="right"/>
      <w:pPr>
        <w:ind w:left="2586" w:hanging="180"/>
      </w:pPr>
    </w:lvl>
    <w:lvl w:ilvl="3" w:tplc="AE603112" w:tentative="1">
      <w:start w:val="1"/>
      <w:numFmt w:val="decimal"/>
      <w:lvlText w:val="%4."/>
      <w:lvlJc w:val="left"/>
      <w:pPr>
        <w:ind w:left="3306" w:hanging="360"/>
      </w:pPr>
    </w:lvl>
    <w:lvl w:ilvl="4" w:tplc="F0E8B508" w:tentative="1">
      <w:start w:val="1"/>
      <w:numFmt w:val="lowerLetter"/>
      <w:lvlText w:val="%5."/>
      <w:lvlJc w:val="left"/>
      <w:pPr>
        <w:ind w:left="4026" w:hanging="360"/>
      </w:pPr>
    </w:lvl>
    <w:lvl w:ilvl="5" w:tplc="9110904E" w:tentative="1">
      <w:start w:val="1"/>
      <w:numFmt w:val="lowerRoman"/>
      <w:lvlText w:val="%6."/>
      <w:lvlJc w:val="right"/>
      <w:pPr>
        <w:ind w:left="4746" w:hanging="180"/>
      </w:pPr>
    </w:lvl>
    <w:lvl w:ilvl="6" w:tplc="A20AC34A" w:tentative="1">
      <w:start w:val="1"/>
      <w:numFmt w:val="decimal"/>
      <w:lvlText w:val="%7."/>
      <w:lvlJc w:val="left"/>
      <w:pPr>
        <w:ind w:left="5466" w:hanging="360"/>
      </w:pPr>
    </w:lvl>
    <w:lvl w:ilvl="7" w:tplc="7608AAA8" w:tentative="1">
      <w:start w:val="1"/>
      <w:numFmt w:val="lowerLetter"/>
      <w:lvlText w:val="%8."/>
      <w:lvlJc w:val="left"/>
      <w:pPr>
        <w:ind w:left="6186" w:hanging="360"/>
      </w:pPr>
    </w:lvl>
    <w:lvl w:ilvl="8" w:tplc="95C65A00" w:tentative="1">
      <w:start w:val="1"/>
      <w:numFmt w:val="lowerRoman"/>
      <w:lvlText w:val="%9."/>
      <w:lvlJc w:val="right"/>
      <w:pPr>
        <w:ind w:left="6906" w:hanging="180"/>
      </w:pPr>
    </w:lvl>
  </w:abstractNum>
  <w:abstractNum w:abstractNumId="80" w15:restartNumberingAfterBreak="0">
    <w:nsid w:val="26B76CDD"/>
    <w:multiLevelType w:val="hybridMultilevel"/>
    <w:tmpl w:val="ECC628DC"/>
    <w:lvl w:ilvl="0" w:tplc="99E6AD2E">
      <w:start w:val="1"/>
      <w:numFmt w:val="lowerLetter"/>
      <w:lvlText w:val="%1)"/>
      <w:lvlJc w:val="left"/>
      <w:pPr>
        <w:ind w:left="720" w:hanging="360"/>
      </w:pPr>
    </w:lvl>
    <w:lvl w:ilvl="1" w:tplc="6D9C8076" w:tentative="1">
      <w:start w:val="1"/>
      <w:numFmt w:val="lowerLetter"/>
      <w:lvlText w:val="%2."/>
      <w:lvlJc w:val="left"/>
      <w:pPr>
        <w:ind w:left="1440" w:hanging="360"/>
      </w:pPr>
    </w:lvl>
    <w:lvl w:ilvl="2" w:tplc="A0DC9F68" w:tentative="1">
      <w:start w:val="1"/>
      <w:numFmt w:val="lowerRoman"/>
      <w:lvlText w:val="%3."/>
      <w:lvlJc w:val="right"/>
      <w:pPr>
        <w:ind w:left="2160" w:hanging="180"/>
      </w:pPr>
    </w:lvl>
    <w:lvl w:ilvl="3" w:tplc="F2C29624" w:tentative="1">
      <w:start w:val="1"/>
      <w:numFmt w:val="decimal"/>
      <w:lvlText w:val="%4."/>
      <w:lvlJc w:val="left"/>
      <w:pPr>
        <w:ind w:left="2880" w:hanging="360"/>
      </w:pPr>
    </w:lvl>
    <w:lvl w:ilvl="4" w:tplc="65D06D28" w:tentative="1">
      <w:start w:val="1"/>
      <w:numFmt w:val="lowerLetter"/>
      <w:lvlText w:val="%5."/>
      <w:lvlJc w:val="left"/>
      <w:pPr>
        <w:ind w:left="3600" w:hanging="360"/>
      </w:pPr>
    </w:lvl>
    <w:lvl w:ilvl="5" w:tplc="0A2C7D4C" w:tentative="1">
      <w:start w:val="1"/>
      <w:numFmt w:val="lowerRoman"/>
      <w:lvlText w:val="%6."/>
      <w:lvlJc w:val="right"/>
      <w:pPr>
        <w:ind w:left="4320" w:hanging="180"/>
      </w:pPr>
    </w:lvl>
    <w:lvl w:ilvl="6" w:tplc="423AFFEC" w:tentative="1">
      <w:start w:val="1"/>
      <w:numFmt w:val="decimal"/>
      <w:lvlText w:val="%7."/>
      <w:lvlJc w:val="left"/>
      <w:pPr>
        <w:ind w:left="5040" w:hanging="360"/>
      </w:pPr>
    </w:lvl>
    <w:lvl w:ilvl="7" w:tplc="AFFA8C42" w:tentative="1">
      <w:start w:val="1"/>
      <w:numFmt w:val="lowerLetter"/>
      <w:lvlText w:val="%8."/>
      <w:lvlJc w:val="left"/>
      <w:pPr>
        <w:ind w:left="5760" w:hanging="360"/>
      </w:pPr>
    </w:lvl>
    <w:lvl w:ilvl="8" w:tplc="5E9AAE48" w:tentative="1">
      <w:start w:val="1"/>
      <w:numFmt w:val="lowerRoman"/>
      <w:lvlText w:val="%9."/>
      <w:lvlJc w:val="right"/>
      <w:pPr>
        <w:ind w:left="6480" w:hanging="180"/>
      </w:pPr>
    </w:lvl>
  </w:abstractNum>
  <w:abstractNum w:abstractNumId="81" w15:restartNumberingAfterBreak="0">
    <w:nsid w:val="27C14C22"/>
    <w:multiLevelType w:val="multilevel"/>
    <w:tmpl w:val="F74481C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2" w15:restartNumberingAfterBreak="0">
    <w:nsid w:val="28655404"/>
    <w:multiLevelType w:val="multilevel"/>
    <w:tmpl w:val="D652BE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8B72B3C"/>
    <w:multiLevelType w:val="multilevel"/>
    <w:tmpl w:val="AA1806FC"/>
    <w:lvl w:ilvl="0">
      <w:start w:val="1"/>
      <w:numFmt w:val="bullet"/>
      <w:lvlText w:val="·"/>
      <w:lvlJc w:val="left"/>
      <w:pPr>
        <w:ind w:left="709" w:hanging="360"/>
      </w:pPr>
      <w:rPr>
        <w:rFonts w:ascii="Symbol" w:eastAsia="Symbol" w:hAnsi="Symbol" w:cs="Symbol"/>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84" w15:restartNumberingAfterBreak="0">
    <w:nsid w:val="2A0B2981"/>
    <w:multiLevelType w:val="multilevel"/>
    <w:tmpl w:val="EBDE52D4"/>
    <w:lvl w:ilvl="0">
      <w:start w:val="1"/>
      <w:numFmt w:val="decimal"/>
      <w:lvlText w:val="%1)"/>
      <w:lvlJc w:val="center"/>
      <w:pPr>
        <w:ind w:left="2337" w:hanging="360"/>
      </w:pPr>
      <w:rPr>
        <w:rFonts w:ascii="Arial" w:hAnsi="Arial" w:cs="Times New Roman" w:hint="default"/>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B202E5E"/>
    <w:multiLevelType w:val="hybridMultilevel"/>
    <w:tmpl w:val="06786BD6"/>
    <w:name w:val="WW8Num63222222"/>
    <w:lvl w:ilvl="0" w:tplc="7188D5D4">
      <w:start w:val="1"/>
      <w:numFmt w:val="decimal"/>
      <w:lvlText w:val="%1)"/>
      <w:lvlJc w:val="left"/>
      <w:pPr>
        <w:ind w:left="720" w:hanging="360"/>
      </w:pPr>
    </w:lvl>
    <w:lvl w:ilvl="1" w:tplc="D9682422" w:tentative="1">
      <w:start w:val="1"/>
      <w:numFmt w:val="lowerLetter"/>
      <w:lvlText w:val="%2."/>
      <w:lvlJc w:val="left"/>
      <w:pPr>
        <w:ind w:left="1440" w:hanging="360"/>
      </w:pPr>
    </w:lvl>
    <w:lvl w:ilvl="2" w:tplc="B8A67108" w:tentative="1">
      <w:start w:val="1"/>
      <w:numFmt w:val="lowerRoman"/>
      <w:lvlText w:val="%3."/>
      <w:lvlJc w:val="right"/>
      <w:pPr>
        <w:ind w:left="2160" w:hanging="180"/>
      </w:pPr>
    </w:lvl>
    <w:lvl w:ilvl="3" w:tplc="C41AA31E" w:tentative="1">
      <w:start w:val="1"/>
      <w:numFmt w:val="decimal"/>
      <w:lvlText w:val="%4."/>
      <w:lvlJc w:val="left"/>
      <w:pPr>
        <w:ind w:left="2880" w:hanging="360"/>
      </w:pPr>
    </w:lvl>
    <w:lvl w:ilvl="4" w:tplc="20723ED6" w:tentative="1">
      <w:start w:val="1"/>
      <w:numFmt w:val="lowerLetter"/>
      <w:lvlText w:val="%5."/>
      <w:lvlJc w:val="left"/>
      <w:pPr>
        <w:ind w:left="3600" w:hanging="360"/>
      </w:pPr>
    </w:lvl>
    <w:lvl w:ilvl="5" w:tplc="1180C946" w:tentative="1">
      <w:start w:val="1"/>
      <w:numFmt w:val="lowerRoman"/>
      <w:lvlText w:val="%6."/>
      <w:lvlJc w:val="right"/>
      <w:pPr>
        <w:ind w:left="4320" w:hanging="180"/>
      </w:pPr>
    </w:lvl>
    <w:lvl w:ilvl="6" w:tplc="3E186B1E" w:tentative="1">
      <w:start w:val="1"/>
      <w:numFmt w:val="decimal"/>
      <w:lvlText w:val="%7."/>
      <w:lvlJc w:val="left"/>
      <w:pPr>
        <w:ind w:left="5040" w:hanging="360"/>
      </w:pPr>
    </w:lvl>
    <w:lvl w:ilvl="7" w:tplc="CD2CA3FE" w:tentative="1">
      <w:start w:val="1"/>
      <w:numFmt w:val="lowerLetter"/>
      <w:lvlText w:val="%8."/>
      <w:lvlJc w:val="left"/>
      <w:pPr>
        <w:ind w:left="5760" w:hanging="360"/>
      </w:pPr>
    </w:lvl>
    <w:lvl w:ilvl="8" w:tplc="B23C51EC" w:tentative="1">
      <w:start w:val="1"/>
      <w:numFmt w:val="lowerRoman"/>
      <w:lvlText w:val="%9."/>
      <w:lvlJc w:val="right"/>
      <w:pPr>
        <w:ind w:left="6480" w:hanging="180"/>
      </w:pPr>
    </w:lvl>
  </w:abstractNum>
  <w:abstractNum w:abstractNumId="86" w15:restartNumberingAfterBreak="0">
    <w:nsid w:val="2C113310"/>
    <w:multiLevelType w:val="multilevel"/>
    <w:tmpl w:val="36C69700"/>
    <w:lvl w:ilvl="0">
      <w:start w:val="1"/>
      <w:numFmt w:val="bullet"/>
      <w:lvlText w:val="·"/>
      <w:lvlJc w:val="left"/>
      <w:pPr>
        <w:ind w:left="709" w:hanging="360"/>
      </w:pPr>
      <w:rPr>
        <w:rFonts w:ascii="Symbol" w:eastAsia="Symbol" w:hAnsi="Symbol" w:cs="Symbol"/>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87" w15:restartNumberingAfterBreak="0">
    <w:nsid w:val="2D1A6D2B"/>
    <w:multiLevelType w:val="hybridMultilevel"/>
    <w:tmpl w:val="B5228BC6"/>
    <w:lvl w:ilvl="0" w:tplc="0B8E96D4">
      <w:start w:val="1"/>
      <w:numFmt w:val="decimal"/>
      <w:lvlText w:val="%1)"/>
      <w:lvlJc w:val="left"/>
      <w:pPr>
        <w:ind w:left="2880" w:hanging="360"/>
      </w:pPr>
      <w:rPr>
        <w:rFonts w:cs="Times New Roman"/>
      </w:rPr>
    </w:lvl>
    <w:lvl w:ilvl="1" w:tplc="AA54077A" w:tentative="1">
      <w:start w:val="1"/>
      <w:numFmt w:val="lowerLetter"/>
      <w:lvlText w:val="%2."/>
      <w:lvlJc w:val="left"/>
      <w:pPr>
        <w:ind w:left="3600" w:hanging="360"/>
      </w:pPr>
      <w:rPr>
        <w:rFonts w:cs="Times New Roman"/>
      </w:rPr>
    </w:lvl>
    <w:lvl w:ilvl="2" w:tplc="41003050" w:tentative="1">
      <w:start w:val="1"/>
      <w:numFmt w:val="lowerRoman"/>
      <w:lvlText w:val="%3."/>
      <w:lvlJc w:val="right"/>
      <w:pPr>
        <w:ind w:left="4320" w:hanging="180"/>
      </w:pPr>
      <w:rPr>
        <w:rFonts w:cs="Times New Roman"/>
      </w:rPr>
    </w:lvl>
    <w:lvl w:ilvl="3" w:tplc="C2A48168" w:tentative="1">
      <w:start w:val="1"/>
      <w:numFmt w:val="decimal"/>
      <w:lvlText w:val="%4."/>
      <w:lvlJc w:val="left"/>
      <w:pPr>
        <w:ind w:left="5040" w:hanging="360"/>
      </w:pPr>
      <w:rPr>
        <w:rFonts w:cs="Times New Roman"/>
      </w:rPr>
    </w:lvl>
    <w:lvl w:ilvl="4" w:tplc="D4288936" w:tentative="1">
      <w:start w:val="1"/>
      <w:numFmt w:val="lowerLetter"/>
      <w:lvlText w:val="%5."/>
      <w:lvlJc w:val="left"/>
      <w:pPr>
        <w:ind w:left="5760" w:hanging="360"/>
      </w:pPr>
      <w:rPr>
        <w:rFonts w:cs="Times New Roman"/>
      </w:rPr>
    </w:lvl>
    <w:lvl w:ilvl="5" w:tplc="43989558" w:tentative="1">
      <w:start w:val="1"/>
      <w:numFmt w:val="lowerRoman"/>
      <w:lvlText w:val="%6."/>
      <w:lvlJc w:val="right"/>
      <w:pPr>
        <w:ind w:left="6480" w:hanging="180"/>
      </w:pPr>
      <w:rPr>
        <w:rFonts w:cs="Times New Roman"/>
      </w:rPr>
    </w:lvl>
    <w:lvl w:ilvl="6" w:tplc="E3000066" w:tentative="1">
      <w:start w:val="1"/>
      <w:numFmt w:val="decimal"/>
      <w:lvlText w:val="%7."/>
      <w:lvlJc w:val="left"/>
      <w:pPr>
        <w:ind w:left="7200" w:hanging="360"/>
      </w:pPr>
      <w:rPr>
        <w:rFonts w:cs="Times New Roman"/>
      </w:rPr>
    </w:lvl>
    <w:lvl w:ilvl="7" w:tplc="AB6E0ED4" w:tentative="1">
      <w:start w:val="1"/>
      <w:numFmt w:val="lowerLetter"/>
      <w:lvlText w:val="%8."/>
      <w:lvlJc w:val="left"/>
      <w:pPr>
        <w:ind w:left="7920" w:hanging="360"/>
      </w:pPr>
      <w:rPr>
        <w:rFonts w:cs="Times New Roman"/>
      </w:rPr>
    </w:lvl>
    <w:lvl w:ilvl="8" w:tplc="24E82B86" w:tentative="1">
      <w:start w:val="1"/>
      <w:numFmt w:val="lowerRoman"/>
      <w:lvlText w:val="%9."/>
      <w:lvlJc w:val="right"/>
      <w:pPr>
        <w:ind w:left="8640" w:hanging="180"/>
      </w:pPr>
      <w:rPr>
        <w:rFonts w:cs="Times New Roman"/>
      </w:rPr>
    </w:lvl>
  </w:abstractNum>
  <w:abstractNum w:abstractNumId="88" w15:restartNumberingAfterBreak="0">
    <w:nsid w:val="2D990C31"/>
    <w:multiLevelType w:val="multilevel"/>
    <w:tmpl w:val="D53050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360"/>
      </w:pPr>
    </w:lvl>
  </w:abstractNum>
  <w:abstractNum w:abstractNumId="89" w15:restartNumberingAfterBreak="0">
    <w:nsid w:val="2E716B2A"/>
    <w:multiLevelType w:val="multilevel"/>
    <w:tmpl w:val="D6E8FD5E"/>
    <w:lvl w:ilvl="0">
      <w:start w:val="1"/>
      <w:numFmt w:val="decimal"/>
      <w:lvlText w:val="%1)"/>
      <w:lvlJc w:val="left"/>
      <w:pPr>
        <w:ind w:left="2700" w:hanging="360"/>
      </w:pPr>
      <w:rPr>
        <w:rFonts w:cs="Times New Roman" w:hint="default"/>
        <w:sz w:val="20"/>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90" w15:restartNumberingAfterBreak="0">
    <w:nsid w:val="2E7173CA"/>
    <w:multiLevelType w:val="hybridMultilevel"/>
    <w:tmpl w:val="D3B679DC"/>
    <w:lvl w:ilvl="0" w:tplc="C0F621EE">
      <w:start w:val="1"/>
      <w:numFmt w:val="lowerLetter"/>
      <w:lvlText w:val="%1)"/>
      <w:lvlJc w:val="left"/>
      <w:pPr>
        <w:ind w:left="780" w:hanging="360"/>
      </w:pPr>
      <w:rPr>
        <w:rFonts w:hint="default"/>
        <w:b/>
        <w:i w:val="0"/>
      </w:rPr>
    </w:lvl>
    <w:lvl w:ilvl="1" w:tplc="07BE565A" w:tentative="1">
      <w:start w:val="1"/>
      <w:numFmt w:val="lowerLetter"/>
      <w:lvlText w:val="%2."/>
      <w:lvlJc w:val="left"/>
      <w:pPr>
        <w:ind w:left="1500" w:hanging="360"/>
      </w:pPr>
    </w:lvl>
    <w:lvl w:ilvl="2" w:tplc="56C2CD64" w:tentative="1">
      <w:start w:val="1"/>
      <w:numFmt w:val="lowerRoman"/>
      <w:lvlText w:val="%3."/>
      <w:lvlJc w:val="right"/>
      <w:pPr>
        <w:ind w:left="2220" w:hanging="180"/>
      </w:pPr>
    </w:lvl>
    <w:lvl w:ilvl="3" w:tplc="E92E1A1E" w:tentative="1">
      <w:start w:val="1"/>
      <w:numFmt w:val="decimal"/>
      <w:lvlText w:val="%4."/>
      <w:lvlJc w:val="left"/>
      <w:pPr>
        <w:ind w:left="2940" w:hanging="360"/>
      </w:pPr>
    </w:lvl>
    <w:lvl w:ilvl="4" w:tplc="657A59DA" w:tentative="1">
      <w:start w:val="1"/>
      <w:numFmt w:val="lowerLetter"/>
      <w:lvlText w:val="%5."/>
      <w:lvlJc w:val="left"/>
      <w:pPr>
        <w:ind w:left="3660" w:hanging="360"/>
      </w:pPr>
    </w:lvl>
    <w:lvl w:ilvl="5" w:tplc="795402C6" w:tentative="1">
      <w:start w:val="1"/>
      <w:numFmt w:val="lowerRoman"/>
      <w:lvlText w:val="%6."/>
      <w:lvlJc w:val="right"/>
      <w:pPr>
        <w:ind w:left="4380" w:hanging="180"/>
      </w:pPr>
    </w:lvl>
    <w:lvl w:ilvl="6" w:tplc="DDCA477C" w:tentative="1">
      <w:start w:val="1"/>
      <w:numFmt w:val="decimal"/>
      <w:lvlText w:val="%7."/>
      <w:lvlJc w:val="left"/>
      <w:pPr>
        <w:ind w:left="5100" w:hanging="360"/>
      </w:pPr>
    </w:lvl>
    <w:lvl w:ilvl="7" w:tplc="B9B03DA6" w:tentative="1">
      <w:start w:val="1"/>
      <w:numFmt w:val="lowerLetter"/>
      <w:lvlText w:val="%8."/>
      <w:lvlJc w:val="left"/>
      <w:pPr>
        <w:ind w:left="5820" w:hanging="360"/>
      </w:pPr>
    </w:lvl>
    <w:lvl w:ilvl="8" w:tplc="64603DE6" w:tentative="1">
      <w:start w:val="1"/>
      <w:numFmt w:val="lowerRoman"/>
      <w:lvlText w:val="%9."/>
      <w:lvlJc w:val="right"/>
      <w:pPr>
        <w:ind w:left="6540" w:hanging="180"/>
      </w:pPr>
    </w:lvl>
  </w:abstractNum>
  <w:abstractNum w:abstractNumId="91" w15:restartNumberingAfterBreak="0">
    <w:nsid w:val="2ECA2BE9"/>
    <w:multiLevelType w:val="hybridMultilevel"/>
    <w:tmpl w:val="74B48FCC"/>
    <w:lvl w:ilvl="0" w:tplc="9EA00A78">
      <w:start w:val="1"/>
      <w:numFmt w:val="decimal"/>
      <w:lvlText w:val="%1."/>
      <w:lvlJc w:val="left"/>
      <w:pPr>
        <w:ind w:left="1020" w:hanging="360"/>
      </w:pPr>
    </w:lvl>
    <w:lvl w:ilvl="1" w:tplc="EF0AF528">
      <w:start w:val="1"/>
      <w:numFmt w:val="decimal"/>
      <w:lvlText w:val="%2."/>
      <w:lvlJc w:val="left"/>
      <w:pPr>
        <w:ind w:left="1020" w:hanging="360"/>
      </w:pPr>
    </w:lvl>
    <w:lvl w:ilvl="2" w:tplc="9A869B2E">
      <w:start w:val="1"/>
      <w:numFmt w:val="decimal"/>
      <w:lvlText w:val="%3."/>
      <w:lvlJc w:val="left"/>
      <w:pPr>
        <w:ind w:left="1020" w:hanging="360"/>
      </w:pPr>
    </w:lvl>
    <w:lvl w:ilvl="3" w:tplc="A246F842">
      <w:start w:val="1"/>
      <w:numFmt w:val="decimal"/>
      <w:lvlText w:val="%4."/>
      <w:lvlJc w:val="left"/>
      <w:pPr>
        <w:ind w:left="1020" w:hanging="360"/>
      </w:pPr>
    </w:lvl>
    <w:lvl w:ilvl="4" w:tplc="973ECFD8">
      <w:start w:val="1"/>
      <w:numFmt w:val="decimal"/>
      <w:lvlText w:val="%5."/>
      <w:lvlJc w:val="left"/>
      <w:pPr>
        <w:ind w:left="1020" w:hanging="360"/>
      </w:pPr>
    </w:lvl>
    <w:lvl w:ilvl="5" w:tplc="4ACC0A72">
      <w:start w:val="1"/>
      <w:numFmt w:val="decimal"/>
      <w:lvlText w:val="%6."/>
      <w:lvlJc w:val="left"/>
      <w:pPr>
        <w:ind w:left="1020" w:hanging="360"/>
      </w:pPr>
    </w:lvl>
    <w:lvl w:ilvl="6" w:tplc="3C829276">
      <w:start w:val="1"/>
      <w:numFmt w:val="decimal"/>
      <w:lvlText w:val="%7."/>
      <w:lvlJc w:val="left"/>
      <w:pPr>
        <w:ind w:left="1020" w:hanging="360"/>
      </w:pPr>
    </w:lvl>
    <w:lvl w:ilvl="7" w:tplc="60065C58">
      <w:start w:val="1"/>
      <w:numFmt w:val="decimal"/>
      <w:lvlText w:val="%8."/>
      <w:lvlJc w:val="left"/>
      <w:pPr>
        <w:ind w:left="1020" w:hanging="360"/>
      </w:pPr>
    </w:lvl>
    <w:lvl w:ilvl="8" w:tplc="2E06F540">
      <w:start w:val="1"/>
      <w:numFmt w:val="decimal"/>
      <w:lvlText w:val="%9."/>
      <w:lvlJc w:val="left"/>
      <w:pPr>
        <w:ind w:left="1020" w:hanging="360"/>
      </w:pPr>
    </w:lvl>
  </w:abstractNum>
  <w:abstractNum w:abstractNumId="92" w15:restartNumberingAfterBreak="0">
    <w:nsid w:val="2F5D4840"/>
    <w:multiLevelType w:val="hybridMultilevel"/>
    <w:tmpl w:val="50C0660C"/>
    <w:lvl w:ilvl="0" w:tplc="ED766076">
      <w:start w:val="1"/>
      <w:numFmt w:val="lowerLetter"/>
      <w:lvlText w:val="%1)"/>
      <w:lvlJc w:val="left"/>
      <w:pPr>
        <w:ind w:left="720" w:hanging="360"/>
      </w:pPr>
      <w:rPr>
        <w:rFonts w:hint="default"/>
      </w:rPr>
    </w:lvl>
    <w:lvl w:ilvl="1" w:tplc="232CBE4A" w:tentative="1">
      <w:start w:val="1"/>
      <w:numFmt w:val="lowerLetter"/>
      <w:lvlText w:val="%2."/>
      <w:lvlJc w:val="left"/>
      <w:pPr>
        <w:ind w:left="1440" w:hanging="360"/>
      </w:pPr>
    </w:lvl>
    <w:lvl w:ilvl="2" w:tplc="B4C0C3A4" w:tentative="1">
      <w:start w:val="1"/>
      <w:numFmt w:val="lowerRoman"/>
      <w:lvlText w:val="%3."/>
      <w:lvlJc w:val="right"/>
      <w:pPr>
        <w:ind w:left="2160" w:hanging="180"/>
      </w:pPr>
    </w:lvl>
    <w:lvl w:ilvl="3" w:tplc="EE5CCA12" w:tentative="1">
      <w:start w:val="1"/>
      <w:numFmt w:val="decimal"/>
      <w:lvlText w:val="%4."/>
      <w:lvlJc w:val="left"/>
      <w:pPr>
        <w:ind w:left="2880" w:hanging="360"/>
      </w:pPr>
    </w:lvl>
    <w:lvl w:ilvl="4" w:tplc="C868CF02" w:tentative="1">
      <w:start w:val="1"/>
      <w:numFmt w:val="lowerLetter"/>
      <w:lvlText w:val="%5."/>
      <w:lvlJc w:val="left"/>
      <w:pPr>
        <w:ind w:left="3600" w:hanging="360"/>
      </w:pPr>
    </w:lvl>
    <w:lvl w:ilvl="5" w:tplc="2828EF00" w:tentative="1">
      <w:start w:val="1"/>
      <w:numFmt w:val="lowerRoman"/>
      <w:lvlText w:val="%6."/>
      <w:lvlJc w:val="right"/>
      <w:pPr>
        <w:ind w:left="4320" w:hanging="180"/>
      </w:pPr>
    </w:lvl>
    <w:lvl w:ilvl="6" w:tplc="56EABE4E" w:tentative="1">
      <w:start w:val="1"/>
      <w:numFmt w:val="decimal"/>
      <w:lvlText w:val="%7."/>
      <w:lvlJc w:val="left"/>
      <w:pPr>
        <w:ind w:left="5040" w:hanging="360"/>
      </w:pPr>
    </w:lvl>
    <w:lvl w:ilvl="7" w:tplc="327C43CE" w:tentative="1">
      <w:start w:val="1"/>
      <w:numFmt w:val="lowerLetter"/>
      <w:lvlText w:val="%8."/>
      <w:lvlJc w:val="left"/>
      <w:pPr>
        <w:ind w:left="5760" w:hanging="360"/>
      </w:pPr>
    </w:lvl>
    <w:lvl w:ilvl="8" w:tplc="C79060A8" w:tentative="1">
      <w:start w:val="1"/>
      <w:numFmt w:val="lowerRoman"/>
      <w:lvlText w:val="%9."/>
      <w:lvlJc w:val="right"/>
      <w:pPr>
        <w:ind w:left="6480" w:hanging="180"/>
      </w:pPr>
    </w:lvl>
  </w:abstractNum>
  <w:abstractNum w:abstractNumId="93" w15:restartNumberingAfterBreak="0">
    <w:nsid w:val="31670B95"/>
    <w:multiLevelType w:val="hybridMultilevel"/>
    <w:tmpl w:val="030EB20A"/>
    <w:lvl w:ilvl="0" w:tplc="DABCED6C">
      <w:start w:val="5"/>
      <w:numFmt w:val="decimal"/>
      <w:lvlText w:val="%1."/>
      <w:lvlJc w:val="left"/>
      <w:pPr>
        <w:ind w:left="360" w:hanging="360"/>
      </w:pPr>
      <w:rPr>
        <w:rFonts w:hint="default"/>
      </w:rPr>
    </w:lvl>
    <w:lvl w:ilvl="1" w:tplc="DAB0107A" w:tentative="1">
      <w:start w:val="1"/>
      <w:numFmt w:val="lowerLetter"/>
      <w:lvlText w:val="%2."/>
      <w:lvlJc w:val="left"/>
      <w:pPr>
        <w:ind w:left="1440" w:hanging="360"/>
      </w:pPr>
    </w:lvl>
    <w:lvl w:ilvl="2" w:tplc="9A9839D0" w:tentative="1">
      <w:start w:val="1"/>
      <w:numFmt w:val="lowerRoman"/>
      <w:lvlText w:val="%3."/>
      <w:lvlJc w:val="right"/>
      <w:pPr>
        <w:ind w:left="2160" w:hanging="180"/>
      </w:pPr>
    </w:lvl>
    <w:lvl w:ilvl="3" w:tplc="3BB2A180" w:tentative="1">
      <w:start w:val="1"/>
      <w:numFmt w:val="decimal"/>
      <w:lvlText w:val="%4."/>
      <w:lvlJc w:val="left"/>
      <w:pPr>
        <w:ind w:left="2880" w:hanging="360"/>
      </w:pPr>
    </w:lvl>
    <w:lvl w:ilvl="4" w:tplc="494443D8" w:tentative="1">
      <w:start w:val="1"/>
      <w:numFmt w:val="lowerLetter"/>
      <w:lvlText w:val="%5."/>
      <w:lvlJc w:val="left"/>
      <w:pPr>
        <w:ind w:left="3600" w:hanging="360"/>
      </w:pPr>
    </w:lvl>
    <w:lvl w:ilvl="5" w:tplc="30A6CEB8" w:tentative="1">
      <w:start w:val="1"/>
      <w:numFmt w:val="lowerRoman"/>
      <w:lvlText w:val="%6."/>
      <w:lvlJc w:val="right"/>
      <w:pPr>
        <w:ind w:left="4320" w:hanging="180"/>
      </w:pPr>
    </w:lvl>
    <w:lvl w:ilvl="6" w:tplc="EA8C7DB6" w:tentative="1">
      <w:start w:val="1"/>
      <w:numFmt w:val="decimal"/>
      <w:lvlText w:val="%7."/>
      <w:lvlJc w:val="left"/>
      <w:pPr>
        <w:ind w:left="5040" w:hanging="360"/>
      </w:pPr>
    </w:lvl>
    <w:lvl w:ilvl="7" w:tplc="5658C07C" w:tentative="1">
      <w:start w:val="1"/>
      <w:numFmt w:val="lowerLetter"/>
      <w:lvlText w:val="%8."/>
      <w:lvlJc w:val="left"/>
      <w:pPr>
        <w:ind w:left="5760" w:hanging="360"/>
      </w:pPr>
    </w:lvl>
    <w:lvl w:ilvl="8" w:tplc="DC92733C" w:tentative="1">
      <w:start w:val="1"/>
      <w:numFmt w:val="lowerRoman"/>
      <w:lvlText w:val="%9."/>
      <w:lvlJc w:val="right"/>
      <w:pPr>
        <w:ind w:left="6480" w:hanging="180"/>
      </w:pPr>
    </w:lvl>
  </w:abstractNum>
  <w:abstractNum w:abstractNumId="94" w15:restartNumberingAfterBreak="0">
    <w:nsid w:val="31B40BB1"/>
    <w:multiLevelType w:val="multilevel"/>
    <w:tmpl w:val="4BD80348"/>
    <w:lvl w:ilvl="0">
      <w:start w:val="1"/>
      <w:numFmt w:val="lowerLetter"/>
      <w:lvlText w:val="%1)"/>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95" w15:restartNumberingAfterBreak="0">
    <w:nsid w:val="31F30417"/>
    <w:multiLevelType w:val="multilevel"/>
    <w:tmpl w:val="ACEA22A8"/>
    <w:lvl w:ilvl="0">
      <w:start w:val="1"/>
      <w:numFmt w:val="lowerLetter"/>
      <w:lvlText w:val="%1)"/>
      <w:lvlJc w:val="left"/>
      <w:pPr>
        <w:ind w:left="705" w:firstLine="0"/>
      </w:pPr>
      <w:rPr>
        <w:rFonts w:hint="default"/>
      </w:rPr>
    </w:lvl>
    <w:lvl w:ilvl="1">
      <w:start w:val="1"/>
      <w:numFmt w:val="bullet"/>
      <w:lvlText w:val="o"/>
      <w:lvlJc w:val="left"/>
      <w:pPr>
        <w:ind w:left="1440" w:hanging="360"/>
      </w:pPr>
      <w:rPr>
        <w:rFonts w:ascii="Symbol" w:eastAsia="Symbol" w:hAnsi="Symbol" w:cs="Symbol" w:hint="default"/>
      </w:rPr>
    </w:lvl>
    <w:lvl w:ilvl="2">
      <w:start w:val="1"/>
      <w:numFmt w:val="bullet"/>
      <w:lvlText w:val="▪"/>
      <w:lvlJc w:val="left"/>
      <w:pPr>
        <w:ind w:left="2160" w:hanging="360"/>
      </w:pPr>
      <w:rPr>
        <w:rFonts w:ascii="Symbol" w:eastAsia="Symbol" w:hAnsi="Symbol" w:cs="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Symbol" w:eastAsia="Symbol" w:hAnsi="Symbol" w:cs="Symbol" w:hint="default"/>
      </w:rPr>
    </w:lvl>
    <w:lvl w:ilvl="5">
      <w:start w:val="1"/>
      <w:numFmt w:val="bullet"/>
      <w:lvlText w:val="▪"/>
      <w:lvlJc w:val="left"/>
      <w:pPr>
        <w:ind w:left="4320" w:hanging="360"/>
      </w:pPr>
      <w:rPr>
        <w:rFonts w:ascii="Symbol" w:eastAsia="Symbol" w:hAnsi="Symbol" w:cs="Symbol"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Symbol" w:eastAsia="Symbol" w:hAnsi="Symbol" w:cs="Symbol" w:hint="default"/>
      </w:rPr>
    </w:lvl>
    <w:lvl w:ilvl="8">
      <w:start w:val="1"/>
      <w:numFmt w:val="bullet"/>
      <w:lvlText w:val="▪"/>
      <w:lvlJc w:val="left"/>
      <w:pPr>
        <w:ind w:left="6480" w:hanging="360"/>
      </w:pPr>
      <w:rPr>
        <w:rFonts w:ascii="Symbol" w:eastAsia="Symbol" w:hAnsi="Symbol" w:cs="Symbol" w:hint="default"/>
      </w:rPr>
    </w:lvl>
  </w:abstractNum>
  <w:abstractNum w:abstractNumId="96" w15:restartNumberingAfterBreak="0">
    <w:nsid w:val="34600D73"/>
    <w:multiLevelType w:val="hybridMultilevel"/>
    <w:tmpl w:val="85CECA86"/>
    <w:lvl w:ilvl="0" w:tplc="CF4E9174">
      <w:start w:val="1"/>
      <w:numFmt w:val="decimal"/>
      <w:lvlText w:val="(%1)"/>
      <w:lvlJc w:val="left"/>
      <w:pPr>
        <w:ind w:left="510" w:hanging="510"/>
      </w:pPr>
      <w:rPr>
        <w:rFonts w:hint="default"/>
      </w:rPr>
    </w:lvl>
    <w:lvl w:ilvl="1" w:tplc="A4BAE144" w:tentative="1">
      <w:start w:val="1"/>
      <w:numFmt w:val="lowerLetter"/>
      <w:lvlText w:val="%2."/>
      <w:lvlJc w:val="left"/>
      <w:pPr>
        <w:ind w:left="1080" w:hanging="360"/>
      </w:pPr>
    </w:lvl>
    <w:lvl w:ilvl="2" w:tplc="B3729B4E" w:tentative="1">
      <w:start w:val="1"/>
      <w:numFmt w:val="lowerRoman"/>
      <w:lvlText w:val="%3."/>
      <w:lvlJc w:val="right"/>
      <w:pPr>
        <w:ind w:left="1800" w:hanging="180"/>
      </w:pPr>
    </w:lvl>
    <w:lvl w:ilvl="3" w:tplc="91888CD4" w:tentative="1">
      <w:start w:val="1"/>
      <w:numFmt w:val="decimal"/>
      <w:lvlText w:val="%4."/>
      <w:lvlJc w:val="left"/>
      <w:pPr>
        <w:ind w:left="2520" w:hanging="360"/>
      </w:pPr>
    </w:lvl>
    <w:lvl w:ilvl="4" w:tplc="29D403AE" w:tentative="1">
      <w:start w:val="1"/>
      <w:numFmt w:val="lowerLetter"/>
      <w:lvlText w:val="%5."/>
      <w:lvlJc w:val="left"/>
      <w:pPr>
        <w:ind w:left="3240" w:hanging="360"/>
      </w:pPr>
    </w:lvl>
    <w:lvl w:ilvl="5" w:tplc="8C74B874" w:tentative="1">
      <w:start w:val="1"/>
      <w:numFmt w:val="lowerRoman"/>
      <w:lvlText w:val="%6."/>
      <w:lvlJc w:val="right"/>
      <w:pPr>
        <w:ind w:left="3960" w:hanging="180"/>
      </w:pPr>
    </w:lvl>
    <w:lvl w:ilvl="6" w:tplc="AFE6A8A6" w:tentative="1">
      <w:start w:val="1"/>
      <w:numFmt w:val="decimal"/>
      <w:lvlText w:val="%7."/>
      <w:lvlJc w:val="left"/>
      <w:pPr>
        <w:ind w:left="4680" w:hanging="360"/>
      </w:pPr>
    </w:lvl>
    <w:lvl w:ilvl="7" w:tplc="60A891AC" w:tentative="1">
      <w:start w:val="1"/>
      <w:numFmt w:val="lowerLetter"/>
      <w:lvlText w:val="%8."/>
      <w:lvlJc w:val="left"/>
      <w:pPr>
        <w:ind w:left="5400" w:hanging="360"/>
      </w:pPr>
    </w:lvl>
    <w:lvl w:ilvl="8" w:tplc="0240B27E" w:tentative="1">
      <w:start w:val="1"/>
      <w:numFmt w:val="lowerRoman"/>
      <w:lvlText w:val="%9."/>
      <w:lvlJc w:val="right"/>
      <w:pPr>
        <w:ind w:left="6120" w:hanging="180"/>
      </w:pPr>
    </w:lvl>
  </w:abstractNum>
  <w:abstractNum w:abstractNumId="97" w15:restartNumberingAfterBreak="0">
    <w:nsid w:val="34902BCA"/>
    <w:multiLevelType w:val="hybridMultilevel"/>
    <w:tmpl w:val="28C09FBA"/>
    <w:lvl w:ilvl="0" w:tplc="56B4BAE2">
      <w:start w:val="1"/>
      <w:numFmt w:val="decimal"/>
      <w:lvlText w:val="(%1)"/>
      <w:lvlJc w:val="left"/>
      <w:pPr>
        <w:ind w:left="360" w:hanging="360"/>
      </w:pPr>
      <w:rPr>
        <w:rFonts w:hint="default"/>
      </w:rPr>
    </w:lvl>
    <w:lvl w:ilvl="1" w:tplc="09569B92" w:tentative="1">
      <w:start w:val="1"/>
      <w:numFmt w:val="lowerLetter"/>
      <w:lvlText w:val="%2."/>
      <w:lvlJc w:val="left"/>
      <w:pPr>
        <w:ind w:left="1080" w:hanging="360"/>
      </w:pPr>
    </w:lvl>
    <w:lvl w:ilvl="2" w:tplc="CC3CC804" w:tentative="1">
      <w:start w:val="1"/>
      <w:numFmt w:val="lowerRoman"/>
      <w:lvlText w:val="%3."/>
      <w:lvlJc w:val="right"/>
      <w:pPr>
        <w:ind w:left="1800" w:hanging="180"/>
      </w:pPr>
    </w:lvl>
    <w:lvl w:ilvl="3" w:tplc="F2984A70" w:tentative="1">
      <w:start w:val="1"/>
      <w:numFmt w:val="decimal"/>
      <w:lvlText w:val="%4."/>
      <w:lvlJc w:val="left"/>
      <w:pPr>
        <w:ind w:left="2520" w:hanging="360"/>
      </w:pPr>
    </w:lvl>
    <w:lvl w:ilvl="4" w:tplc="02001962" w:tentative="1">
      <w:start w:val="1"/>
      <w:numFmt w:val="lowerLetter"/>
      <w:lvlText w:val="%5."/>
      <w:lvlJc w:val="left"/>
      <w:pPr>
        <w:ind w:left="3240" w:hanging="360"/>
      </w:pPr>
    </w:lvl>
    <w:lvl w:ilvl="5" w:tplc="45BCB7BA" w:tentative="1">
      <w:start w:val="1"/>
      <w:numFmt w:val="lowerRoman"/>
      <w:lvlText w:val="%6."/>
      <w:lvlJc w:val="right"/>
      <w:pPr>
        <w:ind w:left="3960" w:hanging="180"/>
      </w:pPr>
    </w:lvl>
    <w:lvl w:ilvl="6" w:tplc="D69A8852" w:tentative="1">
      <w:start w:val="1"/>
      <w:numFmt w:val="decimal"/>
      <w:lvlText w:val="%7."/>
      <w:lvlJc w:val="left"/>
      <w:pPr>
        <w:ind w:left="4680" w:hanging="360"/>
      </w:pPr>
    </w:lvl>
    <w:lvl w:ilvl="7" w:tplc="53BCD1DE" w:tentative="1">
      <w:start w:val="1"/>
      <w:numFmt w:val="lowerLetter"/>
      <w:lvlText w:val="%8."/>
      <w:lvlJc w:val="left"/>
      <w:pPr>
        <w:ind w:left="5400" w:hanging="360"/>
      </w:pPr>
    </w:lvl>
    <w:lvl w:ilvl="8" w:tplc="CECACB40" w:tentative="1">
      <w:start w:val="1"/>
      <w:numFmt w:val="lowerRoman"/>
      <w:lvlText w:val="%9."/>
      <w:lvlJc w:val="right"/>
      <w:pPr>
        <w:ind w:left="6120" w:hanging="180"/>
      </w:pPr>
    </w:lvl>
  </w:abstractNum>
  <w:abstractNum w:abstractNumId="98" w15:restartNumberingAfterBreak="0">
    <w:nsid w:val="349A3C15"/>
    <w:multiLevelType w:val="hybridMultilevel"/>
    <w:tmpl w:val="5358B678"/>
    <w:lvl w:ilvl="0" w:tplc="1A5473AA">
      <w:start w:val="1"/>
      <w:numFmt w:val="lowerLetter"/>
      <w:lvlText w:val="%1)"/>
      <w:lvlJc w:val="left"/>
      <w:pPr>
        <w:ind w:left="780" w:hanging="360"/>
      </w:pPr>
      <w:rPr>
        <w:rFonts w:hint="default"/>
        <w:b/>
        <w:i w:val="0"/>
      </w:rPr>
    </w:lvl>
    <w:lvl w:ilvl="1" w:tplc="AAAAD6AC" w:tentative="1">
      <w:start w:val="1"/>
      <w:numFmt w:val="lowerLetter"/>
      <w:lvlText w:val="%2."/>
      <w:lvlJc w:val="left"/>
      <w:pPr>
        <w:ind w:left="1500" w:hanging="360"/>
      </w:pPr>
    </w:lvl>
    <w:lvl w:ilvl="2" w:tplc="4260B4B2" w:tentative="1">
      <w:start w:val="1"/>
      <w:numFmt w:val="lowerRoman"/>
      <w:lvlText w:val="%3."/>
      <w:lvlJc w:val="right"/>
      <w:pPr>
        <w:ind w:left="2220" w:hanging="180"/>
      </w:pPr>
    </w:lvl>
    <w:lvl w:ilvl="3" w:tplc="BFF8225C" w:tentative="1">
      <w:start w:val="1"/>
      <w:numFmt w:val="decimal"/>
      <w:lvlText w:val="%4."/>
      <w:lvlJc w:val="left"/>
      <w:pPr>
        <w:ind w:left="2940" w:hanging="360"/>
      </w:pPr>
    </w:lvl>
    <w:lvl w:ilvl="4" w:tplc="937EEEDC" w:tentative="1">
      <w:start w:val="1"/>
      <w:numFmt w:val="lowerLetter"/>
      <w:lvlText w:val="%5."/>
      <w:lvlJc w:val="left"/>
      <w:pPr>
        <w:ind w:left="3660" w:hanging="360"/>
      </w:pPr>
    </w:lvl>
    <w:lvl w:ilvl="5" w:tplc="0A522CFE" w:tentative="1">
      <w:start w:val="1"/>
      <w:numFmt w:val="lowerRoman"/>
      <w:lvlText w:val="%6."/>
      <w:lvlJc w:val="right"/>
      <w:pPr>
        <w:ind w:left="4380" w:hanging="180"/>
      </w:pPr>
    </w:lvl>
    <w:lvl w:ilvl="6" w:tplc="9356D8BA" w:tentative="1">
      <w:start w:val="1"/>
      <w:numFmt w:val="decimal"/>
      <w:lvlText w:val="%7."/>
      <w:lvlJc w:val="left"/>
      <w:pPr>
        <w:ind w:left="5100" w:hanging="360"/>
      </w:pPr>
    </w:lvl>
    <w:lvl w:ilvl="7" w:tplc="14B47E40" w:tentative="1">
      <w:start w:val="1"/>
      <w:numFmt w:val="lowerLetter"/>
      <w:lvlText w:val="%8."/>
      <w:lvlJc w:val="left"/>
      <w:pPr>
        <w:ind w:left="5820" w:hanging="360"/>
      </w:pPr>
    </w:lvl>
    <w:lvl w:ilvl="8" w:tplc="C4A8FB7A" w:tentative="1">
      <w:start w:val="1"/>
      <w:numFmt w:val="lowerRoman"/>
      <w:lvlText w:val="%9."/>
      <w:lvlJc w:val="right"/>
      <w:pPr>
        <w:ind w:left="6540" w:hanging="180"/>
      </w:pPr>
    </w:lvl>
  </w:abstractNum>
  <w:abstractNum w:abstractNumId="99" w15:restartNumberingAfterBreak="0">
    <w:nsid w:val="36093A39"/>
    <w:multiLevelType w:val="multilevel"/>
    <w:tmpl w:val="E73A4E58"/>
    <w:lvl w:ilvl="0">
      <w:start w:val="1"/>
      <w:numFmt w:val="decimal"/>
      <w:lvlText w:val="%1."/>
      <w:lvlJc w:val="left"/>
      <w:pPr>
        <w:tabs>
          <w:tab w:val="num" w:pos="-108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080"/>
        </w:tabs>
        <w:ind w:left="1800" w:hanging="180"/>
      </w:pPr>
      <w:rPr>
        <w:rFonts w:cs="Times New Roman"/>
      </w:rPr>
    </w:lvl>
    <w:lvl w:ilvl="3">
      <w:start w:val="1"/>
      <w:numFmt w:val="decimal"/>
      <w:lvlText w:val="%4."/>
      <w:lvlJc w:val="left"/>
      <w:pPr>
        <w:tabs>
          <w:tab w:val="num" w:pos="-1080"/>
        </w:tabs>
        <w:ind w:left="2520" w:hanging="360"/>
      </w:pPr>
    </w:lvl>
    <w:lvl w:ilvl="4">
      <w:start w:val="1"/>
      <w:numFmt w:val="lowerLetter"/>
      <w:lvlText w:val="%5."/>
      <w:lvlJc w:val="left"/>
      <w:pPr>
        <w:tabs>
          <w:tab w:val="num" w:pos="-1080"/>
        </w:tabs>
        <w:ind w:left="3240" w:hanging="360"/>
      </w:pPr>
    </w:lvl>
    <w:lvl w:ilvl="5">
      <w:start w:val="1"/>
      <w:numFmt w:val="lowerRoman"/>
      <w:lvlText w:val="%6."/>
      <w:lvlJc w:val="left"/>
      <w:pPr>
        <w:tabs>
          <w:tab w:val="num" w:pos="-1080"/>
        </w:tabs>
        <w:ind w:left="3960" w:hanging="180"/>
      </w:pPr>
    </w:lvl>
    <w:lvl w:ilvl="6">
      <w:start w:val="1"/>
      <w:numFmt w:val="decimal"/>
      <w:lvlText w:val="%7."/>
      <w:lvlJc w:val="left"/>
      <w:pPr>
        <w:tabs>
          <w:tab w:val="num" w:pos="-1080"/>
        </w:tabs>
        <w:ind w:left="4680" w:hanging="360"/>
      </w:pPr>
    </w:lvl>
    <w:lvl w:ilvl="7">
      <w:start w:val="1"/>
      <w:numFmt w:val="lowerLetter"/>
      <w:lvlText w:val="%8."/>
      <w:lvlJc w:val="left"/>
      <w:pPr>
        <w:tabs>
          <w:tab w:val="num" w:pos="-1080"/>
        </w:tabs>
        <w:ind w:left="5400" w:hanging="360"/>
      </w:pPr>
    </w:lvl>
    <w:lvl w:ilvl="8">
      <w:start w:val="1"/>
      <w:numFmt w:val="lowerRoman"/>
      <w:lvlText w:val="%9."/>
      <w:lvlJc w:val="left"/>
      <w:pPr>
        <w:tabs>
          <w:tab w:val="num" w:pos="-1080"/>
        </w:tabs>
        <w:ind w:left="6120" w:hanging="180"/>
      </w:pPr>
    </w:lvl>
  </w:abstractNum>
  <w:abstractNum w:abstractNumId="100" w15:restartNumberingAfterBreak="0">
    <w:nsid w:val="367277E8"/>
    <w:multiLevelType w:val="multilevel"/>
    <w:tmpl w:val="ED6251FE"/>
    <w:lvl w:ilvl="0">
      <w:start w:val="1"/>
      <w:numFmt w:val="lowerLetter"/>
      <w:lvlText w:val="%1)"/>
      <w:lvlJc w:val="left"/>
      <w:pPr>
        <w:ind w:left="10" w:firstLine="0"/>
      </w:pPr>
      <w:rPr>
        <w:rFonts w:hint="default"/>
      </w:rPr>
    </w:lvl>
    <w:lvl w:ilvl="1">
      <w:start w:val="1"/>
      <w:numFmt w:val="bullet"/>
      <w:lvlText w:val="o"/>
      <w:lvlJc w:val="left"/>
      <w:pPr>
        <w:ind w:left="745" w:hanging="360"/>
      </w:pPr>
      <w:rPr>
        <w:rFonts w:ascii="Symbol" w:eastAsia="Symbol" w:hAnsi="Symbol" w:cs="Symbol" w:hint="default"/>
      </w:rPr>
    </w:lvl>
    <w:lvl w:ilvl="2">
      <w:start w:val="1"/>
      <w:numFmt w:val="bullet"/>
      <w:lvlText w:val="▪"/>
      <w:lvlJc w:val="left"/>
      <w:pPr>
        <w:ind w:left="1465" w:hanging="360"/>
      </w:pPr>
      <w:rPr>
        <w:rFonts w:ascii="Symbol" w:eastAsia="Symbol" w:hAnsi="Symbol" w:cs="Symbol" w:hint="default"/>
      </w:rPr>
    </w:lvl>
    <w:lvl w:ilvl="3">
      <w:start w:val="1"/>
      <w:numFmt w:val="bullet"/>
      <w:lvlText w:val="•"/>
      <w:lvlJc w:val="left"/>
      <w:pPr>
        <w:ind w:left="2185" w:hanging="360"/>
      </w:pPr>
      <w:rPr>
        <w:rFonts w:ascii="Symbol" w:eastAsia="Symbol" w:hAnsi="Symbol" w:cs="Symbol" w:hint="default"/>
      </w:rPr>
    </w:lvl>
    <w:lvl w:ilvl="4">
      <w:start w:val="1"/>
      <w:numFmt w:val="bullet"/>
      <w:lvlText w:val="o"/>
      <w:lvlJc w:val="left"/>
      <w:pPr>
        <w:ind w:left="2905" w:hanging="360"/>
      </w:pPr>
      <w:rPr>
        <w:rFonts w:ascii="Symbol" w:eastAsia="Symbol" w:hAnsi="Symbol" w:cs="Symbol" w:hint="default"/>
      </w:rPr>
    </w:lvl>
    <w:lvl w:ilvl="5">
      <w:start w:val="1"/>
      <w:numFmt w:val="bullet"/>
      <w:lvlText w:val="▪"/>
      <w:lvlJc w:val="left"/>
      <w:pPr>
        <w:ind w:left="3625" w:hanging="360"/>
      </w:pPr>
      <w:rPr>
        <w:rFonts w:ascii="Symbol" w:eastAsia="Symbol" w:hAnsi="Symbol" w:cs="Symbol" w:hint="default"/>
      </w:rPr>
    </w:lvl>
    <w:lvl w:ilvl="6">
      <w:start w:val="1"/>
      <w:numFmt w:val="bullet"/>
      <w:lvlText w:val="•"/>
      <w:lvlJc w:val="left"/>
      <w:pPr>
        <w:ind w:left="4345" w:hanging="360"/>
      </w:pPr>
      <w:rPr>
        <w:rFonts w:ascii="Symbol" w:eastAsia="Symbol" w:hAnsi="Symbol" w:cs="Symbol" w:hint="default"/>
      </w:rPr>
    </w:lvl>
    <w:lvl w:ilvl="7">
      <w:start w:val="1"/>
      <w:numFmt w:val="bullet"/>
      <w:lvlText w:val="o"/>
      <w:lvlJc w:val="left"/>
      <w:pPr>
        <w:ind w:left="5065" w:hanging="360"/>
      </w:pPr>
      <w:rPr>
        <w:rFonts w:ascii="Symbol" w:eastAsia="Symbol" w:hAnsi="Symbol" w:cs="Symbol" w:hint="default"/>
      </w:rPr>
    </w:lvl>
    <w:lvl w:ilvl="8">
      <w:start w:val="1"/>
      <w:numFmt w:val="bullet"/>
      <w:lvlText w:val="▪"/>
      <w:lvlJc w:val="left"/>
      <w:pPr>
        <w:ind w:left="5785" w:hanging="360"/>
      </w:pPr>
      <w:rPr>
        <w:rFonts w:ascii="Symbol" w:eastAsia="Symbol" w:hAnsi="Symbol" w:cs="Symbol" w:hint="default"/>
      </w:rPr>
    </w:lvl>
  </w:abstractNum>
  <w:abstractNum w:abstractNumId="101" w15:restartNumberingAfterBreak="0">
    <w:nsid w:val="3689642F"/>
    <w:multiLevelType w:val="hybridMultilevel"/>
    <w:tmpl w:val="3EF47C70"/>
    <w:lvl w:ilvl="0" w:tplc="CFB61744">
      <w:start w:val="1"/>
      <w:numFmt w:val="decimal"/>
      <w:lvlText w:val="%1."/>
      <w:lvlJc w:val="left"/>
      <w:pPr>
        <w:ind w:left="1020" w:hanging="360"/>
      </w:pPr>
    </w:lvl>
    <w:lvl w:ilvl="1" w:tplc="F232FBBE">
      <w:start w:val="1"/>
      <w:numFmt w:val="decimal"/>
      <w:lvlText w:val="%2."/>
      <w:lvlJc w:val="left"/>
      <w:pPr>
        <w:ind w:left="1020" w:hanging="360"/>
      </w:pPr>
    </w:lvl>
    <w:lvl w:ilvl="2" w:tplc="69BE2F4A">
      <w:start w:val="1"/>
      <w:numFmt w:val="decimal"/>
      <w:lvlText w:val="%3."/>
      <w:lvlJc w:val="left"/>
      <w:pPr>
        <w:ind w:left="1020" w:hanging="360"/>
      </w:pPr>
    </w:lvl>
    <w:lvl w:ilvl="3" w:tplc="B088F3CA">
      <w:start w:val="1"/>
      <w:numFmt w:val="decimal"/>
      <w:lvlText w:val="%4."/>
      <w:lvlJc w:val="left"/>
      <w:pPr>
        <w:ind w:left="1020" w:hanging="360"/>
      </w:pPr>
    </w:lvl>
    <w:lvl w:ilvl="4" w:tplc="124AFF10">
      <w:start w:val="1"/>
      <w:numFmt w:val="decimal"/>
      <w:lvlText w:val="%5."/>
      <w:lvlJc w:val="left"/>
      <w:pPr>
        <w:ind w:left="1020" w:hanging="360"/>
      </w:pPr>
    </w:lvl>
    <w:lvl w:ilvl="5" w:tplc="A23A35FE">
      <w:start w:val="1"/>
      <w:numFmt w:val="decimal"/>
      <w:lvlText w:val="%6."/>
      <w:lvlJc w:val="left"/>
      <w:pPr>
        <w:ind w:left="1020" w:hanging="360"/>
      </w:pPr>
    </w:lvl>
    <w:lvl w:ilvl="6" w:tplc="9B2A38AA">
      <w:start w:val="1"/>
      <w:numFmt w:val="decimal"/>
      <w:lvlText w:val="%7."/>
      <w:lvlJc w:val="left"/>
      <w:pPr>
        <w:ind w:left="1020" w:hanging="360"/>
      </w:pPr>
    </w:lvl>
    <w:lvl w:ilvl="7" w:tplc="5060F33C">
      <w:start w:val="1"/>
      <w:numFmt w:val="decimal"/>
      <w:lvlText w:val="%8."/>
      <w:lvlJc w:val="left"/>
      <w:pPr>
        <w:ind w:left="1020" w:hanging="360"/>
      </w:pPr>
    </w:lvl>
    <w:lvl w:ilvl="8" w:tplc="F7D8D342">
      <w:start w:val="1"/>
      <w:numFmt w:val="decimal"/>
      <w:lvlText w:val="%9."/>
      <w:lvlJc w:val="left"/>
      <w:pPr>
        <w:ind w:left="1020" w:hanging="360"/>
      </w:pPr>
    </w:lvl>
  </w:abstractNum>
  <w:abstractNum w:abstractNumId="102" w15:restartNumberingAfterBreak="0">
    <w:nsid w:val="36941582"/>
    <w:multiLevelType w:val="multilevel"/>
    <w:tmpl w:val="0000001A"/>
    <w:lvl w:ilvl="0">
      <w:start w:val="1"/>
      <w:numFmt w:val="decimal"/>
      <w:lvlText w:val="%1."/>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357" w:firstLine="3"/>
      </w:pPr>
      <w:rPr>
        <w:rFonts w:ascii="Times New Roman" w:hAnsi="Times New Roman" w:cs="Times New Roman"/>
      </w:rPr>
    </w:lvl>
    <w:lvl w:ilvl="2">
      <w:start w:val="1"/>
      <w:numFmt w:val="decimal"/>
      <w:lvlText w:val="%1.%2.%3. "/>
      <w:lvlJc w:val="left"/>
      <w:pPr>
        <w:tabs>
          <w:tab w:val="num" w:pos="0"/>
        </w:tabs>
        <w:ind w:left="1497" w:hanging="504"/>
      </w:pPr>
      <w:rPr>
        <w:rFonts w:ascii="Times New Roman" w:hAnsi="Times New Roman" w:cs="Times New Roman"/>
      </w:rPr>
    </w:lvl>
    <w:lvl w:ilvl="3">
      <w:start w:val="1"/>
      <w:numFmt w:val="decimal"/>
      <w:lvlText w:val="%1.%2.%3.%4."/>
      <w:lvlJc w:val="left"/>
      <w:pPr>
        <w:tabs>
          <w:tab w:val="num" w:pos="0"/>
        </w:tabs>
        <w:ind w:left="1728" w:hanging="648"/>
      </w:pPr>
      <w:rPr>
        <w:rFonts w:ascii="Times New Roman" w:hAnsi="Times New Roman" w:cs="Times New Roman"/>
      </w:rPr>
    </w:lvl>
    <w:lvl w:ilvl="4">
      <w:start w:val="1"/>
      <w:numFmt w:val="decimal"/>
      <w:lvlText w:val="%1.%2.%3.%4.%5."/>
      <w:lvlJc w:val="left"/>
      <w:pPr>
        <w:tabs>
          <w:tab w:val="num" w:pos="0"/>
        </w:tabs>
        <w:ind w:left="2232" w:hanging="792"/>
      </w:pPr>
      <w:rPr>
        <w:rFonts w:ascii="Times New Roman" w:hAnsi="Times New Roman" w:cs="Times New Roman"/>
      </w:rPr>
    </w:lvl>
    <w:lvl w:ilvl="5">
      <w:start w:val="1"/>
      <w:numFmt w:val="decimal"/>
      <w:lvlText w:val="%1.%2.%3.%4.%5.%6."/>
      <w:lvlJc w:val="left"/>
      <w:pPr>
        <w:tabs>
          <w:tab w:val="num" w:pos="0"/>
        </w:tabs>
        <w:ind w:left="2736" w:hanging="936"/>
      </w:pPr>
      <w:rPr>
        <w:rFonts w:ascii="Times New Roman" w:hAnsi="Times New Roman" w:cs="Times New Roman"/>
      </w:rPr>
    </w:lvl>
    <w:lvl w:ilvl="6">
      <w:start w:val="1"/>
      <w:numFmt w:val="decimal"/>
      <w:lvlText w:val="%1.%2.%3.%4.%5.%6.%7."/>
      <w:lvlJc w:val="left"/>
      <w:pPr>
        <w:tabs>
          <w:tab w:val="num" w:pos="0"/>
        </w:tabs>
        <w:ind w:left="3240" w:hanging="1080"/>
      </w:pPr>
      <w:rPr>
        <w:rFonts w:ascii="Times New Roman" w:hAnsi="Times New Roman" w:cs="Times New Roman"/>
      </w:rPr>
    </w:lvl>
    <w:lvl w:ilvl="7">
      <w:start w:val="1"/>
      <w:numFmt w:val="decimal"/>
      <w:lvlText w:val="%1.%2.%3.%4.%5.%6.%7.%8."/>
      <w:lvlJc w:val="left"/>
      <w:pPr>
        <w:tabs>
          <w:tab w:val="num" w:pos="0"/>
        </w:tabs>
        <w:ind w:left="3744" w:hanging="1224"/>
      </w:pPr>
      <w:rPr>
        <w:rFonts w:ascii="Times New Roman" w:hAnsi="Times New Roman" w:cs="Times New Roman"/>
      </w:rPr>
    </w:lvl>
    <w:lvl w:ilvl="8">
      <w:start w:val="1"/>
      <w:numFmt w:val="decimal"/>
      <w:lvlText w:val="%1.%2.%3.%4.%5.%6.%7.%8.%9."/>
      <w:lvlJc w:val="left"/>
      <w:pPr>
        <w:tabs>
          <w:tab w:val="num" w:pos="0"/>
        </w:tabs>
        <w:ind w:left="4320" w:hanging="1440"/>
      </w:pPr>
      <w:rPr>
        <w:rFonts w:ascii="Times New Roman" w:hAnsi="Times New Roman" w:cs="Times New Roman"/>
      </w:rPr>
    </w:lvl>
  </w:abstractNum>
  <w:abstractNum w:abstractNumId="103" w15:restartNumberingAfterBreak="0">
    <w:nsid w:val="369B0F89"/>
    <w:multiLevelType w:val="multilevel"/>
    <w:tmpl w:val="4830B53C"/>
    <w:lvl w:ilvl="0">
      <w:start w:val="1"/>
      <w:numFmt w:val="decimal"/>
      <w:lvlText w:val="%1)"/>
      <w:lvlJc w:val="left"/>
      <w:pPr>
        <w:tabs>
          <w:tab w:val="num" w:pos="720"/>
        </w:tabs>
        <w:ind w:left="720" w:hanging="360"/>
      </w:pPr>
      <w:rPr>
        <w:rFonts w:cs="Times New Roman"/>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4" w15:restartNumberingAfterBreak="0">
    <w:nsid w:val="376679D3"/>
    <w:multiLevelType w:val="hybridMultilevel"/>
    <w:tmpl w:val="F04053C6"/>
    <w:lvl w:ilvl="0" w:tplc="4AD41778">
      <w:start w:val="1"/>
      <w:numFmt w:val="decimal"/>
      <w:lvlText w:val="%1."/>
      <w:lvlJc w:val="left"/>
      <w:pPr>
        <w:ind w:left="720" w:hanging="360"/>
      </w:pPr>
    </w:lvl>
    <w:lvl w:ilvl="1" w:tplc="B0AE7A14" w:tentative="1">
      <w:start w:val="1"/>
      <w:numFmt w:val="lowerLetter"/>
      <w:lvlText w:val="%2."/>
      <w:lvlJc w:val="left"/>
      <w:pPr>
        <w:ind w:left="1440" w:hanging="360"/>
      </w:pPr>
    </w:lvl>
    <w:lvl w:ilvl="2" w:tplc="EEA828C6" w:tentative="1">
      <w:start w:val="1"/>
      <w:numFmt w:val="lowerRoman"/>
      <w:lvlText w:val="%3."/>
      <w:lvlJc w:val="right"/>
      <w:pPr>
        <w:ind w:left="2160" w:hanging="180"/>
      </w:pPr>
    </w:lvl>
    <w:lvl w:ilvl="3" w:tplc="81FAEBF8" w:tentative="1">
      <w:start w:val="1"/>
      <w:numFmt w:val="decimal"/>
      <w:lvlText w:val="%4."/>
      <w:lvlJc w:val="left"/>
      <w:pPr>
        <w:ind w:left="2880" w:hanging="360"/>
      </w:pPr>
    </w:lvl>
    <w:lvl w:ilvl="4" w:tplc="44084402" w:tentative="1">
      <w:start w:val="1"/>
      <w:numFmt w:val="lowerLetter"/>
      <w:lvlText w:val="%5."/>
      <w:lvlJc w:val="left"/>
      <w:pPr>
        <w:ind w:left="3600" w:hanging="360"/>
      </w:pPr>
    </w:lvl>
    <w:lvl w:ilvl="5" w:tplc="7AE87F3A" w:tentative="1">
      <w:start w:val="1"/>
      <w:numFmt w:val="lowerRoman"/>
      <w:lvlText w:val="%6."/>
      <w:lvlJc w:val="right"/>
      <w:pPr>
        <w:ind w:left="4320" w:hanging="180"/>
      </w:pPr>
    </w:lvl>
    <w:lvl w:ilvl="6" w:tplc="322299EC" w:tentative="1">
      <w:start w:val="1"/>
      <w:numFmt w:val="decimal"/>
      <w:lvlText w:val="%7."/>
      <w:lvlJc w:val="left"/>
      <w:pPr>
        <w:ind w:left="5040" w:hanging="360"/>
      </w:pPr>
    </w:lvl>
    <w:lvl w:ilvl="7" w:tplc="9D5A0E7C" w:tentative="1">
      <w:start w:val="1"/>
      <w:numFmt w:val="lowerLetter"/>
      <w:lvlText w:val="%8."/>
      <w:lvlJc w:val="left"/>
      <w:pPr>
        <w:ind w:left="5760" w:hanging="360"/>
      </w:pPr>
    </w:lvl>
    <w:lvl w:ilvl="8" w:tplc="EB640082" w:tentative="1">
      <w:start w:val="1"/>
      <w:numFmt w:val="lowerRoman"/>
      <w:lvlText w:val="%9."/>
      <w:lvlJc w:val="right"/>
      <w:pPr>
        <w:ind w:left="6480" w:hanging="180"/>
      </w:pPr>
    </w:lvl>
  </w:abstractNum>
  <w:abstractNum w:abstractNumId="105" w15:restartNumberingAfterBreak="0">
    <w:nsid w:val="392D3A83"/>
    <w:multiLevelType w:val="hybridMultilevel"/>
    <w:tmpl w:val="C49882E4"/>
    <w:lvl w:ilvl="0" w:tplc="EC82D038">
      <w:start w:val="1"/>
      <w:numFmt w:val="decimal"/>
      <w:lvlText w:val="%1)"/>
      <w:lvlJc w:val="left"/>
      <w:pPr>
        <w:ind w:left="1440" w:hanging="360"/>
      </w:pPr>
      <w:rPr>
        <w:rFonts w:cs="Times New Roman"/>
      </w:rPr>
    </w:lvl>
    <w:lvl w:ilvl="1" w:tplc="706699D8">
      <w:start w:val="1"/>
      <w:numFmt w:val="lowerLetter"/>
      <w:lvlText w:val="%2."/>
      <w:lvlJc w:val="left"/>
      <w:pPr>
        <w:ind w:left="2160" w:hanging="360"/>
      </w:pPr>
      <w:rPr>
        <w:rFonts w:cs="Times New Roman"/>
      </w:rPr>
    </w:lvl>
    <w:lvl w:ilvl="2" w:tplc="81DAE93E" w:tentative="1">
      <w:start w:val="1"/>
      <w:numFmt w:val="lowerRoman"/>
      <w:lvlText w:val="%3."/>
      <w:lvlJc w:val="right"/>
      <w:pPr>
        <w:ind w:left="2880" w:hanging="180"/>
      </w:pPr>
      <w:rPr>
        <w:rFonts w:cs="Times New Roman"/>
      </w:rPr>
    </w:lvl>
    <w:lvl w:ilvl="3" w:tplc="7DD24DAC" w:tentative="1">
      <w:start w:val="1"/>
      <w:numFmt w:val="decimal"/>
      <w:lvlText w:val="%4."/>
      <w:lvlJc w:val="left"/>
      <w:pPr>
        <w:ind w:left="3600" w:hanging="360"/>
      </w:pPr>
      <w:rPr>
        <w:rFonts w:cs="Times New Roman"/>
      </w:rPr>
    </w:lvl>
    <w:lvl w:ilvl="4" w:tplc="25FCA8AE" w:tentative="1">
      <w:start w:val="1"/>
      <w:numFmt w:val="lowerLetter"/>
      <w:lvlText w:val="%5."/>
      <w:lvlJc w:val="left"/>
      <w:pPr>
        <w:ind w:left="4320" w:hanging="360"/>
      </w:pPr>
      <w:rPr>
        <w:rFonts w:cs="Times New Roman"/>
      </w:rPr>
    </w:lvl>
    <w:lvl w:ilvl="5" w:tplc="8ECA641C" w:tentative="1">
      <w:start w:val="1"/>
      <w:numFmt w:val="lowerRoman"/>
      <w:lvlText w:val="%6."/>
      <w:lvlJc w:val="right"/>
      <w:pPr>
        <w:ind w:left="5040" w:hanging="180"/>
      </w:pPr>
      <w:rPr>
        <w:rFonts w:cs="Times New Roman"/>
      </w:rPr>
    </w:lvl>
    <w:lvl w:ilvl="6" w:tplc="F77E2B6C" w:tentative="1">
      <w:start w:val="1"/>
      <w:numFmt w:val="decimal"/>
      <w:lvlText w:val="%7."/>
      <w:lvlJc w:val="left"/>
      <w:pPr>
        <w:ind w:left="5760" w:hanging="360"/>
      </w:pPr>
      <w:rPr>
        <w:rFonts w:cs="Times New Roman"/>
      </w:rPr>
    </w:lvl>
    <w:lvl w:ilvl="7" w:tplc="13CA8F54" w:tentative="1">
      <w:start w:val="1"/>
      <w:numFmt w:val="lowerLetter"/>
      <w:lvlText w:val="%8."/>
      <w:lvlJc w:val="left"/>
      <w:pPr>
        <w:ind w:left="6480" w:hanging="360"/>
      </w:pPr>
      <w:rPr>
        <w:rFonts w:cs="Times New Roman"/>
      </w:rPr>
    </w:lvl>
    <w:lvl w:ilvl="8" w:tplc="FFB0C5AE" w:tentative="1">
      <w:start w:val="1"/>
      <w:numFmt w:val="lowerRoman"/>
      <w:lvlText w:val="%9."/>
      <w:lvlJc w:val="right"/>
      <w:pPr>
        <w:ind w:left="7200" w:hanging="180"/>
      </w:pPr>
      <w:rPr>
        <w:rFonts w:cs="Times New Roman"/>
      </w:rPr>
    </w:lvl>
  </w:abstractNum>
  <w:abstractNum w:abstractNumId="106" w15:restartNumberingAfterBreak="0">
    <w:nsid w:val="3A4F1B70"/>
    <w:multiLevelType w:val="hybridMultilevel"/>
    <w:tmpl w:val="B4EC6278"/>
    <w:lvl w:ilvl="0" w:tplc="5FFE2322">
      <w:start w:val="1"/>
      <w:numFmt w:val="lowerLetter"/>
      <w:lvlText w:val="%1)"/>
      <w:lvlJc w:val="left"/>
      <w:pPr>
        <w:tabs>
          <w:tab w:val="num" w:pos="720"/>
        </w:tabs>
        <w:ind w:left="720" w:hanging="360"/>
      </w:pPr>
      <w:rPr>
        <w:rFonts w:cs="Times New Roman" w:hint="default"/>
      </w:rPr>
    </w:lvl>
    <w:lvl w:ilvl="1" w:tplc="53007C6A" w:tentative="1">
      <w:start w:val="1"/>
      <w:numFmt w:val="lowerLetter"/>
      <w:lvlText w:val="%2."/>
      <w:lvlJc w:val="left"/>
      <w:pPr>
        <w:ind w:left="1440" w:hanging="360"/>
      </w:pPr>
    </w:lvl>
    <w:lvl w:ilvl="2" w:tplc="6248CEE6" w:tentative="1">
      <w:start w:val="1"/>
      <w:numFmt w:val="lowerRoman"/>
      <w:lvlText w:val="%3."/>
      <w:lvlJc w:val="right"/>
      <w:pPr>
        <w:ind w:left="2160" w:hanging="180"/>
      </w:pPr>
    </w:lvl>
    <w:lvl w:ilvl="3" w:tplc="E71E1C32" w:tentative="1">
      <w:start w:val="1"/>
      <w:numFmt w:val="decimal"/>
      <w:lvlText w:val="%4."/>
      <w:lvlJc w:val="left"/>
      <w:pPr>
        <w:ind w:left="2880" w:hanging="360"/>
      </w:pPr>
    </w:lvl>
    <w:lvl w:ilvl="4" w:tplc="1D74619E" w:tentative="1">
      <w:start w:val="1"/>
      <w:numFmt w:val="lowerLetter"/>
      <w:lvlText w:val="%5."/>
      <w:lvlJc w:val="left"/>
      <w:pPr>
        <w:ind w:left="3600" w:hanging="360"/>
      </w:pPr>
    </w:lvl>
    <w:lvl w:ilvl="5" w:tplc="40AC67C0" w:tentative="1">
      <w:start w:val="1"/>
      <w:numFmt w:val="lowerRoman"/>
      <w:lvlText w:val="%6."/>
      <w:lvlJc w:val="right"/>
      <w:pPr>
        <w:ind w:left="4320" w:hanging="180"/>
      </w:pPr>
    </w:lvl>
    <w:lvl w:ilvl="6" w:tplc="B308DB66" w:tentative="1">
      <w:start w:val="1"/>
      <w:numFmt w:val="decimal"/>
      <w:lvlText w:val="%7."/>
      <w:lvlJc w:val="left"/>
      <w:pPr>
        <w:ind w:left="5040" w:hanging="360"/>
      </w:pPr>
    </w:lvl>
    <w:lvl w:ilvl="7" w:tplc="95AED64A" w:tentative="1">
      <w:start w:val="1"/>
      <w:numFmt w:val="lowerLetter"/>
      <w:lvlText w:val="%8."/>
      <w:lvlJc w:val="left"/>
      <w:pPr>
        <w:ind w:left="5760" w:hanging="360"/>
      </w:pPr>
    </w:lvl>
    <w:lvl w:ilvl="8" w:tplc="4BAEE28A" w:tentative="1">
      <w:start w:val="1"/>
      <w:numFmt w:val="lowerRoman"/>
      <w:lvlText w:val="%9."/>
      <w:lvlJc w:val="right"/>
      <w:pPr>
        <w:ind w:left="6480" w:hanging="180"/>
      </w:pPr>
    </w:lvl>
  </w:abstractNum>
  <w:abstractNum w:abstractNumId="107" w15:restartNumberingAfterBreak="0">
    <w:nsid w:val="3A563BA2"/>
    <w:multiLevelType w:val="hybridMultilevel"/>
    <w:tmpl w:val="F3D8696E"/>
    <w:lvl w:ilvl="0" w:tplc="ACCCBCA6">
      <w:start w:val="1"/>
      <w:numFmt w:val="decimal"/>
      <w:lvlText w:val="%1)"/>
      <w:lvlJc w:val="left"/>
      <w:pPr>
        <w:ind w:left="1080" w:hanging="360"/>
      </w:pPr>
      <w:rPr>
        <w:rFonts w:hint="default"/>
      </w:rPr>
    </w:lvl>
    <w:lvl w:ilvl="1" w:tplc="D690CFD6" w:tentative="1">
      <w:start w:val="1"/>
      <w:numFmt w:val="lowerLetter"/>
      <w:lvlText w:val="%2."/>
      <w:lvlJc w:val="left"/>
      <w:pPr>
        <w:ind w:left="1800" w:hanging="360"/>
      </w:pPr>
    </w:lvl>
    <w:lvl w:ilvl="2" w:tplc="C07ABAE8" w:tentative="1">
      <w:start w:val="1"/>
      <w:numFmt w:val="lowerRoman"/>
      <w:lvlText w:val="%3."/>
      <w:lvlJc w:val="right"/>
      <w:pPr>
        <w:ind w:left="2520" w:hanging="180"/>
      </w:pPr>
    </w:lvl>
    <w:lvl w:ilvl="3" w:tplc="00B43812" w:tentative="1">
      <w:start w:val="1"/>
      <w:numFmt w:val="decimal"/>
      <w:lvlText w:val="%4."/>
      <w:lvlJc w:val="left"/>
      <w:pPr>
        <w:ind w:left="3240" w:hanging="360"/>
      </w:pPr>
    </w:lvl>
    <w:lvl w:ilvl="4" w:tplc="599E7492" w:tentative="1">
      <w:start w:val="1"/>
      <w:numFmt w:val="lowerLetter"/>
      <w:lvlText w:val="%5."/>
      <w:lvlJc w:val="left"/>
      <w:pPr>
        <w:ind w:left="3960" w:hanging="360"/>
      </w:pPr>
    </w:lvl>
    <w:lvl w:ilvl="5" w:tplc="9FB09640" w:tentative="1">
      <w:start w:val="1"/>
      <w:numFmt w:val="lowerRoman"/>
      <w:lvlText w:val="%6."/>
      <w:lvlJc w:val="right"/>
      <w:pPr>
        <w:ind w:left="4680" w:hanging="180"/>
      </w:pPr>
    </w:lvl>
    <w:lvl w:ilvl="6" w:tplc="B8C03BB0" w:tentative="1">
      <w:start w:val="1"/>
      <w:numFmt w:val="decimal"/>
      <w:lvlText w:val="%7."/>
      <w:lvlJc w:val="left"/>
      <w:pPr>
        <w:ind w:left="5400" w:hanging="360"/>
      </w:pPr>
    </w:lvl>
    <w:lvl w:ilvl="7" w:tplc="380691FA" w:tentative="1">
      <w:start w:val="1"/>
      <w:numFmt w:val="lowerLetter"/>
      <w:lvlText w:val="%8."/>
      <w:lvlJc w:val="left"/>
      <w:pPr>
        <w:ind w:left="6120" w:hanging="360"/>
      </w:pPr>
    </w:lvl>
    <w:lvl w:ilvl="8" w:tplc="C16E4DBA" w:tentative="1">
      <w:start w:val="1"/>
      <w:numFmt w:val="lowerRoman"/>
      <w:lvlText w:val="%9."/>
      <w:lvlJc w:val="right"/>
      <w:pPr>
        <w:ind w:left="6840" w:hanging="180"/>
      </w:pPr>
    </w:lvl>
  </w:abstractNum>
  <w:abstractNum w:abstractNumId="108" w15:restartNumberingAfterBreak="0">
    <w:nsid w:val="3AE81492"/>
    <w:multiLevelType w:val="hybridMultilevel"/>
    <w:tmpl w:val="1D2467A4"/>
    <w:lvl w:ilvl="0" w:tplc="8FA0741A">
      <w:start w:val="1"/>
      <w:numFmt w:val="decimal"/>
      <w:lvlText w:val="%1)"/>
      <w:lvlJc w:val="left"/>
      <w:pPr>
        <w:ind w:left="2700" w:hanging="360"/>
      </w:pPr>
    </w:lvl>
    <w:lvl w:ilvl="1" w:tplc="6D2C93CE" w:tentative="1">
      <w:start w:val="1"/>
      <w:numFmt w:val="lowerLetter"/>
      <w:lvlText w:val="%2."/>
      <w:lvlJc w:val="left"/>
      <w:pPr>
        <w:ind w:left="3420" w:hanging="360"/>
      </w:pPr>
    </w:lvl>
    <w:lvl w:ilvl="2" w:tplc="C272465C" w:tentative="1">
      <w:start w:val="1"/>
      <w:numFmt w:val="lowerRoman"/>
      <w:lvlText w:val="%3."/>
      <w:lvlJc w:val="right"/>
      <w:pPr>
        <w:ind w:left="4140" w:hanging="180"/>
      </w:pPr>
    </w:lvl>
    <w:lvl w:ilvl="3" w:tplc="927ABB92" w:tentative="1">
      <w:start w:val="1"/>
      <w:numFmt w:val="decimal"/>
      <w:lvlText w:val="%4."/>
      <w:lvlJc w:val="left"/>
      <w:pPr>
        <w:ind w:left="4860" w:hanging="360"/>
      </w:pPr>
    </w:lvl>
    <w:lvl w:ilvl="4" w:tplc="5CC6B37E" w:tentative="1">
      <w:start w:val="1"/>
      <w:numFmt w:val="lowerLetter"/>
      <w:lvlText w:val="%5."/>
      <w:lvlJc w:val="left"/>
      <w:pPr>
        <w:ind w:left="5580" w:hanging="360"/>
      </w:pPr>
    </w:lvl>
    <w:lvl w:ilvl="5" w:tplc="7696BF94" w:tentative="1">
      <w:start w:val="1"/>
      <w:numFmt w:val="lowerRoman"/>
      <w:lvlText w:val="%6."/>
      <w:lvlJc w:val="right"/>
      <w:pPr>
        <w:ind w:left="6300" w:hanging="180"/>
      </w:pPr>
    </w:lvl>
    <w:lvl w:ilvl="6" w:tplc="0AE083BC" w:tentative="1">
      <w:start w:val="1"/>
      <w:numFmt w:val="decimal"/>
      <w:lvlText w:val="%7."/>
      <w:lvlJc w:val="left"/>
      <w:pPr>
        <w:ind w:left="7020" w:hanging="360"/>
      </w:pPr>
    </w:lvl>
    <w:lvl w:ilvl="7" w:tplc="4E64B8CE" w:tentative="1">
      <w:start w:val="1"/>
      <w:numFmt w:val="lowerLetter"/>
      <w:lvlText w:val="%8."/>
      <w:lvlJc w:val="left"/>
      <w:pPr>
        <w:ind w:left="7740" w:hanging="360"/>
      </w:pPr>
    </w:lvl>
    <w:lvl w:ilvl="8" w:tplc="3D381F08" w:tentative="1">
      <w:start w:val="1"/>
      <w:numFmt w:val="lowerRoman"/>
      <w:lvlText w:val="%9."/>
      <w:lvlJc w:val="right"/>
      <w:pPr>
        <w:ind w:left="8460" w:hanging="180"/>
      </w:pPr>
    </w:lvl>
  </w:abstractNum>
  <w:abstractNum w:abstractNumId="109" w15:restartNumberingAfterBreak="0">
    <w:nsid w:val="3B2D7C90"/>
    <w:multiLevelType w:val="hybridMultilevel"/>
    <w:tmpl w:val="DBB8C34E"/>
    <w:name w:val="WW8Num42"/>
    <w:lvl w:ilvl="0" w:tplc="1DE09290">
      <w:start w:val="1"/>
      <w:numFmt w:val="decimal"/>
      <w:lvlText w:val="%1)"/>
      <w:lvlJc w:val="left"/>
      <w:pPr>
        <w:tabs>
          <w:tab w:val="num" w:pos="0"/>
        </w:tabs>
        <w:ind w:left="720" w:hanging="360"/>
      </w:pPr>
      <w:rPr>
        <w:rFonts w:cs="Times New Roman" w:hint="default"/>
        <w:sz w:val="20"/>
      </w:rPr>
    </w:lvl>
    <w:lvl w:ilvl="1" w:tplc="04D0F88A" w:tentative="1">
      <w:start w:val="1"/>
      <w:numFmt w:val="lowerLetter"/>
      <w:lvlText w:val="%2."/>
      <w:lvlJc w:val="left"/>
      <w:pPr>
        <w:ind w:left="1440" w:hanging="360"/>
      </w:pPr>
    </w:lvl>
    <w:lvl w:ilvl="2" w:tplc="722A3772" w:tentative="1">
      <w:start w:val="1"/>
      <w:numFmt w:val="lowerRoman"/>
      <w:lvlText w:val="%3."/>
      <w:lvlJc w:val="right"/>
      <w:pPr>
        <w:ind w:left="2160" w:hanging="180"/>
      </w:pPr>
    </w:lvl>
    <w:lvl w:ilvl="3" w:tplc="9A44CCAC" w:tentative="1">
      <w:start w:val="1"/>
      <w:numFmt w:val="decimal"/>
      <w:lvlText w:val="%4."/>
      <w:lvlJc w:val="left"/>
      <w:pPr>
        <w:ind w:left="2880" w:hanging="360"/>
      </w:pPr>
    </w:lvl>
    <w:lvl w:ilvl="4" w:tplc="75862E68" w:tentative="1">
      <w:start w:val="1"/>
      <w:numFmt w:val="lowerLetter"/>
      <w:lvlText w:val="%5."/>
      <w:lvlJc w:val="left"/>
      <w:pPr>
        <w:ind w:left="3600" w:hanging="360"/>
      </w:pPr>
    </w:lvl>
    <w:lvl w:ilvl="5" w:tplc="AE4AEE4E" w:tentative="1">
      <w:start w:val="1"/>
      <w:numFmt w:val="lowerRoman"/>
      <w:lvlText w:val="%6."/>
      <w:lvlJc w:val="right"/>
      <w:pPr>
        <w:ind w:left="4320" w:hanging="180"/>
      </w:pPr>
    </w:lvl>
    <w:lvl w:ilvl="6" w:tplc="AA645CE2" w:tentative="1">
      <w:start w:val="1"/>
      <w:numFmt w:val="decimal"/>
      <w:lvlText w:val="%7."/>
      <w:lvlJc w:val="left"/>
      <w:pPr>
        <w:ind w:left="5040" w:hanging="360"/>
      </w:pPr>
    </w:lvl>
    <w:lvl w:ilvl="7" w:tplc="9F74C2FE" w:tentative="1">
      <w:start w:val="1"/>
      <w:numFmt w:val="lowerLetter"/>
      <w:lvlText w:val="%8."/>
      <w:lvlJc w:val="left"/>
      <w:pPr>
        <w:ind w:left="5760" w:hanging="360"/>
      </w:pPr>
    </w:lvl>
    <w:lvl w:ilvl="8" w:tplc="0728EA08" w:tentative="1">
      <w:start w:val="1"/>
      <w:numFmt w:val="lowerRoman"/>
      <w:lvlText w:val="%9."/>
      <w:lvlJc w:val="right"/>
      <w:pPr>
        <w:ind w:left="6480" w:hanging="180"/>
      </w:pPr>
    </w:lvl>
  </w:abstractNum>
  <w:abstractNum w:abstractNumId="110" w15:restartNumberingAfterBreak="0">
    <w:nsid w:val="3BAF7A58"/>
    <w:multiLevelType w:val="multilevel"/>
    <w:tmpl w:val="9B0A3F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3BF27934"/>
    <w:multiLevelType w:val="hybridMultilevel"/>
    <w:tmpl w:val="3A9CCF7C"/>
    <w:lvl w:ilvl="0" w:tplc="4510D056">
      <w:start w:val="1"/>
      <w:numFmt w:val="ordinal"/>
      <w:lvlText w:val="%1"/>
      <w:lvlJc w:val="left"/>
      <w:pPr>
        <w:ind w:left="1080" w:hanging="360"/>
      </w:pPr>
      <w:rPr>
        <w:rFonts w:cs="Times New Roman" w:hint="default"/>
      </w:rPr>
    </w:lvl>
    <w:lvl w:ilvl="1" w:tplc="0B34097C">
      <w:start w:val="1"/>
      <w:numFmt w:val="decimal"/>
      <w:lvlText w:val="3.%2."/>
      <w:lvlJc w:val="center"/>
      <w:pPr>
        <w:ind w:left="1800" w:hanging="360"/>
      </w:pPr>
      <w:rPr>
        <w:rFonts w:cs="Times New Roman" w:hint="default"/>
      </w:rPr>
    </w:lvl>
    <w:lvl w:ilvl="2" w:tplc="16702412">
      <w:start w:val="1"/>
      <w:numFmt w:val="lowerRoman"/>
      <w:lvlText w:val="%3."/>
      <w:lvlJc w:val="right"/>
      <w:pPr>
        <w:ind w:left="2700" w:hanging="360"/>
      </w:pPr>
      <w:rPr>
        <w:rFonts w:cs="Times New Roman" w:hint="default"/>
      </w:rPr>
    </w:lvl>
    <w:lvl w:ilvl="3" w:tplc="2710D87C" w:tentative="1">
      <w:start w:val="1"/>
      <w:numFmt w:val="decimal"/>
      <w:lvlText w:val="%4."/>
      <w:lvlJc w:val="left"/>
      <w:pPr>
        <w:ind w:left="3240" w:hanging="360"/>
      </w:pPr>
      <w:rPr>
        <w:rFonts w:cs="Times New Roman"/>
      </w:rPr>
    </w:lvl>
    <w:lvl w:ilvl="4" w:tplc="94B2D7DA" w:tentative="1">
      <w:start w:val="1"/>
      <w:numFmt w:val="lowerLetter"/>
      <w:lvlText w:val="%5."/>
      <w:lvlJc w:val="left"/>
      <w:pPr>
        <w:ind w:left="3960" w:hanging="360"/>
      </w:pPr>
      <w:rPr>
        <w:rFonts w:cs="Times New Roman"/>
      </w:rPr>
    </w:lvl>
    <w:lvl w:ilvl="5" w:tplc="618A79F8" w:tentative="1">
      <w:start w:val="1"/>
      <w:numFmt w:val="lowerRoman"/>
      <w:lvlText w:val="%6."/>
      <w:lvlJc w:val="right"/>
      <w:pPr>
        <w:ind w:left="4680" w:hanging="180"/>
      </w:pPr>
      <w:rPr>
        <w:rFonts w:cs="Times New Roman"/>
      </w:rPr>
    </w:lvl>
    <w:lvl w:ilvl="6" w:tplc="BA54D060" w:tentative="1">
      <w:start w:val="1"/>
      <w:numFmt w:val="decimal"/>
      <w:lvlText w:val="%7."/>
      <w:lvlJc w:val="left"/>
      <w:pPr>
        <w:ind w:left="5400" w:hanging="360"/>
      </w:pPr>
      <w:rPr>
        <w:rFonts w:cs="Times New Roman"/>
      </w:rPr>
    </w:lvl>
    <w:lvl w:ilvl="7" w:tplc="A90A7BB6" w:tentative="1">
      <w:start w:val="1"/>
      <w:numFmt w:val="lowerLetter"/>
      <w:lvlText w:val="%8."/>
      <w:lvlJc w:val="left"/>
      <w:pPr>
        <w:ind w:left="6120" w:hanging="360"/>
      </w:pPr>
      <w:rPr>
        <w:rFonts w:cs="Times New Roman"/>
      </w:rPr>
    </w:lvl>
    <w:lvl w:ilvl="8" w:tplc="8E4204DA" w:tentative="1">
      <w:start w:val="1"/>
      <w:numFmt w:val="lowerRoman"/>
      <w:lvlText w:val="%9."/>
      <w:lvlJc w:val="right"/>
      <w:pPr>
        <w:ind w:left="6840" w:hanging="180"/>
      </w:pPr>
      <w:rPr>
        <w:rFonts w:cs="Times New Roman"/>
      </w:rPr>
    </w:lvl>
  </w:abstractNum>
  <w:abstractNum w:abstractNumId="112" w15:restartNumberingAfterBreak="0">
    <w:nsid w:val="3F10094D"/>
    <w:multiLevelType w:val="hybridMultilevel"/>
    <w:tmpl w:val="3A960638"/>
    <w:lvl w:ilvl="0" w:tplc="05A84128">
      <w:start w:val="1"/>
      <w:numFmt w:val="decimal"/>
      <w:lvlText w:val="%1)"/>
      <w:lvlJc w:val="left"/>
      <w:pPr>
        <w:ind w:left="720" w:hanging="360"/>
      </w:pPr>
      <w:rPr>
        <w:rFonts w:hint="default"/>
      </w:rPr>
    </w:lvl>
    <w:lvl w:ilvl="1" w:tplc="20129AFC" w:tentative="1">
      <w:start w:val="1"/>
      <w:numFmt w:val="lowerLetter"/>
      <w:lvlText w:val="%2."/>
      <w:lvlJc w:val="left"/>
      <w:pPr>
        <w:ind w:left="1440" w:hanging="360"/>
      </w:pPr>
    </w:lvl>
    <w:lvl w:ilvl="2" w:tplc="3BF828E0" w:tentative="1">
      <w:start w:val="1"/>
      <w:numFmt w:val="lowerRoman"/>
      <w:lvlText w:val="%3."/>
      <w:lvlJc w:val="right"/>
      <w:pPr>
        <w:ind w:left="2160" w:hanging="180"/>
      </w:pPr>
    </w:lvl>
    <w:lvl w:ilvl="3" w:tplc="639E374A" w:tentative="1">
      <w:start w:val="1"/>
      <w:numFmt w:val="decimal"/>
      <w:lvlText w:val="%4."/>
      <w:lvlJc w:val="left"/>
      <w:pPr>
        <w:ind w:left="2880" w:hanging="360"/>
      </w:pPr>
    </w:lvl>
    <w:lvl w:ilvl="4" w:tplc="5DD0757E" w:tentative="1">
      <w:start w:val="1"/>
      <w:numFmt w:val="lowerLetter"/>
      <w:lvlText w:val="%5."/>
      <w:lvlJc w:val="left"/>
      <w:pPr>
        <w:ind w:left="3600" w:hanging="360"/>
      </w:pPr>
    </w:lvl>
    <w:lvl w:ilvl="5" w:tplc="C8B6808C" w:tentative="1">
      <w:start w:val="1"/>
      <w:numFmt w:val="lowerRoman"/>
      <w:lvlText w:val="%6."/>
      <w:lvlJc w:val="right"/>
      <w:pPr>
        <w:ind w:left="4320" w:hanging="180"/>
      </w:pPr>
    </w:lvl>
    <w:lvl w:ilvl="6" w:tplc="0888BF32" w:tentative="1">
      <w:start w:val="1"/>
      <w:numFmt w:val="decimal"/>
      <w:lvlText w:val="%7."/>
      <w:lvlJc w:val="left"/>
      <w:pPr>
        <w:ind w:left="5040" w:hanging="360"/>
      </w:pPr>
    </w:lvl>
    <w:lvl w:ilvl="7" w:tplc="6D76D31E" w:tentative="1">
      <w:start w:val="1"/>
      <w:numFmt w:val="lowerLetter"/>
      <w:lvlText w:val="%8."/>
      <w:lvlJc w:val="left"/>
      <w:pPr>
        <w:ind w:left="5760" w:hanging="360"/>
      </w:pPr>
    </w:lvl>
    <w:lvl w:ilvl="8" w:tplc="B5727DE0" w:tentative="1">
      <w:start w:val="1"/>
      <w:numFmt w:val="lowerRoman"/>
      <w:lvlText w:val="%9."/>
      <w:lvlJc w:val="right"/>
      <w:pPr>
        <w:ind w:left="6480" w:hanging="180"/>
      </w:pPr>
    </w:lvl>
  </w:abstractNum>
  <w:abstractNum w:abstractNumId="113" w15:restartNumberingAfterBreak="0">
    <w:nsid w:val="41366F51"/>
    <w:multiLevelType w:val="multilevel"/>
    <w:tmpl w:val="C37E68BE"/>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4" w15:restartNumberingAfterBreak="0">
    <w:nsid w:val="424E7E7E"/>
    <w:multiLevelType w:val="hybridMultilevel"/>
    <w:tmpl w:val="1D2467A4"/>
    <w:lvl w:ilvl="0" w:tplc="D39EF99E">
      <w:start w:val="1"/>
      <w:numFmt w:val="decimal"/>
      <w:lvlText w:val="%1)"/>
      <w:lvlJc w:val="left"/>
      <w:pPr>
        <w:ind w:left="2700" w:hanging="360"/>
      </w:pPr>
    </w:lvl>
    <w:lvl w:ilvl="1" w:tplc="D640D46E" w:tentative="1">
      <w:start w:val="1"/>
      <w:numFmt w:val="lowerLetter"/>
      <w:lvlText w:val="%2."/>
      <w:lvlJc w:val="left"/>
      <w:pPr>
        <w:ind w:left="3420" w:hanging="360"/>
      </w:pPr>
    </w:lvl>
    <w:lvl w:ilvl="2" w:tplc="00C60644" w:tentative="1">
      <w:start w:val="1"/>
      <w:numFmt w:val="lowerRoman"/>
      <w:lvlText w:val="%3."/>
      <w:lvlJc w:val="right"/>
      <w:pPr>
        <w:ind w:left="4140" w:hanging="180"/>
      </w:pPr>
    </w:lvl>
    <w:lvl w:ilvl="3" w:tplc="9CD29EC2" w:tentative="1">
      <w:start w:val="1"/>
      <w:numFmt w:val="decimal"/>
      <w:lvlText w:val="%4."/>
      <w:lvlJc w:val="left"/>
      <w:pPr>
        <w:ind w:left="4860" w:hanging="360"/>
      </w:pPr>
    </w:lvl>
    <w:lvl w:ilvl="4" w:tplc="FC0ABD50" w:tentative="1">
      <w:start w:val="1"/>
      <w:numFmt w:val="lowerLetter"/>
      <w:lvlText w:val="%5."/>
      <w:lvlJc w:val="left"/>
      <w:pPr>
        <w:ind w:left="5580" w:hanging="360"/>
      </w:pPr>
    </w:lvl>
    <w:lvl w:ilvl="5" w:tplc="26249B6E" w:tentative="1">
      <w:start w:val="1"/>
      <w:numFmt w:val="lowerRoman"/>
      <w:lvlText w:val="%6."/>
      <w:lvlJc w:val="right"/>
      <w:pPr>
        <w:ind w:left="6300" w:hanging="180"/>
      </w:pPr>
    </w:lvl>
    <w:lvl w:ilvl="6" w:tplc="504A9E78" w:tentative="1">
      <w:start w:val="1"/>
      <w:numFmt w:val="decimal"/>
      <w:lvlText w:val="%7."/>
      <w:lvlJc w:val="left"/>
      <w:pPr>
        <w:ind w:left="7020" w:hanging="360"/>
      </w:pPr>
    </w:lvl>
    <w:lvl w:ilvl="7" w:tplc="103A02A2" w:tentative="1">
      <w:start w:val="1"/>
      <w:numFmt w:val="lowerLetter"/>
      <w:lvlText w:val="%8."/>
      <w:lvlJc w:val="left"/>
      <w:pPr>
        <w:ind w:left="7740" w:hanging="360"/>
      </w:pPr>
    </w:lvl>
    <w:lvl w:ilvl="8" w:tplc="7138F718" w:tentative="1">
      <w:start w:val="1"/>
      <w:numFmt w:val="lowerRoman"/>
      <w:lvlText w:val="%9."/>
      <w:lvlJc w:val="right"/>
      <w:pPr>
        <w:ind w:left="8460" w:hanging="180"/>
      </w:pPr>
    </w:lvl>
  </w:abstractNum>
  <w:abstractNum w:abstractNumId="115" w15:restartNumberingAfterBreak="0">
    <w:nsid w:val="436C37E3"/>
    <w:multiLevelType w:val="hybridMultilevel"/>
    <w:tmpl w:val="8012D0AC"/>
    <w:lvl w:ilvl="0" w:tplc="0F9426C2">
      <w:start w:val="1"/>
      <w:numFmt w:val="decimal"/>
      <w:lvlText w:val="%1)"/>
      <w:lvlJc w:val="left"/>
      <w:pPr>
        <w:ind w:left="720" w:hanging="360"/>
      </w:pPr>
      <w:rPr>
        <w:rFonts w:hint="default"/>
      </w:rPr>
    </w:lvl>
    <w:lvl w:ilvl="1" w:tplc="2C1A28DA" w:tentative="1">
      <w:start w:val="1"/>
      <w:numFmt w:val="lowerLetter"/>
      <w:lvlText w:val="%2."/>
      <w:lvlJc w:val="left"/>
      <w:pPr>
        <w:ind w:left="1440" w:hanging="360"/>
      </w:pPr>
    </w:lvl>
    <w:lvl w:ilvl="2" w:tplc="84A4FA84" w:tentative="1">
      <w:start w:val="1"/>
      <w:numFmt w:val="lowerRoman"/>
      <w:lvlText w:val="%3."/>
      <w:lvlJc w:val="right"/>
      <w:pPr>
        <w:ind w:left="2160" w:hanging="180"/>
      </w:pPr>
    </w:lvl>
    <w:lvl w:ilvl="3" w:tplc="30C43DD2" w:tentative="1">
      <w:start w:val="1"/>
      <w:numFmt w:val="decimal"/>
      <w:lvlText w:val="%4."/>
      <w:lvlJc w:val="left"/>
      <w:pPr>
        <w:ind w:left="2880" w:hanging="360"/>
      </w:pPr>
    </w:lvl>
    <w:lvl w:ilvl="4" w:tplc="23C8FC54" w:tentative="1">
      <w:start w:val="1"/>
      <w:numFmt w:val="lowerLetter"/>
      <w:lvlText w:val="%5."/>
      <w:lvlJc w:val="left"/>
      <w:pPr>
        <w:ind w:left="3600" w:hanging="360"/>
      </w:pPr>
    </w:lvl>
    <w:lvl w:ilvl="5" w:tplc="B4826D2E" w:tentative="1">
      <w:start w:val="1"/>
      <w:numFmt w:val="lowerRoman"/>
      <w:lvlText w:val="%6."/>
      <w:lvlJc w:val="right"/>
      <w:pPr>
        <w:ind w:left="4320" w:hanging="180"/>
      </w:pPr>
    </w:lvl>
    <w:lvl w:ilvl="6" w:tplc="089A4FD2" w:tentative="1">
      <w:start w:val="1"/>
      <w:numFmt w:val="decimal"/>
      <w:lvlText w:val="%7."/>
      <w:lvlJc w:val="left"/>
      <w:pPr>
        <w:ind w:left="5040" w:hanging="360"/>
      </w:pPr>
    </w:lvl>
    <w:lvl w:ilvl="7" w:tplc="A1E65C06" w:tentative="1">
      <w:start w:val="1"/>
      <w:numFmt w:val="lowerLetter"/>
      <w:lvlText w:val="%8."/>
      <w:lvlJc w:val="left"/>
      <w:pPr>
        <w:ind w:left="5760" w:hanging="360"/>
      </w:pPr>
    </w:lvl>
    <w:lvl w:ilvl="8" w:tplc="C840F0D0" w:tentative="1">
      <w:start w:val="1"/>
      <w:numFmt w:val="lowerRoman"/>
      <w:lvlText w:val="%9."/>
      <w:lvlJc w:val="right"/>
      <w:pPr>
        <w:ind w:left="6480" w:hanging="180"/>
      </w:pPr>
    </w:lvl>
  </w:abstractNum>
  <w:abstractNum w:abstractNumId="116" w15:restartNumberingAfterBreak="0">
    <w:nsid w:val="442172FA"/>
    <w:multiLevelType w:val="multilevel"/>
    <w:tmpl w:val="68109A88"/>
    <w:lvl w:ilvl="0">
      <w:start w:val="1"/>
      <w:numFmt w:val="bullet"/>
      <w:lvlText w:val="•"/>
      <w:lvlJc w:val="left"/>
      <w:pPr>
        <w:ind w:left="705" w:firstLine="0"/>
      </w:pPr>
      <w:rPr>
        <w:rFonts w:ascii="Symbol" w:eastAsia="Symbol" w:hAnsi="Symbol" w:cs="Symbol" w:hint="default"/>
      </w:rPr>
    </w:lvl>
    <w:lvl w:ilvl="1">
      <w:start w:val="1"/>
      <w:numFmt w:val="bullet"/>
      <w:lvlText w:val="o"/>
      <w:lvlJc w:val="left"/>
      <w:pPr>
        <w:ind w:left="1440" w:hanging="360"/>
      </w:pPr>
      <w:rPr>
        <w:rFonts w:ascii="Symbol" w:eastAsia="Symbol" w:hAnsi="Symbol" w:cs="Symbol" w:hint="default"/>
      </w:rPr>
    </w:lvl>
    <w:lvl w:ilvl="2">
      <w:start w:val="1"/>
      <w:numFmt w:val="bullet"/>
      <w:lvlText w:val="▪"/>
      <w:lvlJc w:val="left"/>
      <w:pPr>
        <w:ind w:left="2160" w:hanging="360"/>
      </w:pPr>
      <w:rPr>
        <w:rFonts w:ascii="Symbol" w:eastAsia="Symbol" w:hAnsi="Symbol" w:cs="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Symbol" w:eastAsia="Symbol" w:hAnsi="Symbol" w:cs="Symbol" w:hint="default"/>
      </w:rPr>
    </w:lvl>
    <w:lvl w:ilvl="5">
      <w:start w:val="1"/>
      <w:numFmt w:val="bullet"/>
      <w:lvlText w:val="▪"/>
      <w:lvlJc w:val="left"/>
      <w:pPr>
        <w:ind w:left="4320" w:hanging="360"/>
      </w:pPr>
      <w:rPr>
        <w:rFonts w:ascii="Symbol" w:eastAsia="Symbol" w:hAnsi="Symbol" w:cs="Symbol"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Symbol" w:eastAsia="Symbol" w:hAnsi="Symbol" w:cs="Symbol" w:hint="default"/>
      </w:rPr>
    </w:lvl>
    <w:lvl w:ilvl="8">
      <w:start w:val="1"/>
      <w:numFmt w:val="bullet"/>
      <w:lvlText w:val="▪"/>
      <w:lvlJc w:val="left"/>
      <w:pPr>
        <w:ind w:left="6480" w:hanging="360"/>
      </w:pPr>
      <w:rPr>
        <w:rFonts w:ascii="Symbol" w:eastAsia="Symbol" w:hAnsi="Symbol" w:cs="Symbol" w:hint="default"/>
      </w:rPr>
    </w:lvl>
  </w:abstractNum>
  <w:abstractNum w:abstractNumId="117" w15:restartNumberingAfterBreak="0">
    <w:nsid w:val="444C62CB"/>
    <w:multiLevelType w:val="hybridMultilevel"/>
    <w:tmpl w:val="FAF42DAC"/>
    <w:lvl w:ilvl="0" w:tplc="2F6485D0">
      <w:start w:val="1"/>
      <w:numFmt w:val="decimal"/>
      <w:lvlText w:val="%1)"/>
      <w:lvlJc w:val="left"/>
      <w:pPr>
        <w:ind w:left="1607" w:hanging="360"/>
      </w:pPr>
      <w:rPr>
        <w:rFonts w:eastAsia="Calibri" w:hint="default"/>
      </w:rPr>
    </w:lvl>
    <w:lvl w:ilvl="1" w:tplc="F2425AC0" w:tentative="1">
      <w:start w:val="1"/>
      <w:numFmt w:val="lowerLetter"/>
      <w:lvlText w:val="%2."/>
      <w:lvlJc w:val="left"/>
      <w:pPr>
        <w:ind w:left="2327" w:hanging="360"/>
      </w:pPr>
    </w:lvl>
    <w:lvl w:ilvl="2" w:tplc="FF421A4C" w:tentative="1">
      <w:start w:val="1"/>
      <w:numFmt w:val="lowerRoman"/>
      <w:lvlText w:val="%3."/>
      <w:lvlJc w:val="right"/>
      <w:pPr>
        <w:ind w:left="3047" w:hanging="180"/>
      </w:pPr>
    </w:lvl>
    <w:lvl w:ilvl="3" w:tplc="16CE58F4" w:tentative="1">
      <w:start w:val="1"/>
      <w:numFmt w:val="decimal"/>
      <w:lvlText w:val="%4."/>
      <w:lvlJc w:val="left"/>
      <w:pPr>
        <w:ind w:left="3767" w:hanging="360"/>
      </w:pPr>
    </w:lvl>
    <w:lvl w:ilvl="4" w:tplc="15001E3E" w:tentative="1">
      <w:start w:val="1"/>
      <w:numFmt w:val="lowerLetter"/>
      <w:lvlText w:val="%5."/>
      <w:lvlJc w:val="left"/>
      <w:pPr>
        <w:ind w:left="4487" w:hanging="360"/>
      </w:pPr>
    </w:lvl>
    <w:lvl w:ilvl="5" w:tplc="B708451A" w:tentative="1">
      <w:start w:val="1"/>
      <w:numFmt w:val="lowerRoman"/>
      <w:lvlText w:val="%6."/>
      <w:lvlJc w:val="right"/>
      <w:pPr>
        <w:ind w:left="5207" w:hanging="180"/>
      </w:pPr>
    </w:lvl>
    <w:lvl w:ilvl="6" w:tplc="7818CFCE" w:tentative="1">
      <w:start w:val="1"/>
      <w:numFmt w:val="decimal"/>
      <w:lvlText w:val="%7."/>
      <w:lvlJc w:val="left"/>
      <w:pPr>
        <w:ind w:left="5927" w:hanging="360"/>
      </w:pPr>
    </w:lvl>
    <w:lvl w:ilvl="7" w:tplc="9E5A4846" w:tentative="1">
      <w:start w:val="1"/>
      <w:numFmt w:val="lowerLetter"/>
      <w:lvlText w:val="%8."/>
      <w:lvlJc w:val="left"/>
      <w:pPr>
        <w:ind w:left="6647" w:hanging="360"/>
      </w:pPr>
    </w:lvl>
    <w:lvl w:ilvl="8" w:tplc="F35A8610" w:tentative="1">
      <w:start w:val="1"/>
      <w:numFmt w:val="lowerRoman"/>
      <w:lvlText w:val="%9."/>
      <w:lvlJc w:val="right"/>
      <w:pPr>
        <w:ind w:left="7367" w:hanging="180"/>
      </w:pPr>
    </w:lvl>
  </w:abstractNum>
  <w:abstractNum w:abstractNumId="118" w15:restartNumberingAfterBreak="0">
    <w:nsid w:val="44CF78C3"/>
    <w:multiLevelType w:val="multilevel"/>
    <w:tmpl w:val="25DEFD3C"/>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9" w15:restartNumberingAfterBreak="0">
    <w:nsid w:val="455046EB"/>
    <w:multiLevelType w:val="hybridMultilevel"/>
    <w:tmpl w:val="B972FCCE"/>
    <w:name w:val="WW8Num3922"/>
    <w:lvl w:ilvl="0" w:tplc="7610E81E">
      <w:start w:val="1"/>
      <w:numFmt w:val="decimal"/>
      <w:lvlText w:val="%1)"/>
      <w:lvlJc w:val="left"/>
      <w:pPr>
        <w:tabs>
          <w:tab w:val="num" w:pos="0"/>
        </w:tabs>
        <w:ind w:left="720" w:hanging="360"/>
      </w:pPr>
      <w:rPr>
        <w:rFonts w:cs="Times New Roman" w:hint="default"/>
      </w:rPr>
    </w:lvl>
    <w:lvl w:ilvl="1" w:tplc="563EF580" w:tentative="1">
      <w:start w:val="1"/>
      <w:numFmt w:val="lowerLetter"/>
      <w:lvlText w:val="%2."/>
      <w:lvlJc w:val="left"/>
      <w:pPr>
        <w:ind w:left="1440" w:hanging="360"/>
      </w:pPr>
    </w:lvl>
    <w:lvl w:ilvl="2" w:tplc="AF34E5C4" w:tentative="1">
      <w:start w:val="1"/>
      <w:numFmt w:val="lowerRoman"/>
      <w:lvlText w:val="%3."/>
      <w:lvlJc w:val="right"/>
      <w:pPr>
        <w:ind w:left="2160" w:hanging="180"/>
      </w:pPr>
    </w:lvl>
    <w:lvl w:ilvl="3" w:tplc="29CE1736" w:tentative="1">
      <w:start w:val="1"/>
      <w:numFmt w:val="decimal"/>
      <w:lvlText w:val="%4."/>
      <w:lvlJc w:val="left"/>
      <w:pPr>
        <w:ind w:left="2880" w:hanging="360"/>
      </w:pPr>
    </w:lvl>
    <w:lvl w:ilvl="4" w:tplc="C00058A6" w:tentative="1">
      <w:start w:val="1"/>
      <w:numFmt w:val="lowerLetter"/>
      <w:lvlText w:val="%5."/>
      <w:lvlJc w:val="left"/>
      <w:pPr>
        <w:ind w:left="3600" w:hanging="360"/>
      </w:pPr>
    </w:lvl>
    <w:lvl w:ilvl="5" w:tplc="5F54B638" w:tentative="1">
      <w:start w:val="1"/>
      <w:numFmt w:val="lowerRoman"/>
      <w:lvlText w:val="%6."/>
      <w:lvlJc w:val="right"/>
      <w:pPr>
        <w:ind w:left="4320" w:hanging="180"/>
      </w:pPr>
    </w:lvl>
    <w:lvl w:ilvl="6" w:tplc="1DBADEF4" w:tentative="1">
      <w:start w:val="1"/>
      <w:numFmt w:val="decimal"/>
      <w:lvlText w:val="%7."/>
      <w:lvlJc w:val="left"/>
      <w:pPr>
        <w:ind w:left="5040" w:hanging="360"/>
      </w:pPr>
    </w:lvl>
    <w:lvl w:ilvl="7" w:tplc="B89248B6" w:tentative="1">
      <w:start w:val="1"/>
      <w:numFmt w:val="lowerLetter"/>
      <w:lvlText w:val="%8."/>
      <w:lvlJc w:val="left"/>
      <w:pPr>
        <w:ind w:left="5760" w:hanging="360"/>
      </w:pPr>
    </w:lvl>
    <w:lvl w:ilvl="8" w:tplc="C7AE1CC6" w:tentative="1">
      <w:start w:val="1"/>
      <w:numFmt w:val="lowerRoman"/>
      <w:lvlText w:val="%9."/>
      <w:lvlJc w:val="right"/>
      <w:pPr>
        <w:ind w:left="6480" w:hanging="180"/>
      </w:pPr>
    </w:lvl>
  </w:abstractNum>
  <w:abstractNum w:abstractNumId="120" w15:restartNumberingAfterBreak="0">
    <w:nsid w:val="46364F7D"/>
    <w:multiLevelType w:val="hybridMultilevel"/>
    <w:tmpl w:val="8D36E34E"/>
    <w:lvl w:ilvl="0" w:tplc="D32CBAAC">
      <w:start w:val="1"/>
      <w:numFmt w:val="decimal"/>
      <w:lvlText w:val="%1)"/>
      <w:lvlJc w:val="left"/>
      <w:pPr>
        <w:ind w:left="720" w:hanging="360"/>
      </w:pPr>
      <w:rPr>
        <w:rFonts w:cs="Times New Roman"/>
      </w:rPr>
    </w:lvl>
    <w:lvl w:ilvl="1" w:tplc="DDB4BCFA" w:tentative="1">
      <w:start w:val="1"/>
      <w:numFmt w:val="lowerLetter"/>
      <w:lvlText w:val="%2."/>
      <w:lvlJc w:val="left"/>
      <w:pPr>
        <w:ind w:left="1440" w:hanging="360"/>
      </w:pPr>
      <w:rPr>
        <w:rFonts w:cs="Times New Roman"/>
      </w:rPr>
    </w:lvl>
    <w:lvl w:ilvl="2" w:tplc="48E86E3E" w:tentative="1">
      <w:start w:val="1"/>
      <w:numFmt w:val="lowerRoman"/>
      <w:lvlText w:val="%3."/>
      <w:lvlJc w:val="right"/>
      <w:pPr>
        <w:ind w:left="2160" w:hanging="180"/>
      </w:pPr>
      <w:rPr>
        <w:rFonts w:cs="Times New Roman"/>
      </w:rPr>
    </w:lvl>
    <w:lvl w:ilvl="3" w:tplc="BCEADF36" w:tentative="1">
      <w:start w:val="1"/>
      <w:numFmt w:val="decimal"/>
      <w:lvlText w:val="%4."/>
      <w:lvlJc w:val="left"/>
      <w:pPr>
        <w:ind w:left="2880" w:hanging="360"/>
      </w:pPr>
      <w:rPr>
        <w:rFonts w:cs="Times New Roman"/>
      </w:rPr>
    </w:lvl>
    <w:lvl w:ilvl="4" w:tplc="CD12AFE4" w:tentative="1">
      <w:start w:val="1"/>
      <w:numFmt w:val="lowerLetter"/>
      <w:lvlText w:val="%5."/>
      <w:lvlJc w:val="left"/>
      <w:pPr>
        <w:ind w:left="3600" w:hanging="360"/>
      </w:pPr>
      <w:rPr>
        <w:rFonts w:cs="Times New Roman"/>
      </w:rPr>
    </w:lvl>
    <w:lvl w:ilvl="5" w:tplc="620AB4BE" w:tentative="1">
      <w:start w:val="1"/>
      <w:numFmt w:val="lowerRoman"/>
      <w:lvlText w:val="%6."/>
      <w:lvlJc w:val="right"/>
      <w:pPr>
        <w:ind w:left="4320" w:hanging="180"/>
      </w:pPr>
      <w:rPr>
        <w:rFonts w:cs="Times New Roman"/>
      </w:rPr>
    </w:lvl>
    <w:lvl w:ilvl="6" w:tplc="89144C24" w:tentative="1">
      <w:start w:val="1"/>
      <w:numFmt w:val="decimal"/>
      <w:lvlText w:val="%7."/>
      <w:lvlJc w:val="left"/>
      <w:pPr>
        <w:ind w:left="5040" w:hanging="360"/>
      </w:pPr>
      <w:rPr>
        <w:rFonts w:cs="Times New Roman"/>
      </w:rPr>
    </w:lvl>
    <w:lvl w:ilvl="7" w:tplc="7628821C" w:tentative="1">
      <w:start w:val="1"/>
      <w:numFmt w:val="lowerLetter"/>
      <w:lvlText w:val="%8."/>
      <w:lvlJc w:val="left"/>
      <w:pPr>
        <w:ind w:left="5760" w:hanging="360"/>
      </w:pPr>
      <w:rPr>
        <w:rFonts w:cs="Times New Roman"/>
      </w:rPr>
    </w:lvl>
    <w:lvl w:ilvl="8" w:tplc="DA6AA0BC" w:tentative="1">
      <w:start w:val="1"/>
      <w:numFmt w:val="lowerRoman"/>
      <w:lvlText w:val="%9."/>
      <w:lvlJc w:val="right"/>
      <w:pPr>
        <w:ind w:left="6480" w:hanging="180"/>
      </w:pPr>
      <w:rPr>
        <w:rFonts w:cs="Times New Roman"/>
      </w:rPr>
    </w:lvl>
  </w:abstractNum>
  <w:abstractNum w:abstractNumId="121" w15:restartNumberingAfterBreak="0">
    <w:nsid w:val="463E0595"/>
    <w:multiLevelType w:val="hybridMultilevel"/>
    <w:tmpl w:val="93FA7BD4"/>
    <w:lvl w:ilvl="0" w:tplc="12549D26">
      <w:start w:val="1"/>
      <w:numFmt w:val="upperLetter"/>
      <w:lvlText w:val="%1."/>
      <w:lvlJc w:val="left"/>
      <w:pPr>
        <w:ind w:left="720" w:hanging="360"/>
      </w:pPr>
    </w:lvl>
    <w:lvl w:ilvl="1" w:tplc="6BB699B4">
      <w:start w:val="1"/>
      <w:numFmt w:val="lowerLetter"/>
      <w:lvlText w:val="%2."/>
      <w:lvlJc w:val="left"/>
      <w:pPr>
        <w:ind w:left="1440" w:hanging="360"/>
      </w:pPr>
    </w:lvl>
    <w:lvl w:ilvl="2" w:tplc="1D9EC0AE" w:tentative="1">
      <w:start w:val="1"/>
      <w:numFmt w:val="lowerRoman"/>
      <w:lvlText w:val="%3."/>
      <w:lvlJc w:val="right"/>
      <w:pPr>
        <w:ind w:left="2160" w:hanging="180"/>
      </w:pPr>
    </w:lvl>
    <w:lvl w:ilvl="3" w:tplc="6492A1A2" w:tentative="1">
      <w:start w:val="1"/>
      <w:numFmt w:val="decimal"/>
      <w:lvlText w:val="%4."/>
      <w:lvlJc w:val="left"/>
      <w:pPr>
        <w:ind w:left="2880" w:hanging="360"/>
      </w:pPr>
    </w:lvl>
    <w:lvl w:ilvl="4" w:tplc="662C1E24" w:tentative="1">
      <w:start w:val="1"/>
      <w:numFmt w:val="lowerLetter"/>
      <w:lvlText w:val="%5."/>
      <w:lvlJc w:val="left"/>
      <w:pPr>
        <w:ind w:left="3600" w:hanging="360"/>
      </w:pPr>
    </w:lvl>
    <w:lvl w:ilvl="5" w:tplc="BBD8E3AA" w:tentative="1">
      <w:start w:val="1"/>
      <w:numFmt w:val="lowerRoman"/>
      <w:lvlText w:val="%6."/>
      <w:lvlJc w:val="right"/>
      <w:pPr>
        <w:ind w:left="4320" w:hanging="180"/>
      </w:pPr>
    </w:lvl>
    <w:lvl w:ilvl="6" w:tplc="B30AF3BC" w:tentative="1">
      <w:start w:val="1"/>
      <w:numFmt w:val="decimal"/>
      <w:lvlText w:val="%7."/>
      <w:lvlJc w:val="left"/>
      <w:pPr>
        <w:ind w:left="5040" w:hanging="360"/>
      </w:pPr>
    </w:lvl>
    <w:lvl w:ilvl="7" w:tplc="19F407C4" w:tentative="1">
      <w:start w:val="1"/>
      <w:numFmt w:val="lowerLetter"/>
      <w:lvlText w:val="%8."/>
      <w:lvlJc w:val="left"/>
      <w:pPr>
        <w:ind w:left="5760" w:hanging="360"/>
      </w:pPr>
    </w:lvl>
    <w:lvl w:ilvl="8" w:tplc="39E466C2" w:tentative="1">
      <w:start w:val="1"/>
      <w:numFmt w:val="lowerRoman"/>
      <w:lvlText w:val="%9."/>
      <w:lvlJc w:val="right"/>
      <w:pPr>
        <w:ind w:left="6480" w:hanging="180"/>
      </w:pPr>
    </w:lvl>
  </w:abstractNum>
  <w:abstractNum w:abstractNumId="122" w15:restartNumberingAfterBreak="0">
    <w:nsid w:val="46614250"/>
    <w:multiLevelType w:val="hybridMultilevel"/>
    <w:tmpl w:val="7BEA3988"/>
    <w:lvl w:ilvl="0" w:tplc="E09C8130">
      <w:start w:val="1"/>
      <w:numFmt w:val="decimal"/>
      <w:lvlText w:val="%1)"/>
      <w:lvlJc w:val="left"/>
      <w:pPr>
        <w:ind w:left="720" w:hanging="360"/>
      </w:pPr>
      <w:rPr>
        <w:rFonts w:cs="Times New Roman"/>
      </w:rPr>
    </w:lvl>
    <w:lvl w:ilvl="1" w:tplc="769E1054" w:tentative="1">
      <w:start w:val="1"/>
      <w:numFmt w:val="lowerLetter"/>
      <w:lvlText w:val="%2."/>
      <w:lvlJc w:val="left"/>
      <w:pPr>
        <w:ind w:left="1440" w:hanging="360"/>
      </w:pPr>
      <w:rPr>
        <w:rFonts w:cs="Times New Roman"/>
      </w:rPr>
    </w:lvl>
    <w:lvl w:ilvl="2" w:tplc="D30C071A" w:tentative="1">
      <w:start w:val="1"/>
      <w:numFmt w:val="lowerRoman"/>
      <w:lvlText w:val="%3."/>
      <w:lvlJc w:val="right"/>
      <w:pPr>
        <w:ind w:left="2160" w:hanging="180"/>
      </w:pPr>
      <w:rPr>
        <w:rFonts w:cs="Times New Roman"/>
      </w:rPr>
    </w:lvl>
    <w:lvl w:ilvl="3" w:tplc="DFD8046E" w:tentative="1">
      <w:start w:val="1"/>
      <w:numFmt w:val="decimal"/>
      <w:lvlText w:val="%4."/>
      <w:lvlJc w:val="left"/>
      <w:pPr>
        <w:ind w:left="2880" w:hanging="360"/>
      </w:pPr>
      <w:rPr>
        <w:rFonts w:cs="Times New Roman"/>
      </w:rPr>
    </w:lvl>
    <w:lvl w:ilvl="4" w:tplc="5CDCE5BC" w:tentative="1">
      <w:start w:val="1"/>
      <w:numFmt w:val="lowerLetter"/>
      <w:lvlText w:val="%5."/>
      <w:lvlJc w:val="left"/>
      <w:pPr>
        <w:ind w:left="3600" w:hanging="360"/>
      </w:pPr>
      <w:rPr>
        <w:rFonts w:cs="Times New Roman"/>
      </w:rPr>
    </w:lvl>
    <w:lvl w:ilvl="5" w:tplc="F57ACC30" w:tentative="1">
      <w:start w:val="1"/>
      <w:numFmt w:val="lowerRoman"/>
      <w:lvlText w:val="%6."/>
      <w:lvlJc w:val="right"/>
      <w:pPr>
        <w:ind w:left="4320" w:hanging="180"/>
      </w:pPr>
      <w:rPr>
        <w:rFonts w:cs="Times New Roman"/>
      </w:rPr>
    </w:lvl>
    <w:lvl w:ilvl="6" w:tplc="FF7CC9D0" w:tentative="1">
      <w:start w:val="1"/>
      <w:numFmt w:val="decimal"/>
      <w:lvlText w:val="%7."/>
      <w:lvlJc w:val="left"/>
      <w:pPr>
        <w:ind w:left="5040" w:hanging="360"/>
      </w:pPr>
      <w:rPr>
        <w:rFonts w:cs="Times New Roman"/>
      </w:rPr>
    </w:lvl>
    <w:lvl w:ilvl="7" w:tplc="BDBC8C04" w:tentative="1">
      <w:start w:val="1"/>
      <w:numFmt w:val="lowerLetter"/>
      <w:lvlText w:val="%8."/>
      <w:lvlJc w:val="left"/>
      <w:pPr>
        <w:ind w:left="5760" w:hanging="360"/>
      </w:pPr>
      <w:rPr>
        <w:rFonts w:cs="Times New Roman"/>
      </w:rPr>
    </w:lvl>
    <w:lvl w:ilvl="8" w:tplc="1EC25B7C" w:tentative="1">
      <w:start w:val="1"/>
      <w:numFmt w:val="lowerRoman"/>
      <w:lvlText w:val="%9."/>
      <w:lvlJc w:val="right"/>
      <w:pPr>
        <w:ind w:left="6480" w:hanging="180"/>
      </w:pPr>
      <w:rPr>
        <w:rFonts w:cs="Times New Roman"/>
      </w:rPr>
    </w:lvl>
  </w:abstractNum>
  <w:abstractNum w:abstractNumId="123" w15:restartNumberingAfterBreak="0">
    <w:nsid w:val="47D876D6"/>
    <w:multiLevelType w:val="hybridMultilevel"/>
    <w:tmpl w:val="87509524"/>
    <w:lvl w:ilvl="0" w:tplc="EB26B21C">
      <w:start w:val="1"/>
      <w:numFmt w:val="lowerLetter"/>
      <w:lvlText w:val="%1)"/>
      <w:lvlJc w:val="left"/>
      <w:pPr>
        <w:ind w:left="720" w:hanging="360"/>
      </w:pPr>
      <w:rPr>
        <w:rFonts w:cs="Times New Roman" w:hint="default"/>
      </w:rPr>
    </w:lvl>
    <w:lvl w:ilvl="1" w:tplc="92BCC1FA" w:tentative="1">
      <w:start w:val="1"/>
      <w:numFmt w:val="lowerLetter"/>
      <w:lvlText w:val="%2."/>
      <w:lvlJc w:val="left"/>
      <w:pPr>
        <w:ind w:left="1440" w:hanging="360"/>
      </w:pPr>
    </w:lvl>
    <w:lvl w:ilvl="2" w:tplc="21E4941A" w:tentative="1">
      <w:start w:val="1"/>
      <w:numFmt w:val="lowerRoman"/>
      <w:lvlText w:val="%3."/>
      <w:lvlJc w:val="right"/>
      <w:pPr>
        <w:ind w:left="2160" w:hanging="180"/>
      </w:pPr>
    </w:lvl>
    <w:lvl w:ilvl="3" w:tplc="4DC84AC8" w:tentative="1">
      <w:start w:val="1"/>
      <w:numFmt w:val="decimal"/>
      <w:lvlText w:val="%4."/>
      <w:lvlJc w:val="left"/>
      <w:pPr>
        <w:ind w:left="2880" w:hanging="360"/>
      </w:pPr>
    </w:lvl>
    <w:lvl w:ilvl="4" w:tplc="397E27BE" w:tentative="1">
      <w:start w:val="1"/>
      <w:numFmt w:val="lowerLetter"/>
      <w:lvlText w:val="%5."/>
      <w:lvlJc w:val="left"/>
      <w:pPr>
        <w:ind w:left="3600" w:hanging="360"/>
      </w:pPr>
    </w:lvl>
    <w:lvl w:ilvl="5" w:tplc="FEE088F4" w:tentative="1">
      <w:start w:val="1"/>
      <w:numFmt w:val="lowerRoman"/>
      <w:lvlText w:val="%6."/>
      <w:lvlJc w:val="right"/>
      <w:pPr>
        <w:ind w:left="4320" w:hanging="180"/>
      </w:pPr>
    </w:lvl>
    <w:lvl w:ilvl="6" w:tplc="68863F7A" w:tentative="1">
      <w:start w:val="1"/>
      <w:numFmt w:val="decimal"/>
      <w:lvlText w:val="%7."/>
      <w:lvlJc w:val="left"/>
      <w:pPr>
        <w:ind w:left="5040" w:hanging="360"/>
      </w:pPr>
    </w:lvl>
    <w:lvl w:ilvl="7" w:tplc="92FA1346" w:tentative="1">
      <w:start w:val="1"/>
      <w:numFmt w:val="lowerLetter"/>
      <w:lvlText w:val="%8."/>
      <w:lvlJc w:val="left"/>
      <w:pPr>
        <w:ind w:left="5760" w:hanging="360"/>
      </w:pPr>
    </w:lvl>
    <w:lvl w:ilvl="8" w:tplc="D7AC6DA4" w:tentative="1">
      <w:start w:val="1"/>
      <w:numFmt w:val="lowerRoman"/>
      <w:lvlText w:val="%9."/>
      <w:lvlJc w:val="right"/>
      <w:pPr>
        <w:ind w:left="6480" w:hanging="180"/>
      </w:pPr>
    </w:lvl>
  </w:abstractNum>
  <w:abstractNum w:abstractNumId="124" w15:restartNumberingAfterBreak="0">
    <w:nsid w:val="482E6239"/>
    <w:multiLevelType w:val="multilevel"/>
    <w:tmpl w:val="EA0A1560"/>
    <w:lvl w:ilvl="0">
      <w:start w:val="1"/>
      <w:numFmt w:val="none"/>
      <w:pStyle w:val="Nadpis1Arial"/>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5" w15:restartNumberingAfterBreak="0">
    <w:nsid w:val="49131F2B"/>
    <w:multiLevelType w:val="hybridMultilevel"/>
    <w:tmpl w:val="A3603354"/>
    <w:lvl w:ilvl="0" w:tplc="DAD6BBBC">
      <w:start w:val="1"/>
      <w:numFmt w:val="decimal"/>
      <w:lvlText w:val="%1)"/>
      <w:lvlJc w:val="left"/>
      <w:pPr>
        <w:ind w:left="720" w:hanging="360"/>
      </w:pPr>
      <w:rPr>
        <w:rFonts w:hint="default"/>
      </w:rPr>
    </w:lvl>
    <w:lvl w:ilvl="1" w:tplc="CF663732" w:tentative="1">
      <w:start w:val="1"/>
      <w:numFmt w:val="lowerLetter"/>
      <w:lvlText w:val="%2."/>
      <w:lvlJc w:val="left"/>
      <w:pPr>
        <w:ind w:left="1440" w:hanging="360"/>
      </w:pPr>
    </w:lvl>
    <w:lvl w:ilvl="2" w:tplc="C3CAB65A" w:tentative="1">
      <w:start w:val="1"/>
      <w:numFmt w:val="lowerRoman"/>
      <w:lvlText w:val="%3."/>
      <w:lvlJc w:val="right"/>
      <w:pPr>
        <w:ind w:left="2160" w:hanging="180"/>
      </w:pPr>
    </w:lvl>
    <w:lvl w:ilvl="3" w:tplc="3E3CEA0E" w:tentative="1">
      <w:start w:val="1"/>
      <w:numFmt w:val="decimal"/>
      <w:lvlText w:val="%4."/>
      <w:lvlJc w:val="left"/>
      <w:pPr>
        <w:ind w:left="2880" w:hanging="360"/>
      </w:pPr>
    </w:lvl>
    <w:lvl w:ilvl="4" w:tplc="DA488814" w:tentative="1">
      <w:start w:val="1"/>
      <w:numFmt w:val="lowerLetter"/>
      <w:lvlText w:val="%5."/>
      <w:lvlJc w:val="left"/>
      <w:pPr>
        <w:ind w:left="3600" w:hanging="360"/>
      </w:pPr>
    </w:lvl>
    <w:lvl w:ilvl="5" w:tplc="D082C038" w:tentative="1">
      <w:start w:val="1"/>
      <w:numFmt w:val="lowerRoman"/>
      <w:lvlText w:val="%6."/>
      <w:lvlJc w:val="right"/>
      <w:pPr>
        <w:ind w:left="4320" w:hanging="180"/>
      </w:pPr>
    </w:lvl>
    <w:lvl w:ilvl="6" w:tplc="B2201716" w:tentative="1">
      <w:start w:val="1"/>
      <w:numFmt w:val="decimal"/>
      <w:lvlText w:val="%7."/>
      <w:lvlJc w:val="left"/>
      <w:pPr>
        <w:ind w:left="5040" w:hanging="360"/>
      </w:pPr>
    </w:lvl>
    <w:lvl w:ilvl="7" w:tplc="1E7A9578" w:tentative="1">
      <w:start w:val="1"/>
      <w:numFmt w:val="lowerLetter"/>
      <w:lvlText w:val="%8."/>
      <w:lvlJc w:val="left"/>
      <w:pPr>
        <w:ind w:left="5760" w:hanging="360"/>
      </w:pPr>
    </w:lvl>
    <w:lvl w:ilvl="8" w:tplc="98185D5C" w:tentative="1">
      <w:start w:val="1"/>
      <w:numFmt w:val="lowerRoman"/>
      <w:lvlText w:val="%9."/>
      <w:lvlJc w:val="right"/>
      <w:pPr>
        <w:ind w:left="6480" w:hanging="180"/>
      </w:pPr>
    </w:lvl>
  </w:abstractNum>
  <w:abstractNum w:abstractNumId="126" w15:restartNumberingAfterBreak="0">
    <w:nsid w:val="49B01E65"/>
    <w:multiLevelType w:val="hybridMultilevel"/>
    <w:tmpl w:val="CA44156A"/>
    <w:lvl w:ilvl="0" w:tplc="AD52A82A">
      <w:start w:val="1"/>
      <w:numFmt w:val="decimal"/>
      <w:lvlText w:val="%1)"/>
      <w:lvlJc w:val="left"/>
      <w:pPr>
        <w:ind w:left="720" w:hanging="360"/>
      </w:pPr>
      <w:rPr>
        <w:rFonts w:hint="default"/>
      </w:rPr>
    </w:lvl>
    <w:lvl w:ilvl="1" w:tplc="D69A5A92" w:tentative="1">
      <w:start w:val="1"/>
      <w:numFmt w:val="lowerLetter"/>
      <w:lvlText w:val="%2."/>
      <w:lvlJc w:val="left"/>
      <w:pPr>
        <w:ind w:left="1440" w:hanging="360"/>
      </w:pPr>
    </w:lvl>
    <w:lvl w:ilvl="2" w:tplc="09A41646" w:tentative="1">
      <w:start w:val="1"/>
      <w:numFmt w:val="lowerRoman"/>
      <w:lvlText w:val="%3."/>
      <w:lvlJc w:val="right"/>
      <w:pPr>
        <w:ind w:left="2160" w:hanging="180"/>
      </w:pPr>
    </w:lvl>
    <w:lvl w:ilvl="3" w:tplc="BB18FF6C" w:tentative="1">
      <w:start w:val="1"/>
      <w:numFmt w:val="decimal"/>
      <w:lvlText w:val="%4."/>
      <w:lvlJc w:val="left"/>
      <w:pPr>
        <w:ind w:left="2880" w:hanging="360"/>
      </w:pPr>
    </w:lvl>
    <w:lvl w:ilvl="4" w:tplc="9006CC62" w:tentative="1">
      <w:start w:val="1"/>
      <w:numFmt w:val="lowerLetter"/>
      <w:lvlText w:val="%5."/>
      <w:lvlJc w:val="left"/>
      <w:pPr>
        <w:ind w:left="3600" w:hanging="360"/>
      </w:pPr>
    </w:lvl>
    <w:lvl w:ilvl="5" w:tplc="6A62CAA2" w:tentative="1">
      <w:start w:val="1"/>
      <w:numFmt w:val="lowerRoman"/>
      <w:lvlText w:val="%6."/>
      <w:lvlJc w:val="right"/>
      <w:pPr>
        <w:ind w:left="4320" w:hanging="180"/>
      </w:pPr>
    </w:lvl>
    <w:lvl w:ilvl="6" w:tplc="24149850" w:tentative="1">
      <w:start w:val="1"/>
      <w:numFmt w:val="decimal"/>
      <w:lvlText w:val="%7."/>
      <w:lvlJc w:val="left"/>
      <w:pPr>
        <w:ind w:left="5040" w:hanging="360"/>
      </w:pPr>
    </w:lvl>
    <w:lvl w:ilvl="7" w:tplc="BFF49E8E" w:tentative="1">
      <w:start w:val="1"/>
      <w:numFmt w:val="lowerLetter"/>
      <w:lvlText w:val="%8."/>
      <w:lvlJc w:val="left"/>
      <w:pPr>
        <w:ind w:left="5760" w:hanging="360"/>
      </w:pPr>
    </w:lvl>
    <w:lvl w:ilvl="8" w:tplc="4DC61FA6" w:tentative="1">
      <w:start w:val="1"/>
      <w:numFmt w:val="lowerRoman"/>
      <w:lvlText w:val="%9."/>
      <w:lvlJc w:val="right"/>
      <w:pPr>
        <w:ind w:left="6480" w:hanging="180"/>
      </w:pPr>
    </w:lvl>
  </w:abstractNum>
  <w:abstractNum w:abstractNumId="127" w15:restartNumberingAfterBreak="0">
    <w:nsid w:val="4A0308D9"/>
    <w:multiLevelType w:val="hybridMultilevel"/>
    <w:tmpl w:val="E7B6C4DC"/>
    <w:lvl w:ilvl="0" w:tplc="7AC07E54">
      <w:start w:val="1"/>
      <w:numFmt w:val="lowerLetter"/>
      <w:lvlText w:val="%1)"/>
      <w:lvlJc w:val="left"/>
      <w:pPr>
        <w:ind w:left="984" w:hanging="360"/>
      </w:pPr>
      <w:rPr>
        <w:rFonts w:hint="default"/>
      </w:rPr>
    </w:lvl>
    <w:lvl w:ilvl="1" w:tplc="CCEADFCC" w:tentative="1">
      <w:start w:val="1"/>
      <w:numFmt w:val="lowerLetter"/>
      <w:lvlText w:val="%2."/>
      <w:lvlJc w:val="left"/>
      <w:pPr>
        <w:ind w:left="1704" w:hanging="360"/>
      </w:pPr>
    </w:lvl>
    <w:lvl w:ilvl="2" w:tplc="4C28067A" w:tentative="1">
      <w:start w:val="1"/>
      <w:numFmt w:val="lowerRoman"/>
      <w:lvlText w:val="%3."/>
      <w:lvlJc w:val="right"/>
      <w:pPr>
        <w:ind w:left="2424" w:hanging="180"/>
      </w:pPr>
    </w:lvl>
    <w:lvl w:ilvl="3" w:tplc="ED9036DC" w:tentative="1">
      <w:start w:val="1"/>
      <w:numFmt w:val="decimal"/>
      <w:lvlText w:val="%4."/>
      <w:lvlJc w:val="left"/>
      <w:pPr>
        <w:ind w:left="3144" w:hanging="360"/>
      </w:pPr>
    </w:lvl>
    <w:lvl w:ilvl="4" w:tplc="F3467E00" w:tentative="1">
      <w:start w:val="1"/>
      <w:numFmt w:val="lowerLetter"/>
      <w:lvlText w:val="%5."/>
      <w:lvlJc w:val="left"/>
      <w:pPr>
        <w:ind w:left="3864" w:hanging="360"/>
      </w:pPr>
    </w:lvl>
    <w:lvl w:ilvl="5" w:tplc="36048B32" w:tentative="1">
      <w:start w:val="1"/>
      <w:numFmt w:val="lowerRoman"/>
      <w:lvlText w:val="%6."/>
      <w:lvlJc w:val="right"/>
      <w:pPr>
        <w:ind w:left="4584" w:hanging="180"/>
      </w:pPr>
    </w:lvl>
    <w:lvl w:ilvl="6" w:tplc="8AEE42F8" w:tentative="1">
      <w:start w:val="1"/>
      <w:numFmt w:val="decimal"/>
      <w:lvlText w:val="%7."/>
      <w:lvlJc w:val="left"/>
      <w:pPr>
        <w:ind w:left="5304" w:hanging="360"/>
      </w:pPr>
    </w:lvl>
    <w:lvl w:ilvl="7" w:tplc="8220873A" w:tentative="1">
      <w:start w:val="1"/>
      <w:numFmt w:val="lowerLetter"/>
      <w:lvlText w:val="%8."/>
      <w:lvlJc w:val="left"/>
      <w:pPr>
        <w:ind w:left="6024" w:hanging="360"/>
      </w:pPr>
    </w:lvl>
    <w:lvl w:ilvl="8" w:tplc="33906472" w:tentative="1">
      <w:start w:val="1"/>
      <w:numFmt w:val="lowerRoman"/>
      <w:lvlText w:val="%9."/>
      <w:lvlJc w:val="right"/>
      <w:pPr>
        <w:ind w:left="6744" w:hanging="180"/>
      </w:pPr>
    </w:lvl>
  </w:abstractNum>
  <w:abstractNum w:abstractNumId="128" w15:restartNumberingAfterBreak="0">
    <w:nsid w:val="4AEB6502"/>
    <w:multiLevelType w:val="multilevel"/>
    <w:tmpl w:val="B3289CE0"/>
    <w:lvl w:ilvl="0">
      <w:start w:val="1"/>
      <w:numFmt w:val="decimal"/>
      <w:lvlText w:val="%1."/>
      <w:lvlJc w:val="left"/>
      <w:pPr>
        <w:ind w:left="705" w:firstLine="0"/>
      </w:pPr>
      <w:rPr>
        <w:color w:val="000000"/>
      </w:rPr>
    </w:lvl>
    <w:lvl w:ilvl="1">
      <w:start w:val="1"/>
      <w:numFmt w:val="bullet"/>
      <w:lvlText w:val="•"/>
      <w:lvlJc w:val="left"/>
      <w:pPr>
        <w:ind w:left="1440" w:hanging="360"/>
      </w:pPr>
      <w:rPr>
        <w:rFonts w:ascii="Symbol" w:eastAsia="Symbol" w:hAnsi="Symbol" w:cs="Symbol" w:hint="default"/>
      </w:rPr>
    </w:lvl>
    <w:lvl w:ilvl="2">
      <w:start w:val="1"/>
      <w:numFmt w:val="bullet"/>
      <w:lvlText w:val="▪"/>
      <w:lvlJc w:val="left"/>
      <w:pPr>
        <w:ind w:left="2160" w:hanging="360"/>
      </w:pPr>
      <w:rPr>
        <w:rFonts w:ascii="Symbol" w:eastAsia="Symbol" w:hAnsi="Symbol" w:cs="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Symbol" w:eastAsia="Symbol" w:hAnsi="Symbol" w:cs="Symbol" w:hint="default"/>
      </w:rPr>
    </w:lvl>
    <w:lvl w:ilvl="5">
      <w:start w:val="1"/>
      <w:numFmt w:val="bullet"/>
      <w:lvlText w:val="▪"/>
      <w:lvlJc w:val="left"/>
      <w:pPr>
        <w:ind w:left="4320" w:hanging="360"/>
      </w:pPr>
      <w:rPr>
        <w:rFonts w:ascii="Symbol" w:eastAsia="Symbol" w:hAnsi="Symbol" w:cs="Symbol"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Symbol" w:eastAsia="Symbol" w:hAnsi="Symbol" w:cs="Symbol" w:hint="default"/>
      </w:rPr>
    </w:lvl>
    <w:lvl w:ilvl="8">
      <w:start w:val="1"/>
      <w:numFmt w:val="bullet"/>
      <w:lvlText w:val="▪"/>
      <w:lvlJc w:val="left"/>
      <w:pPr>
        <w:ind w:left="6480" w:hanging="360"/>
      </w:pPr>
      <w:rPr>
        <w:rFonts w:ascii="Symbol" w:eastAsia="Symbol" w:hAnsi="Symbol" w:cs="Symbol" w:hint="default"/>
      </w:rPr>
    </w:lvl>
  </w:abstractNum>
  <w:abstractNum w:abstractNumId="129" w15:restartNumberingAfterBreak="0">
    <w:nsid w:val="4C0E0AF9"/>
    <w:multiLevelType w:val="hybridMultilevel"/>
    <w:tmpl w:val="491E876C"/>
    <w:name w:val="WW8Num392"/>
    <w:lvl w:ilvl="0" w:tplc="0B307366">
      <w:start w:val="1"/>
      <w:numFmt w:val="decimal"/>
      <w:lvlText w:val="%1)"/>
      <w:lvlJc w:val="left"/>
      <w:pPr>
        <w:tabs>
          <w:tab w:val="num" w:pos="0"/>
        </w:tabs>
        <w:ind w:left="720" w:hanging="360"/>
      </w:pPr>
      <w:rPr>
        <w:rFonts w:cs="Times New Roman" w:hint="default"/>
      </w:rPr>
    </w:lvl>
    <w:lvl w:ilvl="1" w:tplc="7F84610C" w:tentative="1">
      <w:start w:val="1"/>
      <w:numFmt w:val="lowerLetter"/>
      <w:lvlText w:val="%2."/>
      <w:lvlJc w:val="left"/>
      <w:pPr>
        <w:ind w:left="1440" w:hanging="360"/>
      </w:pPr>
    </w:lvl>
    <w:lvl w:ilvl="2" w:tplc="8F4AAE68" w:tentative="1">
      <w:start w:val="1"/>
      <w:numFmt w:val="lowerRoman"/>
      <w:lvlText w:val="%3."/>
      <w:lvlJc w:val="right"/>
      <w:pPr>
        <w:ind w:left="2160" w:hanging="180"/>
      </w:pPr>
    </w:lvl>
    <w:lvl w:ilvl="3" w:tplc="3E000C16" w:tentative="1">
      <w:start w:val="1"/>
      <w:numFmt w:val="decimal"/>
      <w:lvlText w:val="%4."/>
      <w:lvlJc w:val="left"/>
      <w:pPr>
        <w:ind w:left="2880" w:hanging="360"/>
      </w:pPr>
    </w:lvl>
    <w:lvl w:ilvl="4" w:tplc="237CD39A" w:tentative="1">
      <w:start w:val="1"/>
      <w:numFmt w:val="lowerLetter"/>
      <w:lvlText w:val="%5."/>
      <w:lvlJc w:val="left"/>
      <w:pPr>
        <w:ind w:left="3600" w:hanging="360"/>
      </w:pPr>
    </w:lvl>
    <w:lvl w:ilvl="5" w:tplc="336ABDBA" w:tentative="1">
      <w:start w:val="1"/>
      <w:numFmt w:val="lowerRoman"/>
      <w:lvlText w:val="%6."/>
      <w:lvlJc w:val="right"/>
      <w:pPr>
        <w:ind w:left="4320" w:hanging="180"/>
      </w:pPr>
    </w:lvl>
    <w:lvl w:ilvl="6" w:tplc="4364E2D2" w:tentative="1">
      <w:start w:val="1"/>
      <w:numFmt w:val="decimal"/>
      <w:lvlText w:val="%7."/>
      <w:lvlJc w:val="left"/>
      <w:pPr>
        <w:ind w:left="5040" w:hanging="360"/>
      </w:pPr>
    </w:lvl>
    <w:lvl w:ilvl="7" w:tplc="29B44164" w:tentative="1">
      <w:start w:val="1"/>
      <w:numFmt w:val="lowerLetter"/>
      <w:lvlText w:val="%8."/>
      <w:lvlJc w:val="left"/>
      <w:pPr>
        <w:ind w:left="5760" w:hanging="360"/>
      </w:pPr>
    </w:lvl>
    <w:lvl w:ilvl="8" w:tplc="2DD822CC" w:tentative="1">
      <w:start w:val="1"/>
      <w:numFmt w:val="lowerRoman"/>
      <w:lvlText w:val="%9."/>
      <w:lvlJc w:val="right"/>
      <w:pPr>
        <w:ind w:left="6480" w:hanging="180"/>
      </w:pPr>
    </w:lvl>
  </w:abstractNum>
  <w:abstractNum w:abstractNumId="130" w15:restartNumberingAfterBreak="0">
    <w:nsid w:val="4CB1564A"/>
    <w:multiLevelType w:val="hybridMultilevel"/>
    <w:tmpl w:val="4176B4DA"/>
    <w:lvl w:ilvl="0" w:tplc="75F0FA16">
      <w:start w:val="1"/>
      <w:numFmt w:val="decimal"/>
      <w:lvlText w:val="%1)"/>
      <w:lvlJc w:val="left"/>
      <w:pPr>
        <w:ind w:left="1004" w:hanging="360"/>
      </w:pPr>
      <w:rPr>
        <w:rFonts w:cs="Times New Roman"/>
      </w:rPr>
    </w:lvl>
    <w:lvl w:ilvl="1" w:tplc="E8FA4DB0">
      <w:start w:val="1"/>
      <w:numFmt w:val="decimal"/>
      <w:lvlText w:val="%2)"/>
      <w:lvlJc w:val="left"/>
      <w:pPr>
        <w:ind w:left="1724" w:hanging="360"/>
      </w:pPr>
    </w:lvl>
    <w:lvl w:ilvl="2" w:tplc="B178D186" w:tentative="1">
      <w:start w:val="1"/>
      <w:numFmt w:val="lowerRoman"/>
      <w:lvlText w:val="%3."/>
      <w:lvlJc w:val="right"/>
      <w:pPr>
        <w:ind w:left="2444" w:hanging="180"/>
      </w:pPr>
    </w:lvl>
    <w:lvl w:ilvl="3" w:tplc="C0F4054C" w:tentative="1">
      <w:start w:val="1"/>
      <w:numFmt w:val="decimal"/>
      <w:lvlText w:val="%4."/>
      <w:lvlJc w:val="left"/>
      <w:pPr>
        <w:ind w:left="3164" w:hanging="360"/>
      </w:pPr>
    </w:lvl>
    <w:lvl w:ilvl="4" w:tplc="B6AA37CE" w:tentative="1">
      <w:start w:val="1"/>
      <w:numFmt w:val="lowerLetter"/>
      <w:lvlText w:val="%5."/>
      <w:lvlJc w:val="left"/>
      <w:pPr>
        <w:ind w:left="3884" w:hanging="360"/>
      </w:pPr>
    </w:lvl>
    <w:lvl w:ilvl="5" w:tplc="648E2DE0" w:tentative="1">
      <w:start w:val="1"/>
      <w:numFmt w:val="lowerRoman"/>
      <w:lvlText w:val="%6."/>
      <w:lvlJc w:val="right"/>
      <w:pPr>
        <w:ind w:left="4604" w:hanging="180"/>
      </w:pPr>
    </w:lvl>
    <w:lvl w:ilvl="6" w:tplc="5302084A" w:tentative="1">
      <w:start w:val="1"/>
      <w:numFmt w:val="decimal"/>
      <w:lvlText w:val="%7."/>
      <w:lvlJc w:val="left"/>
      <w:pPr>
        <w:ind w:left="5324" w:hanging="360"/>
      </w:pPr>
    </w:lvl>
    <w:lvl w:ilvl="7" w:tplc="781EB40A" w:tentative="1">
      <w:start w:val="1"/>
      <w:numFmt w:val="lowerLetter"/>
      <w:lvlText w:val="%8."/>
      <w:lvlJc w:val="left"/>
      <w:pPr>
        <w:ind w:left="6044" w:hanging="360"/>
      </w:pPr>
    </w:lvl>
    <w:lvl w:ilvl="8" w:tplc="9B8AA96A" w:tentative="1">
      <w:start w:val="1"/>
      <w:numFmt w:val="lowerRoman"/>
      <w:lvlText w:val="%9."/>
      <w:lvlJc w:val="right"/>
      <w:pPr>
        <w:ind w:left="6764" w:hanging="180"/>
      </w:pPr>
    </w:lvl>
  </w:abstractNum>
  <w:abstractNum w:abstractNumId="131" w15:restartNumberingAfterBreak="0">
    <w:nsid w:val="4CBE493E"/>
    <w:multiLevelType w:val="multilevel"/>
    <w:tmpl w:val="4AB20854"/>
    <w:lvl w:ilvl="0">
      <w:start w:val="1"/>
      <w:numFmt w:val="decimal"/>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32" w15:restartNumberingAfterBreak="0">
    <w:nsid w:val="4CC67A18"/>
    <w:multiLevelType w:val="multilevel"/>
    <w:tmpl w:val="8BAE1640"/>
    <w:lvl w:ilvl="0">
      <w:start w:val="1"/>
      <w:numFmt w:val="decimal"/>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33" w15:restartNumberingAfterBreak="0">
    <w:nsid w:val="4DAD1916"/>
    <w:multiLevelType w:val="multilevel"/>
    <w:tmpl w:val="27B827FC"/>
    <w:lvl w:ilvl="0">
      <w:start w:val="1"/>
      <w:numFmt w:val="bullet"/>
      <w:lvlText w:val="•"/>
      <w:lvlJc w:val="left"/>
      <w:pPr>
        <w:ind w:left="705" w:firstLine="0"/>
      </w:pPr>
      <w:rPr>
        <w:rFonts w:ascii="Symbol" w:eastAsia="Symbol" w:hAnsi="Symbol" w:cs="Symbol" w:hint="default"/>
      </w:rPr>
    </w:lvl>
    <w:lvl w:ilvl="1">
      <w:start w:val="1"/>
      <w:numFmt w:val="bullet"/>
      <w:lvlText w:val="o"/>
      <w:lvlJc w:val="left"/>
      <w:pPr>
        <w:ind w:left="1440" w:hanging="360"/>
      </w:pPr>
      <w:rPr>
        <w:rFonts w:ascii="Symbol" w:eastAsia="Symbol" w:hAnsi="Symbol" w:cs="Symbol" w:hint="default"/>
      </w:rPr>
    </w:lvl>
    <w:lvl w:ilvl="2">
      <w:start w:val="1"/>
      <w:numFmt w:val="bullet"/>
      <w:lvlText w:val="▪"/>
      <w:lvlJc w:val="left"/>
      <w:pPr>
        <w:ind w:left="2160" w:hanging="360"/>
      </w:pPr>
      <w:rPr>
        <w:rFonts w:ascii="Symbol" w:eastAsia="Symbol" w:hAnsi="Symbol" w:cs="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Symbol" w:eastAsia="Symbol" w:hAnsi="Symbol" w:cs="Symbol" w:hint="default"/>
      </w:rPr>
    </w:lvl>
    <w:lvl w:ilvl="5">
      <w:start w:val="1"/>
      <w:numFmt w:val="bullet"/>
      <w:lvlText w:val="▪"/>
      <w:lvlJc w:val="left"/>
      <w:pPr>
        <w:ind w:left="4320" w:hanging="360"/>
      </w:pPr>
      <w:rPr>
        <w:rFonts w:ascii="Symbol" w:eastAsia="Symbol" w:hAnsi="Symbol" w:cs="Symbol"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Symbol" w:eastAsia="Symbol" w:hAnsi="Symbol" w:cs="Symbol" w:hint="default"/>
      </w:rPr>
    </w:lvl>
    <w:lvl w:ilvl="8">
      <w:start w:val="1"/>
      <w:numFmt w:val="bullet"/>
      <w:lvlText w:val="▪"/>
      <w:lvlJc w:val="left"/>
      <w:pPr>
        <w:ind w:left="6480" w:hanging="360"/>
      </w:pPr>
      <w:rPr>
        <w:rFonts w:ascii="Symbol" w:eastAsia="Symbol" w:hAnsi="Symbol" w:cs="Symbol" w:hint="default"/>
      </w:rPr>
    </w:lvl>
  </w:abstractNum>
  <w:abstractNum w:abstractNumId="134" w15:restartNumberingAfterBreak="0">
    <w:nsid w:val="4DD3581F"/>
    <w:multiLevelType w:val="multilevel"/>
    <w:tmpl w:val="ED28D77E"/>
    <w:lvl w:ilvl="0">
      <w:start w:val="1"/>
      <w:numFmt w:val="bullet"/>
      <w:lvlText w:val=""/>
      <w:lvlJc w:val="left"/>
      <w:pPr>
        <w:ind w:left="705" w:firstLine="0"/>
      </w:pPr>
      <w:rPr>
        <w:rFonts w:ascii="Symbol" w:eastAsia="Symbol" w:hAnsi="Symbol" w:cs="Symbol" w:hint="default"/>
      </w:rPr>
    </w:lvl>
    <w:lvl w:ilvl="1">
      <w:start w:val="1"/>
      <w:numFmt w:val="bullet"/>
      <w:lvlText w:val="o"/>
      <w:lvlJc w:val="left"/>
      <w:pPr>
        <w:ind w:left="1440" w:hanging="360"/>
      </w:pPr>
      <w:rPr>
        <w:rFonts w:ascii="Symbol" w:eastAsia="Symbol" w:hAnsi="Symbol" w:cs="Symbol" w:hint="default"/>
      </w:rPr>
    </w:lvl>
    <w:lvl w:ilvl="2">
      <w:start w:val="1"/>
      <w:numFmt w:val="bullet"/>
      <w:lvlText w:val="▪"/>
      <w:lvlJc w:val="left"/>
      <w:pPr>
        <w:ind w:left="2160" w:hanging="360"/>
      </w:pPr>
      <w:rPr>
        <w:rFonts w:ascii="Symbol" w:eastAsia="Symbol" w:hAnsi="Symbol" w:cs="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Symbol" w:eastAsia="Symbol" w:hAnsi="Symbol" w:cs="Symbol" w:hint="default"/>
      </w:rPr>
    </w:lvl>
    <w:lvl w:ilvl="5">
      <w:start w:val="1"/>
      <w:numFmt w:val="bullet"/>
      <w:lvlText w:val="▪"/>
      <w:lvlJc w:val="left"/>
      <w:pPr>
        <w:ind w:left="4320" w:hanging="360"/>
      </w:pPr>
      <w:rPr>
        <w:rFonts w:ascii="Symbol" w:eastAsia="Symbol" w:hAnsi="Symbol" w:cs="Symbol"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Symbol" w:eastAsia="Symbol" w:hAnsi="Symbol" w:cs="Symbol" w:hint="default"/>
      </w:rPr>
    </w:lvl>
    <w:lvl w:ilvl="8">
      <w:start w:val="1"/>
      <w:numFmt w:val="bullet"/>
      <w:lvlText w:val="▪"/>
      <w:lvlJc w:val="left"/>
      <w:pPr>
        <w:ind w:left="6480" w:hanging="360"/>
      </w:pPr>
      <w:rPr>
        <w:rFonts w:ascii="Symbol" w:eastAsia="Symbol" w:hAnsi="Symbol" w:cs="Symbol" w:hint="default"/>
      </w:rPr>
    </w:lvl>
  </w:abstractNum>
  <w:abstractNum w:abstractNumId="135" w15:restartNumberingAfterBreak="0">
    <w:nsid w:val="4DEC1A47"/>
    <w:multiLevelType w:val="multilevel"/>
    <w:tmpl w:val="62D4E174"/>
    <w:lvl w:ilvl="0">
      <w:start w:val="1"/>
      <w:numFmt w:val="lowerLetter"/>
      <w:lvlText w:val="%1)"/>
      <w:lvlJc w:val="left"/>
      <w:pPr>
        <w:ind w:left="0" w:firstLine="0"/>
      </w:pPr>
      <w:rPr>
        <w:color w:val="000000"/>
      </w:rPr>
    </w:lvl>
    <w:lvl w:ilvl="1">
      <w:start w:val="1"/>
      <w:numFmt w:val="bullet"/>
      <w:lvlText w:val="o"/>
      <w:lvlJc w:val="left"/>
      <w:pPr>
        <w:ind w:left="735" w:hanging="360"/>
      </w:pPr>
      <w:rPr>
        <w:rFonts w:ascii="Symbol" w:eastAsia="Symbol" w:hAnsi="Symbol" w:cs="Symbol" w:hint="default"/>
      </w:rPr>
    </w:lvl>
    <w:lvl w:ilvl="2">
      <w:start w:val="1"/>
      <w:numFmt w:val="bullet"/>
      <w:lvlText w:val="▪"/>
      <w:lvlJc w:val="left"/>
      <w:pPr>
        <w:ind w:left="1455" w:hanging="360"/>
      </w:pPr>
      <w:rPr>
        <w:rFonts w:ascii="Symbol" w:eastAsia="Symbol" w:hAnsi="Symbol" w:cs="Symbol" w:hint="default"/>
      </w:rPr>
    </w:lvl>
    <w:lvl w:ilvl="3">
      <w:start w:val="1"/>
      <w:numFmt w:val="bullet"/>
      <w:lvlText w:val="•"/>
      <w:lvlJc w:val="left"/>
      <w:pPr>
        <w:ind w:left="2175" w:hanging="360"/>
      </w:pPr>
      <w:rPr>
        <w:rFonts w:ascii="Symbol" w:eastAsia="Symbol" w:hAnsi="Symbol" w:cs="Symbol" w:hint="default"/>
      </w:rPr>
    </w:lvl>
    <w:lvl w:ilvl="4">
      <w:start w:val="1"/>
      <w:numFmt w:val="bullet"/>
      <w:lvlText w:val="o"/>
      <w:lvlJc w:val="left"/>
      <w:pPr>
        <w:ind w:left="2895" w:hanging="360"/>
      </w:pPr>
      <w:rPr>
        <w:rFonts w:ascii="Symbol" w:eastAsia="Symbol" w:hAnsi="Symbol" w:cs="Symbol" w:hint="default"/>
      </w:rPr>
    </w:lvl>
    <w:lvl w:ilvl="5">
      <w:start w:val="1"/>
      <w:numFmt w:val="bullet"/>
      <w:lvlText w:val="▪"/>
      <w:lvlJc w:val="left"/>
      <w:pPr>
        <w:ind w:left="3615" w:hanging="360"/>
      </w:pPr>
      <w:rPr>
        <w:rFonts w:ascii="Symbol" w:eastAsia="Symbol" w:hAnsi="Symbol" w:cs="Symbol" w:hint="default"/>
      </w:rPr>
    </w:lvl>
    <w:lvl w:ilvl="6">
      <w:start w:val="1"/>
      <w:numFmt w:val="bullet"/>
      <w:lvlText w:val="•"/>
      <w:lvlJc w:val="left"/>
      <w:pPr>
        <w:ind w:left="4335" w:hanging="360"/>
      </w:pPr>
      <w:rPr>
        <w:rFonts w:ascii="Symbol" w:eastAsia="Symbol" w:hAnsi="Symbol" w:cs="Symbol" w:hint="default"/>
      </w:rPr>
    </w:lvl>
    <w:lvl w:ilvl="7">
      <w:start w:val="1"/>
      <w:numFmt w:val="bullet"/>
      <w:lvlText w:val="o"/>
      <w:lvlJc w:val="left"/>
      <w:pPr>
        <w:ind w:left="5055" w:hanging="360"/>
      </w:pPr>
      <w:rPr>
        <w:rFonts w:ascii="Symbol" w:eastAsia="Symbol" w:hAnsi="Symbol" w:cs="Symbol" w:hint="default"/>
      </w:rPr>
    </w:lvl>
    <w:lvl w:ilvl="8">
      <w:start w:val="1"/>
      <w:numFmt w:val="bullet"/>
      <w:lvlText w:val="▪"/>
      <w:lvlJc w:val="left"/>
      <w:pPr>
        <w:ind w:left="5775" w:hanging="360"/>
      </w:pPr>
      <w:rPr>
        <w:rFonts w:ascii="Symbol" w:eastAsia="Symbol" w:hAnsi="Symbol" w:cs="Symbol" w:hint="default"/>
      </w:rPr>
    </w:lvl>
  </w:abstractNum>
  <w:abstractNum w:abstractNumId="136" w15:restartNumberingAfterBreak="0">
    <w:nsid w:val="4EAB33E3"/>
    <w:multiLevelType w:val="multilevel"/>
    <w:tmpl w:val="8954E4EC"/>
    <w:lvl w:ilvl="0">
      <w:start w:val="1"/>
      <w:numFmt w:val="ordin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4F6818FA"/>
    <w:multiLevelType w:val="hybridMultilevel"/>
    <w:tmpl w:val="A7B2ED7A"/>
    <w:lvl w:ilvl="0" w:tplc="38D0EE9C">
      <w:start w:val="1"/>
      <w:numFmt w:val="lowerLetter"/>
      <w:lvlText w:val="%1)"/>
      <w:lvlJc w:val="left"/>
      <w:pPr>
        <w:ind w:left="1344" w:hanging="360"/>
      </w:pPr>
    </w:lvl>
    <w:lvl w:ilvl="1" w:tplc="903CB0CC" w:tentative="1">
      <w:start w:val="1"/>
      <w:numFmt w:val="lowerLetter"/>
      <w:lvlText w:val="%2."/>
      <w:lvlJc w:val="left"/>
      <w:pPr>
        <w:ind w:left="2064" w:hanging="360"/>
      </w:pPr>
    </w:lvl>
    <w:lvl w:ilvl="2" w:tplc="FDA65FBC" w:tentative="1">
      <w:start w:val="1"/>
      <w:numFmt w:val="lowerRoman"/>
      <w:lvlText w:val="%3."/>
      <w:lvlJc w:val="right"/>
      <w:pPr>
        <w:ind w:left="2784" w:hanging="180"/>
      </w:pPr>
    </w:lvl>
    <w:lvl w:ilvl="3" w:tplc="2C52B512" w:tentative="1">
      <w:start w:val="1"/>
      <w:numFmt w:val="decimal"/>
      <w:lvlText w:val="%4."/>
      <w:lvlJc w:val="left"/>
      <w:pPr>
        <w:ind w:left="3504" w:hanging="360"/>
      </w:pPr>
    </w:lvl>
    <w:lvl w:ilvl="4" w:tplc="1C0689DE" w:tentative="1">
      <w:start w:val="1"/>
      <w:numFmt w:val="lowerLetter"/>
      <w:lvlText w:val="%5."/>
      <w:lvlJc w:val="left"/>
      <w:pPr>
        <w:ind w:left="4224" w:hanging="360"/>
      </w:pPr>
    </w:lvl>
    <w:lvl w:ilvl="5" w:tplc="A68CB440" w:tentative="1">
      <w:start w:val="1"/>
      <w:numFmt w:val="lowerRoman"/>
      <w:lvlText w:val="%6."/>
      <w:lvlJc w:val="right"/>
      <w:pPr>
        <w:ind w:left="4944" w:hanging="180"/>
      </w:pPr>
    </w:lvl>
    <w:lvl w:ilvl="6" w:tplc="7F6CBF60" w:tentative="1">
      <w:start w:val="1"/>
      <w:numFmt w:val="decimal"/>
      <w:lvlText w:val="%7."/>
      <w:lvlJc w:val="left"/>
      <w:pPr>
        <w:ind w:left="5664" w:hanging="360"/>
      </w:pPr>
    </w:lvl>
    <w:lvl w:ilvl="7" w:tplc="6F50D35A" w:tentative="1">
      <w:start w:val="1"/>
      <w:numFmt w:val="lowerLetter"/>
      <w:lvlText w:val="%8."/>
      <w:lvlJc w:val="left"/>
      <w:pPr>
        <w:ind w:left="6384" w:hanging="360"/>
      </w:pPr>
    </w:lvl>
    <w:lvl w:ilvl="8" w:tplc="E0A0E63A" w:tentative="1">
      <w:start w:val="1"/>
      <w:numFmt w:val="lowerRoman"/>
      <w:lvlText w:val="%9."/>
      <w:lvlJc w:val="right"/>
      <w:pPr>
        <w:ind w:left="7104" w:hanging="180"/>
      </w:pPr>
    </w:lvl>
  </w:abstractNum>
  <w:abstractNum w:abstractNumId="138" w15:restartNumberingAfterBreak="0">
    <w:nsid w:val="4F937869"/>
    <w:multiLevelType w:val="multilevel"/>
    <w:tmpl w:val="9B0A3F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4FCA4637"/>
    <w:multiLevelType w:val="hybridMultilevel"/>
    <w:tmpl w:val="E3EEAE98"/>
    <w:lvl w:ilvl="0" w:tplc="93A4886C">
      <w:start w:val="1"/>
      <w:numFmt w:val="lowerLetter"/>
      <w:lvlText w:val="%1)"/>
      <w:lvlJc w:val="left"/>
      <w:pPr>
        <w:ind w:left="720" w:hanging="360"/>
      </w:pPr>
      <w:rPr>
        <w:rFonts w:hint="default"/>
      </w:rPr>
    </w:lvl>
    <w:lvl w:ilvl="1" w:tplc="32241DEA" w:tentative="1">
      <w:start w:val="1"/>
      <w:numFmt w:val="lowerLetter"/>
      <w:lvlText w:val="%2."/>
      <w:lvlJc w:val="left"/>
      <w:pPr>
        <w:ind w:left="1440" w:hanging="360"/>
      </w:pPr>
    </w:lvl>
    <w:lvl w:ilvl="2" w:tplc="E14CD316" w:tentative="1">
      <w:start w:val="1"/>
      <w:numFmt w:val="lowerRoman"/>
      <w:lvlText w:val="%3."/>
      <w:lvlJc w:val="right"/>
      <w:pPr>
        <w:ind w:left="2160" w:hanging="180"/>
      </w:pPr>
    </w:lvl>
    <w:lvl w:ilvl="3" w:tplc="9C2E213E" w:tentative="1">
      <w:start w:val="1"/>
      <w:numFmt w:val="decimal"/>
      <w:lvlText w:val="%4."/>
      <w:lvlJc w:val="left"/>
      <w:pPr>
        <w:ind w:left="2880" w:hanging="360"/>
      </w:pPr>
    </w:lvl>
    <w:lvl w:ilvl="4" w:tplc="9F7E5418" w:tentative="1">
      <w:start w:val="1"/>
      <w:numFmt w:val="lowerLetter"/>
      <w:lvlText w:val="%5."/>
      <w:lvlJc w:val="left"/>
      <w:pPr>
        <w:ind w:left="3600" w:hanging="360"/>
      </w:pPr>
    </w:lvl>
    <w:lvl w:ilvl="5" w:tplc="9B687F80" w:tentative="1">
      <w:start w:val="1"/>
      <w:numFmt w:val="lowerRoman"/>
      <w:lvlText w:val="%6."/>
      <w:lvlJc w:val="right"/>
      <w:pPr>
        <w:ind w:left="4320" w:hanging="180"/>
      </w:pPr>
    </w:lvl>
    <w:lvl w:ilvl="6" w:tplc="DE0C047C" w:tentative="1">
      <w:start w:val="1"/>
      <w:numFmt w:val="decimal"/>
      <w:lvlText w:val="%7."/>
      <w:lvlJc w:val="left"/>
      <w:pPr>
        <w:ind w:left="5040" w:hanging="360"/>
      </w:pPr>
    </w:lvl>
    <w:lvl w:ilvl="7" w:tplc="4B00D2DE" w:tentative="1">
      <w:start w:val="1"/>
      <w:numFmt w:val="lowerLetter"/>
      <w:lvlText w:val="%8."/>
      <w:lvlJc w:val="left"/>
      <w:pPr>
        <w:ind w:left="5760" w:hanging="360"/>
      </w:pPr>
    </w:lvl>
    <w:lvl w:ilvl="8" w:tplc="44C226F2" w:tentative="1">
      <w:start w:val="1"/>
      <w:numFmt w:val="lowerRoman"/>
      <w:lvlText w:val="%9."/>
      <w:lvlJc w:val="right"/>
      <w:pPr>
        <w:ind w:left="6480" w:hanging="180"/>
      </w:pPr>
    </w:lvl>
  </w:abstractNum>
  <w:abstractNum w:abstractNumId="140" w15:restartNumberingAfterBreak="0">
    <w:nsid w:val="4FD01C97"/>
    <w:multiLevelType w:val="multilevel"/>
    <w:tmpl w:val="E44A6B06"/>
    <w:lvl w:ilvl="0">
      <w:start w:val="1"/>
      <w:numFmt w:val="decimal"/>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41" w15:restartNumberingAfterBreak="0">
    <w:nsid w:val="4FE71941"/>
    <w:multiLevelType w:val="hybridMultilevel"/>
    <w:tmpl w:val="8286CAF6"/>
    <w:name w:val="WW8Num382"/>
    <w:lvl w:ilvl="0" w:tplc="A544A102">
      <w:start w:val="1"/>
      <w:numFmt w:val="decimal"/>
      <w:lvlText w:val="%1)"/>
      <w:lvlJc w:val="left"/>
      <w:pPr>
        <w:tabs>
          <w:tab w:val="num" w:pos="0"/>
        </w:tabs>
        <w:ind w:left="720" w:hanging="360"/>
      </w:pPr>
      <w:rPr>
        <w:rFonts w:cs="Times New Roman" w:hint="default"/>
        <w:b/>
        <w:i w:val="0"/>
        <w:sz w:val="20"/>
      </w:rPr>
    </w:lvl>
    <w:lvl w:ilvl="1" w:tplc="62549C00" w:tentative="1">
      <w:start w:val="1"/>
      <w:numFmt w:val="lowerLetter"/>
      <w:lvlText w:val="%2."/>
      <w:lvlJc w:val="left"/>
      <w:pPr>
        <w:ind w:left="1440" w:hanging="360"/>
      </w:pPr>
    </w:lvl>
    <w:lvl w:ilvl="2" w:tplc="33A6D15E" w:tentative="1">
      <w:start w:val="1"/>
      <w:numFmt w:val="lowerRoman"/>
      <w:lvlText w:val="%3."/>
      <w:lvlJc w:val="right"/>
      <w:pPr>
        <w:ind w:left="2160" w:hanging="180"/>
      </w:pPr>
    </w:lvl>
    <w:lvl w:ilvl="3" w:tplc="9982A480" w:tentative="1">
      <w:start w:val="1"/>
      <w:numFmt w:val="decimal"/>
      <w:lvlText w:val="%4."/>
      <w:lvlJc w:val="left"/>
      <w:pPr>
        <w:ind w:left="2880" w:hanging="360"/>
      </w:pPr>
    </w:lvl>
    <w:lvl w:ilvl="4" w:tplc="45C88146" w:tentative="1">
      <w:start w:val="1"/>
      <w:numFmt w:val="lowerLetter"/>
      <w:lvlText w:val="%5."/>
      <w:lvlJc w:val="left"/>
      <w:pPr>
        <w:ind w:left="3600" w:hanging="360"/>
      </w:pPr>
    </w:lvl>
    <w:lvl w:ilvl="5" w:tplc="F2D2EB3E" w:tentative="1">
      <w:start w:val="1"/>
      <w:numFmt w:val="lowerRoman"/>
      <w:lvlText w:val="%6."/>
      <w:lvlJc w:val="right"/>
      <w:pPr>
        <w:ind w:left="4320" w:hanging="180"/>
      </w:pPr>
    </w:lvl>
    <w:lvl w:ilvl="6" w:tplc="2C7E2D1C" w:tentative="1">
      <w:start w:val="1"/>
      <w:numFmt w:val="decimal"/>
      <w:lvlText w:val="%7."/>
      <w:lvlJc w:val="left"/>
      <w:pPr>
        <w:ind w:left="5040" w:hanging="360"/>
      </w:pPr>
    </w:lvl>
    <w:lvl w:ilvl="7" w:tplc="E5E66A96" w:tentative="1">
      <w:start w:val="1"/>
      <w:numFmt w:val="lowerLetter"/>
      <w:lvlText w:val="%8."/>
      <w:lvlJc w:val="left"/>
      <w:pPr>
        <w:ind w:left="5760" w:hanging="360"/>
      </w:pPr>
    </w:lvl>
    <w:lvl w:ilvl="8" w:tplc="6276CA78" w:tentative="1">
      <w:start w:val="1"/>
      <w:numFmt w:val="lowerRoman"/>
      <w:lvlText w:val="%9."/>
      <w:lvlJc w:val="right"/>
      <w:pPr>
        <w:ind w:left="6480" w:hanging="180"/>
      </w:pPr>
    </w:lvl>
  </w:abstractNum>
  <w:abstractNum w:abstractNumId="142" w15:restartNumberingAfterBreak="0">
    <w:nsid w:val="50226844"/>
    <w:multiLevelType w:val="multilevel"/>
    <w:tmpl w:val="8152A442"/>
    <w:lvl w:ilvl="0">
      <w:start w:val="2"/>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3" w15:restartNumberingAfterBreak="0">
    <w:nsid w:val="502F671A"/>
    <w:multiLevelType w:val="multilevel"/>
    <w:tmpl w:val="5324F540"/>
    <w:lvl w:ilvl="0">
      <w:start w:val="1"/>
      <w:numFmt w:val="decimal"/>
      <w:lvlText w:val="%1."/>
      <w:lvlJc w:val="left"/>
      <w:pPr>
        <w:ind w:left="705" w:firstLine="0"/>
      </w:pPr>
      <w:rPr>
        <w:color w:val="000000"/>
      </w:rPr>
    </w:lvl>
    <w:lvl w:ilvl="1">
      <w:start w:val="1"/>
      <w:numFmt w:val="bullet"/>
      <w:lvlText w:val="o"/>
      <w:lvlJc w:val="left"/>
      <w:pPr>
        <w:ind w:left="1440" w:hanging="360"/>
      </w:pPr>
      <w:rPr>
        <w:rFonts w:ascii="Symbol" w:eastAsia="Symbol" w:hAnsi="Symbol" w:cs="Symbol" w:hint="default"/>
      </w:rPr>
    </w:lvl>
    <w:lvl w:ilvl="2">
      <w:start w:val="1"/>
      <w:numFmt w:val="bullet"/>
      <w:lvlText w:val="▪"/>
      <w:lvlJc w:val="left"/>
      <w:pPr>
        <w:ind w:left="2160" w:hanging="360"/>
      </w:pPr>
      <w:rPr>
        <w:rFonts w:ascii="Symbol" w:eastAsia="Symbol" w:hAnsi="Symbol" w:cs="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Symbol" w:eastAsia="Symbol" w:hAnsi="Symbol" w:cs="Symbol" w:hint="default"/>
      </w:rPr>
    </w:lvl>
    <w:lvl w:ilvl="5">
      <w:start w:val="1"/>
      <w:numFmt w:val="bullet"/>
      <w:lvlText w:val="▪"/>
      <w:lvlJc w:val="left"/>
      <w:pPr>
        <w:ind w:left="4320" w:hanging="360"/>
      </w:pPr>
      <w:rPr>
        <w:rFonts w:ascii="Symbol" w:eastAsia="Symbol" w:hAnsi="Symbol" w:cs="Symbol"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Symbol" w:eastAsia="Symbol" w:hAnsi="Symbol" w:cs="Symbol" w:hint="default"/>
      </w:rPr>
    </w:lvl>
    <w:lvl w:ilvl="8">
      <w:start w:val="1"/>
      <w:numFmt w:val="bullet"/>
      <w:lvlText w:val="▪"/>
      <w:lvlJc w:val="left"/>
      <w:pPr>
        <w:ind w:left="6480" w:hanging="360"/>
      </w:pPr>
      <w:rPr>
        <w:rFonts w:ascii="Symbol" w:eastAsia="Symbol" w:hAnsi="Symbol" w:cs="Symbol" w:hint="default"/>
      </w:rPr>
    </w:lvl>
  </w:abstractNum>
  <w:abstractNum w:abstractNumId="144" w15:restartNumberingAfterBreak="0">
    <w:nsid w:val="52553BFA"/>
    <w:multiLevelType w:val="hybridMultilevel"/>
    <w:tmpl w:val="2AB011F4"/>
    <w:lvl w:ilvl="0" w:tplc="E9E237A6">
      <w:start w:val="1"/>
      <w:numFmt w:val="decimal"/>
      <w:lvlText w:val="%1."/>
      <w:lvlJc w:val="left"/>
      <w:pPr>
        <w:ind w:left="720" w:hanging="360"/>
      </w:pPr>
    </w:lvl>
    <w:lvl w:ilvl="1" w:tplc="40AC84C4" w:tentative="1">
      <w:start w:val="1"/>
      <w:numFmt w:val="lowerLetter"/>
      <w:lvlText w:val="%2."/>
      <w:lvlJc w:val="left"/>
      <w:pPr>
        <w:ind w:left="1440" w:hanging="360"/>
      </w:pPr>
    </w:lvl>
    <w:lvl w:ilvl="2" w:tplc="E6B2CA3A" w:tentative="1">
      <w:start w:val="1"/>
      <w:numFmt w:val="lowerRoman"/>
      <w:lvlText w:val="%3."/>
      <w:lvlJc w:val="right"/>
      <w:pPr>
        <w:ind w:left="2160" w:hanging="180"/>
      </w:pPr>
    </w:lvl>
    <w:lvl w:ilvl="3" w:tplc="AD1450F4" w:tentative="1">
      <w:start w:val="1"/>
      <w:numFmt w:val="decimal"/>
      <w:lvlText w:val="%4."/>
      <w:lvlJc w:val="left"/>
      <w:pPr>
        <w:ind w:left="2880" w:hanging="360"/>
      </w:pPr>
    </w:lvl>
    <w:lvl w:ilvl="4" w:tplc="2A1E2D06" w:tentative="1">
      <w:start w:val="1"/>
      <w:numFmt w:val="lowerLetter"/>
      <w:lvlText w:val="%5."/>
      <w:lvlJc w:val="left"/>
      <w:pPr>
        <w:ind w:left="3600" w:hanging="360"/>
      </w:pPr>
    </w:lvl>
    <w:lvl w:ilvl="5" w:tplc="8E40BCFE" w:tentative="1">
      <w:start w:val="1"/>
      <w:numFmt w:val="lowerRoman"/>
      <w:lvlText w:val="%6."/>
      <w:lvlJc w:val="right"/>
      <w:pPr>
        <w:ind w:left="4320" w:hanging="180"/>
      </w:pPr>
    </w:lvl>
    <w:lvl w:ilvl="6" w:tplc="D0EA37D2" w:tentative="1">
      <w:start w:val="1"/>
      <w:numFmt w:val="decimal"/>
      <w:lvlText w:val="%7."/>
      <w:lvlJc w:val="left"/>
      <w:pPr>
        <w:ind w:left="5040" w:hanging="360"/>
      </w:pPr>
    </w:lvl>
    <w:lvl w:ilvl="7" w:tplc="FD5EA886" w:tentative="1">
      <w:start w:val="1"/>
      <w:numFmt w:val="lowerLetter"/>
      <w:lvlText w:val="%8."/>
      <w:lvlJc w:val="left"/>
      <w:pPr>
        <w:ind w:left="5760" w:hanging="360"/>
      </w:pPr>
    </w:lvl>
    <w:lvl w:ilvl="8" w:tplc="B634672E" w:tentative="1">
      <w:start w:val="1"/>
      <w:numFmt w:val="lowerRoman"/>
      <w:lvlText w:val="%9."/>
      <w:lvlJc w:val="right"/>
      <w:pPr>
        <w:ind w:left="6480" w:hanging="180"/>
      </w:pPr>
    </w:lvl>
  </w:abstractNum>
  <w:abstractNum w:abstractNumId="145" w15:restartNumberingAfterBreak="0">
    <w:nsid w:val="53AC3E66"/>
    <w:multiLevelType w:val="hybridMultilevel"/>
    <w:tmpl w:val="1C427F0C"/>
    <w:name w:val="WW8Num3722"/>
    <w:lvl w:ilvl="0" w:tplc="5D0E468A">
      <w:start w:val="1"/>
      <w:numFmt w:val="decimal"/>
      <w:lvlText w:val="%1)"/>
      <w:lvlJc w:val="left"/>
      <w:pPr>
        <w:tabs>
          <w:tab w:val="num" w:pos="0"/>
        </w:tabs>
        <w:ind w:left="720" w:hanging="360"/>
      </w:pPr>
      <w:rPr>
        <w:rFonts w:cs="Times New Roman" w:hint="default"/>
      </w:rPr>
    </w:lvl>
    <w:lvl w:ilvl="1" w:tplc="9392D942" w:tentative="1">
      <w:start w:val="1"/>
      <w:numFmt w:val="lowerLetter"/>
      <w:lvlText w:val="%2."/>
      <w:lvlJc w:val="left"/>
      <w:pPr>
        <w:ind w:left="1440" w:hanging="360"/>
      </w:pPr>
    </w:lvl>
    <w:lvl w:ilvl="2" w:tplc="6714DA48" w:tentative="1">
      <w:start w:val="1"/>
      <w:numFmt w:val="lowerRoman"/>
      <w:lvlText w:val="%3."/>
      <w:lvlJc w:val="right"/>
      <w:pPr>
        <w:ind w:left="2160" w:hanging="180"/>
      </w:pPr>
    </w:lvl>
    <w:lvl w:ilvl="3" w:tplc="93DAB0F0" w:tentative="1">
      <w:start w:val="1"/>
      <w:numFmt w:val="decimal"/>
      <w:lvlText w:val="%4."/>
      <w:lvlJc w:val="left"/>
      <w:pPr>
        <w:ind w:left="2880" w:hanging="360"/>
      </w:pPr>
    </w:lvl>
    <w:lvl w:ilvl="4" w:tplc="9062AC08" w:tentative="1">
      <w:start w:val="1"/>
      <w:numFmt w:val="lowerLetter"/>
      <w:lvlText w:val="%5."/>
      <w:lvlJc w:val="left"/>
      <w:pPr>
        <w:ind w:left="3600" w:hanging="360"/>
      </w:pPr>
    </w:lvl>
    <w:lvl w:ilvl="5" w:tplc="1BB434C2" w:tentative="1">
      <w:start w:val="1"/>
      <w:numFmt w:val="lowerRoman"/>
      <w:lvlText w:val="%6."/>
      <w:lvlJc w:val="right"/>
      <w:pPr>
        <w:ind w:left="4320" w:hanging="180"/>
      </w:pPr>
    </w:lvl>
    <w:lvl w:ilvl="6" w:tplc="589A83F2" w:tentative="1">
      <w:start w:val="1"/>
      <w:numFmt w:val="decimal"/>
      <w:lvlText w:val="%7."/>
      <w:lvlJc w:val="left"/>
      <w:pPr>
        <w:ind w:left="5040" w:hanging="360"/>
      </w:pPr>
    </w:lvl>
    <w:lvl w:ilvl="7" w:tplc="4C389724" w:tentative="1">
      <w:start w:val="1"/>
      <w:numFmt w:val="lowerLetter"/>
      <w:lvlText w:val="%8."/>
      <w:lvlJc w:val="left"/>
      <w:pPr>
        <w:ind w:left="5760" w:hanging="360"/>
      </w:pPr>
    </w:lvl>
    <w:lvl w:ilvl="8" w:tplc="D3C6F19E" w:tentative="1">
      <w:start w:val="1"/>
      <w:numFmt w:val="lowerRoman"/>
      <w:lvlText w:val="%9."/>
      <w:lvlJc w:val="right"/>
      <w:pPr>
        <w:ind w:left="6480" w:hanging="180"/>
      </w:pPr>
    </w:lvl>
  </w:abstractNum>
  <w:abstractNum w:abstractNumId="146" w15:restartNumberingAfterBreak="0">
    <w:nsid w:val="56C76104"/>
    <w:multiLevelType w:val="hybridMultilevel"/>
    <w:tmpl w:val="614C17A2"/>
    <w:lvl w:ilvl="0" w:tplc="14267292">
      <w:start w:val="1"/>
      <w:numFmt w:val="lowerLetter"/>
      <w:lvlText w:val="%1)"/>
      <w:lvlJc w:val="left"/>
      <w:pPr>
        <w:ind w:left="720" w:hanging="360"/>
      </w:pPr>
      <w:rPr>
        <w:rFonts w:cs="Times New Roman"/>
      </w:rPr>
    </w:lvl>
    <w:lvl w:ilvl="1" w:tplc="B932472E" w:tentative="1">
      <w:start w:val="1"/>
      <w:numFmt w:val="lowerLetter"/>
      <w:lvlText w:val="%2."/>
      <w:lvlJc w:val="left"/>
      <w:pPr>
        <w:ind w:left="1440" w:hanging="360"/>
      </w:pPr>
      <w:rPr>
        <w:rFonts w:cs="Times New Roman"/>
      </w:rPr>
    </w:lvl>
    <w:lvl w:ilvl="2" w:tplc="148471CE" w:tentative="1">
      <w:start w:val="1"/>
      <w:numFmt w:val="lowerRoman"/>
      <w:lvlText w:val="%3."/>
      <w:lvlJc w:val="right"/>
      <w:pPr>
        <w:ind w:left="2160" w:hanging="180"/>
      </w:pPr>
      <w:rPr>
        <w:rFonts w:cs="Times New Roman"/>
      </w:rPr>
    </w:lvl>
    <w:lvl w:ilvl="3" w:tplc="8E62BFF8" w:tentative="1">
      <w:start w:val="1"/>
      <w:numFmt w:val="decimal"/>
      <w:lvlText w:val="%4."/>
      <w:lvlJc w:val="left"/>
      <w:pPr>
        <w:ind w:left="2880" w:hanging="360"/>
      </w:pPr>
      <w:rPr>
        <w:rFonts w:cs="Times New Roman"/>
      </w:rPr>
    </w:lvl>
    <w:lvl w:ilvl="4" w:tplc="1C460E7A" w:tentative="1">
      <w:start w:val="1"/>
      <w:numFmt w:val="lowerLetter"/>
      <w:lvlText w:val="%5."/>
      <w:lvlJc w:val="left"/>
      <w:pPr>
        <w:ind w:left="3600" w:hanging="360"/>
      </w:pPr>
      <w:rPr>
        <w:rFonts w:cs="Times New Roman"/>
      </w:rPr>
    </w:lvl>
    <w:lvl w:ilvl="5" w:tplc="9EA24C9C" w:tentative="1">
      <w:start w:val="1"/>
      <w:numFmt w:val="lowerRoman"/>
      <w:lvlText w:val="%6."/>
      <w:lvlJc w:val="right"/>
      <w:pPr>
        <w:ind w:left="4320" w:hanging="180"/>
      </w:pPr>
      <w:rPr>
        <w:rFonts w:cs="Times New Roman"/>
      </w:rPr>
    </w:lvl>
    <w:lvl w:ilvl="6" w:tplc="57FE1462" w:tentative="1">
      <w:start w:val="1"/>
      <w:numFmt w:val="decimal"/>
      <w:lvlText w:val="%7."/>
      <w:lvlJc w:val="left"/>
      <w:pPr>
        <w:ind w:left="5040" w:hanging="360"/>
      </w:pPr>
      <w:rPr>
        <w:rFonts w:cs="Times New Roman"/>
      </w:rPr>
    </w:lvl>
    <w:lvl w:ilvl="7" w:tplc="5F4E86DC" w:tentative="1">
      <w:start w:val="1"/>
      <w:numFmt w:val="lowerLetter"/>
      <w:lvlText w:val="%8."/>
      <w:lvlJc w:val="left"/>
      <w:pPr>
        <w:ind w:left="5760" w:hanging="360"/>
      </w:pPr>
      <w:rPr>
        <w:rFonts w:cs="Times New Roman"/>
      </w:rPr>
    </w:lvl>
    <w:lvl w:ilvl="8" w:tplc="50CABC68" w:tentative="1">
      <w:start w:val="1"/>
      <w:numFmt w:val="lowerRoman"/>
      <w:lvlText w:val="%9."/>
      <w:lvlJc w:val="right"/>
      <w:pPr>
        <w:ind w:left="6480" w:hanging="180"/>
      </w:pPr>
      <w:rPr>
        <w:rFonts w:cs="Times New Roman"/>
      </w:rPr>
    </w:lvl>
  </w:abstractNum>
  <w:abstractNum w:abstractNumId="147" w15:restartNumberingAfterBreak="0">
    <w:nsid w:val="58F6122F"/>
    <w:multiLevelType w:val="multilevel"/>
    <w:tmpl w:val="9EE2B88C"/>
    <w:lvl w:ilvl="0">
      <w:start w:val="1"/>
      <w:numFmt w:val="upperLetter"/>
      <w:lvlText w:val="%1."/>
      <w:lvlJc w:val="left"/>
      <w:pPr>
        <w:ind w:left="705" w:firstLine="0"/>
      </w:pPr>
      <w:rPr>
        <w:rFonts w:hint="default"/>
      </w:rPr>
    </w:lvl>
    <w:lvl w:ilvl="1">
      <w:start w:val="1"/>
      <w:numFmt w:val="bullet"/>
      <w:lvlText w:val="o"/>
      <w:lvlJc w:val="left"/>
      <w:pPr>
        <w:ind w:left="1440" w:hanging="360"/>
      </w:pPr>
      <w:rPr>
        <w:rFonts w:ascii="Symbol" w:eastAsia="Symbol" w:hAnsi="Symbol" w:cs="Symbol" w:hint="default"/>
      </w:rPr>
    </w:lvl>
    <w:lvl w:ilvl="2">
      <w:start w:val="1"/>
      <w:numFmt w:val="bullet"/>
      <w:lvlText w:val="▪"/>
      <w:lvlJc w:val="left"/>
      <w:pPr>
        <w:ind w:left="2160" w:hanging="360"/>
      </w:pPr>
      <w:rPr>
        <w:rFonts w:ascii="Symbol" w:eastAsia="Symbol" w:hAnsi="Symbol" w:cs="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Symbol" w:eastAsia="Symbol" w:hAnsi="Symbol" w:cs="Symbol" w:hint="default"/>
      </w:rPr>
    </w:lvl>
    <w:lvl w:ilvl="5">
      <w:start w:val="1"/>
      <w:numFmt w:val="bullet"/>
      <w:lvlText w:val="▪"/>
      <w:lvlJc w:val="left"/>
      <w:pPr>
        <w:ind w:left="4320" w:hanging="360"/>
      </w:pPr>
      <w:rPr>
        <w:rFonts w:ascii="Symbol" w:eastAsia="Symbol" w:hAnsi="Symbol" w:cs="Symbol"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Symbol" w:eastAsia="Symbol" w:hAnsi="Symbol" w:cs="Symbol" w:hint="default"/>
      </w:rPr>
    </w:lvl>
    <w:lvl w:ilvl="8">
      <w:start w:val="1"/>
      <w:numFmt w:val="bullet"/>
      <w:lvlText w:val="▪"/>
      <w:lvlJc w:val="left"/>
      <w:pPr>
        <w:ind w:left="6480" w:hanging="360"/>
      </w:pPr>
      <w:rPr>
        <w:rFonts w:ascii="Symbol" w:eastAsia="Symbol" w:hAnsi="Symbol" w:cs="Symbol" w:hint="default"/>
      </w:rPr>
    </w:lvl>
  </w:abstractNum>
  <w:abstractNum w:abstractNumId="148" w15:restartNumberingAfterBreak="0">
    <w:nsid w:val="5909058F"/>
    <w:multiLevelType w:val="hybridMultilevel"/>
    <w:tmpl w:val="F8BA79D8"/>
    <w:lvl w:ilvl="0" w:tplc="AE26707A">
      <w:start w:val="4"/>
      <w:numFmt w:val="decimal"/>
      <w:lvlText w:val="%1"/>
      <w:lvlJc w:val="left"/>
      <w:pPr>
        <w:tabs>
          <w:tab w:val="num" w:pos="1065"/>
        </w:tabs>
        <w:ind w:left="1065" w:hanging="705"/>
      </w:pPr>
      <w:rPr>
        <w:rFonts w:cs="Times New Roman"/>
      </w:rPr>
    </w:lvl>
    <w:lvl w:ilvl="1" w:tplc="525630DC">
      <w:start w:val="1"/>
      <w:numFmt w:val="lowerLetter"/>
      <w:lvlText w:val="%2."/>
      <w:lvlJc w:val="left"/>
      <w:pPr>
        <w:ind w:left="1440" w:hanging="360"/>
      </w:pPr>
      <w:rPr>
        <w:rFonts w:cs="Times New Roman"/>
      </w:rPr>
    </w:lvl>
    <w:lvl w:ilvl="2" w:tplc="B860F2F6" w:tentative="1">
      <w:start w:val="1"/>
      <w:numFmt w:val="lowerRoman"/>
      <w:lvlText w:val="%3."/>
      <w:lvlJc w:val="right"/>
      <w:pPr>
        <w:ind w:left="2160" w:hanging="180"/>
      </w:pPr>
      <w:rPr>
        <w:rFonts w:cs="Times New Roman"/>
      </w:rPr>
    </w:lvl>
    <w:lvl w:ilvl="3" w:tplc="72F6AC3E" w:tentative="1">
      <w:start w:val="1"/>
      <w:numFmt w:val="decimal"/>
      <w:lvlText w:val="%4."/>
      <w:lvlJc w:val="left"/>
      <w:pPr>
        <w:ind w:left="2880" w:hanging="360"/>
      </w:pPr>
      <w:rPr>
        <w:rFonts w:cs="Times New Roman"/>
      </w:rPr>
    </w:lvl>
    <w:lvl w:ilvl="4" w:tplc="31B8B370" w:tentative="1">
      <w:start w:val="1"/>
      <w:numFmt w:val="lowerLetter"/>
      <w:lvlText w:val="%5."/>
      <w:lvlJc w:val="left"/>
      <w:pPr>
        <w:ind w:left="3600" w:hanging="360"/>
      </w:pPr>
      <w:rPr>
        <w:rFonts w:cs="Times New Roman"/>
      </w:rPr>
    </w:lvl>
    <w:lvl w:ilvl="5" w:tplc="62A021D8" w:tentative="1">
      <w:start w:val="1"/>
      <w:numFmt w:val="lowerRoman"/>
      <w:lvlText w:val="%6."/>
      <w:lvlJc w:val="right"/>
      <w:pPr>
        <w:ind w:left="4320" w:hanging="180"/>
      </w:pPr>
      <w:rPr>
        <w:rFonts w:cs="Times New Roman"/>
      </w:rPr>
    </w:lvl>
    <w:lvl w:ilvl="6" w:tplc="B9081F7A" w:tentative="1">
      <w:start w:val="1"/>
      <w:numFmt w:val="decimal"/>
      <w:lvlText w:val="%7."/>
      <w:lvlJc w:val="left"/>
      <w:pPr>
        <w:ind w:left="5040" w:hanging="360"/>
      </w:pPr>
      <w:rPr>
        <w:rFonts w:cs="Times New Roman"/>
      </w:rPr>
    </w:lvl>
    <w:lvl w:ilvl="7" w:tplc="DA3261DC" w:tentative="1">
      <w:start w:val="1"/>
      <w:numFmt w:val="lowerLetter"/>
      <w:lvlText w:val="%8."/>
      <w:lvlJc w:val="left"/>
      <w:pPr>
        <w:ind w:left="5760" w:hanging="360"/>
      </w:pPr>
      <w:rPr>
        <w:rFonts w:cs="Times New Roman"/>
      </w:rPr>
    </w:lvl>
    <w:lvl w:ilvl="8" w:tplc="BD98F3C6" w:tentative="1">
      <w:start w:val="1"/>
      <w:numFmt w:val="lowerRoman"/>
      <w:lvlText w:val="%9."/>
      <w:lvlJc w:val="right"/>
      <w:pPr>
        <w:ind w:left="6480" w:hanging="180"/>
      </w:pPr>
      <w:rPr>
        <w:rFonts w:cs="Times New Roman"/>
      </w:rPr>
    </w:lvl>
  </w:abstractNum>
  <w:abstractNum w:abstractNumId="149" w15:restartNumberingAfterBreak="0">
    <w:nsid w:val="59D75244"/>
    <w:multiLevelType w:val="hybridMultilevel"/>
    <w:tmpl w:val="9146AADE"/>
    <w:lvl w:ilvl="0" w:tplc="82AEB2FE">
      <w:start w:val="1"/>
      <w:numFmt w:val="lowerLetter"/>
      <w:lvlText w:val="%1)"/>
      <w:lvlJc w:val="left"/>
      <w:pPr>
        <w:ind w:left="720" w:hanging="360"/>
      </w:pPr>
    </w:lvl>
    <w:lvl w:ilvl="1" w:tplc="32C41538" w:tentative="1">
      <w:start w:val="1"/>
      <w:numFmt w:val="lowerLetter"/>
      <w:lvlText w:val="%2."/>
      <w:lvlJc w:val="left"/>
      <w:pPr>
        <w:ind w:left="1440" w:hanging="360"/>
      </w:pPr>
    </w:lvl>
    <w:lvl w:ilvl="2" w:tplc="65689B72" w:tentative="1">
      <w:start w:val="1"/>
      <w:numFmt w:val="lowerRoman"/>
      <w:lvlText w:val="%3."/>
      <w:lvlJc w:val="right"/>
      <w:pPr>
        <w:ind w:left="2160" w:hanging="180"/>
      </w:pPr>
    </w:lvl>
    <w:lvl w:ilvl="3" w:tplc="D278EF90" w:tentative="1">
      <w:start w:val="1"/>
      <w:numFmt w:val="decimal"/>
      <w:lvlText w:val="%4."/>
      <w:lvlJc w:val="left"/>
      <w:pPr>
        <w:ind w:left="2880" w:hanging="360"/>
      </w:pPr>
    </w:lvl>
    <w:lvl w:ilvl="4" w:tplc="015EB30C" w:tentative="1">
      <w:start w:val="1"/>
      <w:numFmt w:val="lowerLetter"/>
      <w:lvlText w:val="%5."/>
      <w:lvlJc w:val="left"/>
      <w:pPr>
        <w:ind w:left="3600" w:hanging="360"/>
      </w:pPr>
    </w:lvl>
    <w:lvl w:ilvl="5" w:tplc="86CE079A" w:tentative="1">
      <w:start w:val="1"/>
      <w:numFmt w:val="lowerRoman"/>
      <w:lvlText w:val="%6."/>
      <w:lvlJc w:val="right"/>
      <w:pPr>
        <w:ind w:left="4320" w:hanging="180"/>
      </w:pPr>
    </w:lvl>
    <w:lvl w:ilvl="6" w:tplc="F15CF266" w:tentative="1">
      <w:start w:val="1"/>
      <w:numFmt w:val="decimal"/>
      <w:lvlText w:val="%7."/>
      <w:lvlJc w:val="left"/>
      <w:pPr>
        <w:ind w:left="5040" w:hanging="360"/>
      </w:pPr>
    </w:lvl>
    <w:lvl w:ilvl="7" w:tplc="E122964C" w:tentative="1">
      <w:start w:val="1"/>
      <w:numFmt w:val="lowerLetter"/>
      <w:lvlText w:val="%8."/>
      <w:lvlJc w:val="left"/>
      <w:pPr>
        <w:ind w:left="5760" w:hanging="360"/>
      </w:pPr>
    </w:lvl>
    <w:lvl w:ilvl="8" w:tplc="818C7506" w:tentative="1">
      <w:start w:val="1"/>
      <w:numFmt w:val="lowerRoman"/>
      <w:lvlText w:val="%9."/>
      <w:lvlJc w:val="right"/>
      <w:pPr>
        <w:ind w:left="6480" w:hanging="180"/>
      </w:pPr>
    </w:lvl>
  </w:abstractNum>
  <w:abstractNum w:abstractNumId="150" w15:restartNumberingAfterBreak="0">
    <w:nsid w:val="59F253FE"/>
    <w:multiLevelType w:val="hybridMultilevel"/>
    <w:tmpl w:val="E4228BDE"/>
    <w:lvl w:ilvl="0" w:tplc="FDEABD78">
      <w:start w:val="1"/>
      <w:numFmt w:val="lowerLetter"/>
      <w:lvlText w:val="%1)"/>
      <w:lvlJc w:val="left"/>
      <w:pPr>
        <w:ind w:left="360" w:hanging="360"/>
      </w:pPr>
    </w:lvl>
    <w:lvl w:ilvl="1" w:tplc="2D16FF8A" w:tentative="1">
      <w:start w:val="1"/>
      <w:numFmt w:val="lowerLetter"/>
      <w:lvlText w:val="%2."/>
      <w:lvlJc w:val="left"/>
      <w:pPr>
        <w:ind w:left="1080" w:hanging="360"/>
      </w:pPr>
    </w:lvl>
    <w:lvl w:ilvl="2" w:tplc="F630103E" w:tentative="1">
      <w:start w:val="1"/>
      <w:numFmt w:val="lowerRoman"/>
      <w:lvlText w:val="%3."/>
      <w:lvlJc w:val="right"/>
      <w:pPr>
        <w:ind w:left="1800" w:hanging="180"/>
      </w:pPr>
    </w:lvl>
    <w:lvl w:ilvl="3" w:tplc="5814653C" w:tentative="1">
      <w:start w:val="1"/>
      <w:numFmt w:val="decimal"/>
      <w:lvlText w:val="%4."/>
      <w:lvlJc w:val="left"/>
      <w:pPr>
        <w:ind w:left="2520" w:hanging="360"/>
      </w:pPr>
    </w:lvl>
    <w:lvl w:ilvl="4" w:tplc="0BC26F8E" w:tentative="1">
      <w:start w:val="1"/>
      <w:numFmt w:val="lowerLetter"/>
      <w:lvlText w:val="%5."/>
      <w:lvlJc w:val="left"/>
      <w:pPr>
        <w:ind w:left="3240" w:hanging="360"/>
      </w:pPr>
    </w:lvl>
    <w:lvl w:ilvl="5" w:tplc="260E622E" w:tentative="1">
      <w:start w:val="1"/>
      <w:numFmt w:val="lowerRoman"/>
      <w:lvlText w:val="%6."/>
      <w:lvlJc w:val="right"/>
      <w:pPr>
        <w:ind w:left="3960" w:hanging="180"/>
      </w:pPr>
    </w:lvl>
    <w:lvl w:ilvl="6" w:tplc="1D246766" w:tentative="1">
      <w:start w:val="1"/>
      <w:numFmt w:val="decimal"/>
      <w:lvlText w:val="%7."/>
      <w:lvlJc w:val="left"/>
      <w:pPr>
        <w:ind w:left="4680" w:hanging="360"/>
      </w:pPr>
    </w:lvl>
    <w:lvl w:ilvl="7" w:tplc="43161470" w:tentative="1">
      <w:start w:val="1"/>
      <w:numFmt w:val="lowerLetter"/>
      <w:lvlText w:val="%8."/>
      <w:lvlJc w:val="left"/>
      <w:pPr>
        <w:ind w:left="5400" w:hanging="360"/>
      </w:pPr>
    </w:lvl>
    <w:lvl w:ilvl="8" w:tplc="9146D858" w:tentative="1">
      <w:start w:val="1"/>
      <w:numFmt w:val="lowerRoman"/>
      <w:lvlText w:val="%9."/>
      <w:lvlJc w:val="right"/>
      <w:pPr>
        <w:ind w:left="6120" w:hanging="180"/>
      </w:pPr>
    </w:lvl>
  </w:abstractNum>
  <w:abstractNum w:abstractNumId="151" w15:restartNumberingAfterBreak="0">
    <w:nsid w:val="5A0776AB"/>
    <w:multiLevelType w:val="multilevel"/>
    <w:tmpl w:val="4E0813C8"/>
    <w:lvl w:ilvl="0">
      <w:start w:val="2"/>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2" w15:restartNumberingAfterBreak="0">
    <w:nsid w:val="5A3562F7"/>
    <w:multiLevelType w:val="hybridMultilevel"/>
    <w:tmpl w:val="5B6EE556"/>
    <w:lvl w:ilvl="0" w:tplc="5BDC5D38">
      <w:start w:val="1"/>
      <w:numFmt w:val="decimal"/>
      <w:lvlText w:val="%1)"/>
      <w:lvlJc w:val="left"/>
      <w:pPr>
        <w:ind w:left="720" w:hanging="360"/>
      </w:pPr>
      <w:rPr>
        <w:rFonts w:cs="Times New Roman" w:hint="default"/>
        <w:b w:val="0"/>
        <w:i w:val="0"/>
        <w:caps w:val="0"/>
        <w:strike w:val="0"/>
        <w:dstrike w:val="0"/>
        <w:vanish w:val="0"/>
        <w:color w:val="000000"/>
        <w:position w:val="0"/>
        <w:sz w:val="20"/>
        <w:u w:val="none"/>
        <w:vertAlign w:val="baseline"/>
      </w:rPr>
    </w:lvl>
    <w:lvl w:ilvl="1" w:tplc="C22CB3E2" w:tentative="1">
      <w:start w:val="1"/>
      <w:numFmt w:val="lowerLetter"/>
      <w:lvlText w:val="%2."/>
      <w:lvlJc w:val="left"/>
      <w:pPr>
        <w:ind w:left="1440" w:hanging="360"/>
      </w:pPr>
    </w:lvl>
    <w:lvl w:ilvl="2" w:tplc="5DEA760A" w:tentative="1">
      <w:start w:val="1"/>
      <w:numFmt w:val="lowerRoman"/>
      <w:lvlText w:val="%3."/>
      <w:lvlJc w:val="right"/>
      <w:pPr>
        <w:ind w:left="2160" w:hanging="180"/>
      </w:pPr>
    </w:lvl>
    <w:lvl w:ilvl="3" w:tplc="ED8CD2A0" w:tentative="1">
      <w:start w:val="1"/>
      <w:numFmt w:val="decimal"/>
      <w:lvlText w:val="%4."/>
      <w:lvlJc w:val="left"/>
      <w:pPr>
        <w:ind w:left="2880" w:hanging="360"/>
      </w:pPr>
    </w:lvl>
    <w:lvl w:ilvl="4" w:tplc="E36C488C" w:tentative="1">
      <w:start w:val="1"/>
      <w:numFmt w:val="lowerLetter"/>
      <w:lvlText w:val="%5."/>
      <w:lvlJc w:val="left"/>
      <w:pPr>
        <w:ind w:left="3600" w:hanging="360"/>
      </w:pPr>
    </w:lvl>
    <w:lvl w:ilvl="5" w:tplc="B14E7F60" w:tentative="1">
      <w:start w:val="1"/>
      <w:numFmt w:val="lowerRoman"/>
      <w:lvlText w:val="%6."/>
      <w:lvlJc w:val="right"/>
      <w:pPr>
        <w:ind w:left="4320" w:hanging="180"/>
      </w:pPr>
    </w:lvl>
    <w:lvl w:ilvl="6" w:tplc="23827A4E" w:tentative="1">
      <w:start w:val="1"/>
      <w:numFmt w:val="decimal"/>
      <w:lvlText w:val="%7."/>
      <w:lvlJc w:val="left"/>
      <w:pPr>
        <w:ind w:left="5040" w:hanging="360"/>
      </w:pPr>
    </w:lvl>
    <w:lvl w:ilvl="7" w:tplc="8A681E1C" w:tentative="1">
      <w:start w:val="1"/>
      <w:numFmt w:val="lowerLetter"/>
      <w:lvlText w:val="%8."/>
      <w:lvlJc w:val="left"/>
      <w:pPr>
        <w:ind w:left="5760" w:hanging="360"/>
      </w:pPr>
    </w:lvl>
    <w:lvl w:ilvl="8" w:tplc="922C094A" w:tentative="1">
      <w:start w:val="1"/>
      <w:numFmt w:val="lowerRoman"/>
      <w:lvlText w:val="%9."/>
      <w:lvlJc w:val="right"/>
      <w:pPr>
        <w:ind w:left="6480" w:hanging="180"/>
      </w:pPr>
    </w:lvl>
  </w:abstractNum>
  <w:abstractNum w:abstractNumId="153" w15:restartNumberingAfterBreak="0">
    <w:nsid w:val="5C851F9B"/>
    <w:multiLevelType w:val="hybridMultilevel"/>
    <w:tmpl w:val="5CD834F4"/>
    <w:lvl w:ilvl="0" w:tplc="7C729066">
      <w:start w:val="1"/>
      <w:numFmt w:val="decimal"/>
      <w:lvlText w:val="%1)"/>
      <w:lvlJc w:val="left"/>
      <w:pPr>
        <w:ind w:left="720" w:hanging="360"/>
      </w:pPr>
    </w:lvl>
    <w:lvl w:ilvl="1" w:tplc="1CBA8FFE" w:tentative="1">
      <w:start w:val="1"/>
      <w:numFmt w:val="lowerLetter"/>
      <w:lvlText w:val="%2."/>
      <w:lvlJc w:val="left"/>
      <w:pPr>
        <w:ind w:left="1440" w:hanging="360"/>
      </w:pPr>
    </w:lvl>
    <w:lvl w:ilvl="2" w:tplc="6E926848" w:tentative="1">
      <w:start w:val="1"/>
      <w:numFmt w:val="lowerRoman"/>
      <w:lvlText w:val="%3."/>
      <w:lvlJc w:val="right"/>
      <w:pPr>
        <w:ind w:left="2160" w:hanging="180"/>
      </w:pPr>
    </w:lvl>
    <w:lvl w:ilvl="3" w:tplc="28F47CDE">
      <w:start w:val="1"/>
      <w:numFmt w:val="decimal"/>
      <w:lvlText w:val="%4)"/>
      <w:lvlJc w:val="left"/>
      <w:pPr>
        <w:ind w:left="2880" w:hanging="360"/>
      </w:pPr>
    </w:lvl>
    <w:lvl w:ilvl="4" w:tplc="BB009AF0" w:tentative="1">
      <w:start w:val="1"/>
      <w:numFmt w:val="lowerLetter"/>
      <w:lvlText w:val="%5."/>
      <w:lvlJc w:val="left"/>
      <w:pPr>
        <w:ind w:left="3600" w:hanging="360"/>
      </w:pPr>
    </w:lvl>
    <w:lvl w:ilvl="5" w:tplc="6C6A932A" w:tentative="1">
      <w:start w:val="1"/>
      <w:numFmt w:val="lowerRoman"/>
      <w:lvlText w:val="%6."/>
      <w:lvlJc w:val="right"/>
      <w:pPr>
        <w:ind w:left="4320" w:hanging="180"/>
      </w:pPr>
    </w:lvl>
    <w:lvl w:ilvl="6" w:tplc="560C8B52" w:tentative="1">
      <w:start w:val="1"/>
      <w:numFmt w:val="decimal"/>
      <w:lvlText w:val="%7."/>
      <w:lvlJc w:val="left"/>
      <w:pPr>
        <w:ind w:left="5040" w:hanging="360"/>
      </w:pPr>
    </w:lvl>
    <w:lvl w:ilvl="7" w:tplc="481E31A6" w:tentative="1">
      <w:start w:val="1"/>
      <w:numFmt w:val="lowerLetter"/>
      <w:lvlText w:val="%8."/>
      <w:lvlJc w:val="left"/>
      <w:pPr>
        <w:ind w:left="5760" w:hanging="360"/>
      </w:pPr>
    </w:lvl>
    <w:lvl w:ilvl="8" w:tplc="1974DC3E" w:tentative="1">
      <w:start w:val="1"/>
      <w:numFmt w:val="lowerRoman"/>
      <w:lvlText w:val="%9."/>
      <w:lvlJc w:val="right"/>
      <w:pPr>
        <w:ind w:left="6480" w:hanging="180"/>
      </w:pPr>
    </w:lvl>
  </w:abstractNum>
  <w:abstractNum w:abstractNumId="154" w15:restartNumberingAfterBreak="0">
    <w:nsid w:val="5D0B2DD4"/>
    <w:multiLevelType w:val="multilevel"/>
    <w:tmpl w:val="B908F64A"/>
    <w:lvl w:ilvl="0">
      <w:start w:val="1"/>
      <w:numFmt w:val="bullet"/>
      <w:lvlText w:val="ü"/>
      <w:lvlJc w:val="left"/>
      <w:pPr>
        <w:ind w:left="720" w:hanging="360"/>
      </w:pPr>
      <w:rPr>
        <w:rFonts w:ascii="Wingdings" w:eastAsia="Wingdings" w:hAnsi="Wingdings" w:cs="Wingding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5" w15:restartNumberingAfterBreak="0">
    <w:nsid w:val="5D1C4AA7"/>
    <w:multiLevelType w:val="multilevel"/>
    <w:tmpl w:val="77D827CC"/>
    <w:lvl w:ilvl="0">
      <w:start w:val="1"/>
      <w:numFmt w:val="lowerLetter"/>
      <w:lvlText w:val="%1)"/>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56" w15:restartNumberingAfterBreak="0">
    <w:nsid w:val="5D280846"/>
    <w:multiLevelType w:val="multilevel"/>
    <w:tmpl w:val="3BF6A67A"/>
    <w:lvl w:ilvl="0">
      <w:start w:val="1"/>
      <w:numFmt w:val="decimal"/>
      <w:lvlText w:val="%1)"/>
      <w:lvlJc w:val="left"/>
      <w:pPr>
        <w:ind w:left="360" w:hanging="360"/>
      </w:pPr>
      <w:rPr>
        <w:rFonts w:cs="Times New Roman"/>
      </w:rPr>
    </w:lvl>
    <w:lvl w:ilvl="1">
      <w:start w:val="1"/>
      <w:numFmt w:val="lowerLetter"/>
      <w:lvlText w:val="%2)"/>
      <w:lvlJc w:val="left"/>
      <w:pPr>
        <w:ind w:left="1125" w:hanging="405"/>
      </w:pPr>
      <w:rPr>
        <w:rFonts w:cs="Times New Roman" w:hint="default"/>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7" w15:restartNumberingAfterBreak="0">
    <w:nsid w:val="5E4F4324"/>
    <w:multiLevelType w:val="hybridMultilevel"/>
    <w:tmpl w:val="18860F26"/>
    <w:lvl w:ilvl="0" w:tplc="847AC60E">
      <w:start w:val="1"/>
      <w:numFmt w:val="decimal"/>
      <w:lvlText w:val="%1)"/>
      <w:lvlJc w:val="left"/>
      <w:pPr>
        <w:ind w:left="1004" w:hanging="360"/>
      </w:pPr>
      <w:rPr>
        <w:rFonts w:cs="Times New Roman"/>
      </w:rPr>
    </w:lvl>
    <w:lvl w:ilvl="1" w:tplc="8F984E9E">
      <w:start w:val="1"/>
      <w:numFmt w:val="decimal"/>
      <w:lvlText w:val="%2)"/>
      <w:lvlJc w:val="left"/>
      <w:pPr>
        <w:ind w:left="1724" w:hanging="360"/>
      </w:pPr>
      <w:rPr>
        <w:rFonts w:cs="Times New Roman"/>
      </w:rPr>
    </w:lvl>
    <w:lvl w:ilvl="2" w:tplc="6512DC52" w:tentative="1">
      <w:start w:val="1"/>
      <w:numFmt w:val="lowerRoman"/>
      <w:lvlText w:val="%3."/>
      <w:lvlJc w:val="right"/>
      <w:pPr>
        <w:ind w:left="2444" w:hanging="180"/>
      </w:pPr>
    </w:lvl>
    <w:lvl w:ilvl="3" w:tplc="AE022C52" w:tentative="1">
      <w:start w:val="1"/>
      <w:numFmt w:val="decimal"/>
      <w:lvlText w:val="%4."/>
      <w:lvlJc w:val="left"/>
      <w:pPr>
        <w:ind w:left="3164" w:hanging="360"/>
      </w:pPr>
    </w:lvl>
    <w:lvl w:ilvl="4" w:tplc="923EE84E" w:tentative="1">
      <w:start w:val="1"/>
      <w:numFmt w:val="lowerLetter"/>
      <w:lvlText w:val="%5."/>
      <w:lvlJc w:val="left"/>
      <w:pPr>
        <w:ind w:left="3884" w:hanging="360"/>
      </w:pPr>
    </w:lvl>
    <w:lvl w:ilvl="5" w:tplc="A5F2A5AA" w:tentative="1">
      <w:start w:val="1"/>
      <w:numFmt w:val="lowerRoman"/>
      <w:lvlText w:val="%6."/>
      <w:lvlJc w:val="right"/>
      <w:pPr>
        <w:ind w:left="4604" w:hanging="180"/>
      </w:pPr>
    </w:lvl>
    <w:lvl w:ilvl="6" w:tplc="1CFEADB6" w:tentative="1">
      <w:start w:val="1"/>
      <w:numFmt w:val="decimal"/>
      <w:lvlText w:val="%7."/>
      <w:lvlJc w:val="left"/>
      <w:pPr>
        <w:ind w:left="5324" w:hanging="360"/>
      </w:pPr>
    </w:lvl>
    <w:lvl w:ilvl="7" w:tplc="CD26E5A8" w:tentative="1">
      <w:start w:val="1"/>
      <w:numFmt w:val="lowerLetter"/>
      <w:lvlText w:val="%8."/>
      <w:lvlJc w:val="left"/>
      <w:pPr>
        <w:ind w:left="6044" w:hanging="360"/>
      </w:pPr>
    </w:lvl>
    <w:lvl w:ilvl="8" w:tplc="F3D28326" w:tentative="1">
      <w:start w:val="1"/>
      <w:numFmt w:val="lowerRoman"/>
      <w:lvlText w:val="%9."/>
      <w:lvlJc w:val="right"/>
      <w:pPr>
        <w:ind w:left="6764" w:hanging="180"/>
      </w:pPr>
    </w:lvl>
  </w:abstractNum>
  <w:abstractNum w:abstractNumId="158" w15:restartNumberingAfterBreak="0">
    <w:nsid w:val="5E5F2805"/>
    <w:multiLevelType w:val="multilevel"/>
    <w:tmpl w:val="1792C2FA"/>
    <w:lvl w:ilvl="0">
      <w:start w:val="1"/>
      <w:numFmt w:val="bullet"/>
      <w:lvlText w:val=""/>
      <w:lvlJc w:val="left"/>
      <w:pPr>
        <w:ind w:left="360" w:hanging="360"/>
      </w:pPr>
      <w:rPr>
        <w:rFonts w:ascii="Symbol" w:eastAsia="Symbol" w:hAnsi="Symbol" w:cs="Symbol" w:hint="default"/>
      </w:rPr>
    </w:lvl>
    <w:lvl w:ilvl="1">
      <w:start w:val="1"/>
      <w:numFmt w:val="bullet"/>
      <w:lvlText w:val=""/>
      <w:lvlJc w:val="left"/>
      <w:pPr>
        <w:ind w:left="720" w:hanging="360"/>
      </w:pPr>
      <w:rPr>
        <w:rFonts w:ascii="Wingdings" w:eastAsia="Wingdings" w:hAnsi="Wingdings" w:cs="Wingdings" w:hint="default"/>
      </w:rPr>
    </w:lvl>
    <w:lvl w:ilvl="2">
      <w:start w:val="1"/>
      <w:numFmt w:val="bullet"/>
      <w:lvlText w:val=""/>
      <w:lvlJc w:val="left"/>
      <w:pPr>
        <w:ind w:left="1080" w:hanging="360"/>
      </w:pPr>
      <w:rPr>
        <w:rFonts w:ascii="Wingdings" w:eastAsia="Wingdings" w:hAnsi="Wingdings" w:cs="Wingdings" w:hint="default"/>
      </w:rPr>
    </w:lvl>
    <w:lvl w:ilvl="3">
      <w:start w:val="1"/>
      <w:numFmt w:val="bullet"/>
      <w:lvlText w:val=""/>
      <w:lvlJc w:val="left"/>
      <w:pPr>
        <w:ind w:left="1440" w:hanging="360"/>
      </w:pPr>
      <w:rPr>
        <w:rFonts w:ascii="Symbol" w:eastAsia="Symbol" w:hAnsi="Symbol" w:cs="Symbol" w:hint="default"/>
      </w:rPr>
    </w:lvl>
    <w:lvl w:ilvl="4">
      <w:start w:val="1"/>
      <w:numFmt w:val="bullet"/>
      <w:lvlText w:val=""/>
      <w:lvlJc w:val="left"/>
      <w:pPr>
        <w:ind w:left="1800" w:hanging="360"/>
      </w:pPr>
      <w:rPr>
        <w:rFonts w:ascii="Symbol" w:eastAsia="Symbol" w:hAnsi="Symbol" w:cs="Symbol" w:hint="default"/>
      </w:rPr>
    </w:lvl>
    <w:lvl w:ilvl="5">
      <w:start w:val="1"/>
      <w:numFmt w:val="bullet"/>
      <w:lvlText w:val=""/>
      <w:lvlJc w:val="left"/>
      <w:pPr>
        <w:ind w:left="2160" w:hanging="360"/>
      </w:pPr>
      <w:rPr>
        <w:rFonts w:ascii="Wingdings" w:eastAsia="Wingdings" w:hAnsi="Wingdings" w:cs="Wingdings" w:hint="default"/>
      </w:rPr>
    </w:lvl>
    <w:lvl w:ilvl="6">
      <w:start w:val="1"/>
      <w:numFmt w:val="bullet"/>
      <w:lvlText w:val=""/>
      <w:lvlJc w:val="left"/>
      <w:pPr>
        <w:ind w:left="2520" w:hanging="360"/>
      </w:pPr>
      <w:rPr>
        <w:rFonts w:ascii="Wingdings" w:eastAsia="Wingdings" w:hAnsi="Wingdings" w:cs="Wingdings" w:hint="default"/>
      </w:rPr>
    </w:lvl>
    <w:lvl w:ilvl="7">
      <w:start w:val="1"/>
      <w:numFmt w:val="bullet"/>
      <w:lvlText w:val=""/>
      <w:lvlJc w:val="left"/>
      <w:pPr>
        <w:ind w:left="2880" w:hanging="360"/>
      </w:pPr>
      <w:rPr>
        <w:rFonts w:ascii="Symbol" w:eastAsia="Symbol" w:hAnsi="Symbol" w:cs="Symbol" w:hint="default"/>
      </w:rPr>
    </w:lvl>
    <w:lvl w:ilvl="8">
      <w:start w:val="1"/>
      <w:numFmt w:val="bullet"/>
      <w:lvlText w:val=""/>
      <w:lvlJc w:val="left"/>
      <w:pPr>
        <w:ind w:left="3240" w:hanging="360"/>
      </w:pPr>
      <w:rPr>
        <w:rFonts w:ascii="Symbol" w:eastAsia="Symbol" w:hAnsi="Symbol" w:cs="Symbol" w:hint="default"/>
      </w:rPr>
    </w:lvl>
  </w:abstractNum>
  <w:abstractNum w:abstractNumId="159" w15:restartNumberingAfterBreak="0">
    <w:nsid w:val="5E9D6FFE"/>
    <w:multiLevelType w:val="hybridMultilevel"/>
    <w:tmpl w:val="89808D6A"/>
    <w:lvl w:ilvl="0" w:tplc="35B25148">
      <w:start w:val="1"/>
      <w:numFmt w:val="decimal"/>
      <w:lvlText w:val="%1)"/>
      <w:lvlJc w:val="left"/>
      <w:pPr>
        <w:ind w:left="720" w:hanging="360"/>
      </w:pPr>
      <w:rPr>
        <w:rFonts w:cs="Times New Roman"/>
      </w:rPr>
    </w:lvl>
    <w:lvl w:ilvl="1" w:tplc="912E2A16" w:tentative="1">
      <w:start w:val="1"/>
      <w:numFmt w:val="lowerLetter"/>
      <w:lvlText w:val="%2."/>
      <w:lvlJc w:val="left"/>
      <w:pPr>
        <w:ind w:left="1440" w:hanging="360"/>
      </w:pPr>
      <w:rPr>
        <w:rFonts w:cs="Times New Roman"/>
      </w:rPr>
    </w:lvl>
    <w:lvl w:ilvl="2" w:tplc="EC6A373E" w:tentative="1">
      <w:start w:val="1"/>
      <w:numFmt w:val="lowerRoman"/>
      <w:lvlText w:val="%3."/>
      <w:lvlJc w:val="right"/>
      <w:pPr>
        <w:ind w:left="2160" w:hanging="180"/>
      </w:pPr>
      <w:rPr>
        <w:rFonts w:cs="Times New Roman"/>
      </w:rPr>
    </w:lvl>
    <w:lvl w:ilvl="3" w:tplc="A4725C80" w:tentative="1">
      <w:start w:val="1"/>
      <w:numFmt w:val="decimal"/>
      <w:lvlText w:val="%4."/>
      <w:lvlJc w:val="left"/>
      <w:pPr>
        <w:ind w:left="2880" w:hanging="360"/>
      </w:pPr>
      <w:rPr>
        <w:rFonts w:cs="Times New Roman"/>
      </w:rPr>
    </w:lvl>
    <w:lvl w:ilvl="4" w:tplc="1B7493CE" w:tentative="1">
      <w:start w:val="1"/>
      <w:numFmt w:val="lowerLetter"/>
      <w:lvlText w:val="%5."/>
      <w:lvlJc w:val="left"/>
      <w:pPr>
        <w:ind w:left="3600" w:hanging="360"/>
      </w:pPr>
      <w:rPr>
        <w:rFonts w:cs="Times New Roman"/>
      </w:rPr>
    </w:lvl>
    <w:lvl w:ilvl="5" w:tplc="D0421E34" w:tentative="1">
      <w:start w:val="1"/>
      <w:numFmt w:val="lowerRoman"/>
      <w:lvlText w:val="%6."/>
      <w:lvlJc w:val="right"/>
      <w:pPr>
        <w:ind w:left="4320" w:hanging="180"/>
      </w:pPr>
      <w:rPr>
        <w:rFonts w:cs="Times New Roman"/>
      </w:rPr>
    </w:lvl>
    <w:lvl w:ilvl="6" w:tplc="008C54E8" w:tentative="1">
      <w:start w:val="1"/>
      <w:numFmt w:val="decimal"/>
      <w:lvlText w:val="%7."/>
      <w:lvlJc w:val="left"/>
      <w:pPr>
        <w:ind w:left="5040" w:hanging="360"/>
      </w:pPr>
      <w:rPr>
        <w:rFonts w:cs="Times New Roman"/>
      </w:rPr>
    </w:lvl>
    <w:lvl w:ilvl="7" w:tplc="BD8E8786" w:tentative="1">
      <w:start w:val="1"/>
      <w:numFmt w:val="lowerLetter"/>
      <w:lvlText w:val="%8."/>
      <w:lvlJc w:val="left"/>
      <w:pPr>
        <w:ind w:left="5760" w:hanging="360"/>
      </w:pPr>
      <w:rPr>
        <w:rFonts w:cs="Times New Roman"/>
      </w:rPr>
    </w:lvl>
    <w:lvl w:ilvl="8" w:tplc="833C17E0" w:tentative="1">
      <w:start w:val="1"/>
      <w:numFmt w:val="lowerRoman"/>
      <w:lvlText w:val="%9."/>
      <w:lvlJc w:val="right"/>
      <w:pPr>
        <w:ind w:left="6480" w:hanging="180"/>
      </w:pPr>
      <w:rPr>
        <w:rFonts w:cs="Times New Roman"/>
      </w:rPr>
    </w:lvl>
  </w:abstractNum>
  <w:abstractNum w:abstractNumId="160" w15:restartNumberingAfterBreak="0">
    <w:nsid w:val="5FCB3751"/>
    <w:multiLevelType w:val="hybridMultilevel"/>
    <w:tmpl w:val="50D0A750"/>
    <w:lvl w:ilvl="0" w:tplc="A2260BCA">
      <w:start w:val="1"/>
      <w:numFmt w:val="decimal"/>
      <w:lvlText w:val="%1)"/>
      <w:lvlJc w:val="left"/>
      <w:pPr>
        <w:ind w:left="720" w:hanging="360"/>
      </w:pPr>
      <w:rPr>
        <w:rFonts w:ascii="Times New Roman" w:hAnsi="Times New Roman" w:cs="Times New Roman" w:hint="default"/>
        <w:b/>
        <w:i w:val="0"/>
        <w:caps w:val="0"/>
        <w:strike w:val="0"/>
        <w:dstrike w:val="0"/>
        <w:vanish w:val="0"/>
        <w:color w:val="000000"/>
        <w:position w:val="0"/>
        <w:sz w:val="20"/>
        <w:u w:val="none"/>
        <w:vertAlign w:val="baseline"/>
      </w:rPr>
    </w:lvl>
    <w:lvl w:ilvl="1" w:tplc="BFB07AF0" w:tentative="1">
      <w:start w:val="1"/>
      <w:numFmt w:val="lowerLetter"/>
      <w:lvlText w:val="%2."/>
      <w:lvlJc w:val="left"/>
      <w:pPr>
        <w:ind w:left="1440" w:hanging="360"/>
      </w:pPr>
    </w:lvl>
    <w:lvl w:ilvl="2" w:tplc="E4DEB4AC" w:tentative="1">
      <w:start w:val="1"/>
      <w:numFmt w:val="lowerRoman"/>
      <w:lvlText w:val="%3."/>
      <w:lvlJc w:val="right"/>
      <w:pPr>
        <w:ind w:left="2160" w:hanging="180"/>
      </w:pPr>
    </w:lvl>
    <w:lvl w:ilvl="3" w:tplc="BB066116" w:tentative="1">
      <w:start w:val="1"/>
      <w:numFmt w:val="decimal"/>
      <w:lvlText w:val="%4."/>
      <w:lvlJc w:val="left"/>
      <w:pPr>
        <w:ind w:left="2880" w:hanging="360"/>
      </w:pPr>
    </w:lvl>
    <w:lvl w:ilvl="4" w:tplc="EA1CE9E4" w:tentative="1">
      <w:start w:val="1"/>
      <w:numFmt w:val="lowerLetter"/>
      <w:lvlText w:val="%5."/>
      <w:lvlJc w:val="left"/>
      <w:pPr>
        <w:ind w:left="3600" w:hanging="360"/>
      </w:pPr>
    </w:lvl>
    <w:lvl w:ilvl="5" w:tplc="5F0E135A" w:tentative="1">
      <w:start w:val="1"/>
      <w:numFmt w:val="lowerRoman"/>
      <w:lvlText w:val="%6."/>
      <w:lvlJc w:val="right"/>
      <w:pPr>
        <w:ind w:left="4320" w:hanging="180"/>
      </w:pPr>
    </w:lvl>
    <w:lvl w:ilvl="6" w:tplc="BF967266" w:tentative="1">
      <w:start w:val="1"/>
      <w:numFmt w:val="decimal"/>
      <w:lvlText w:val="%7."/>
      <w:lvlJc w:val="left"/>
      <w:pPr>
        <w:ind w:left="5040" w:hanging="360"/>
      </w:pPr>
    </w:lvl>
    <w:lvl w:ilvl="7" w:tplc="0CE4EB66" w:tentative="1">
      <w:start w:val="1"/>
      <w:numFmt w:val="lowerLetter"/>
      <w:lvlText w:val="%8."/>
      <w:lvlJc w:val="left"/>
      <w:pPr>
        <w:ind w:left="5760" w:hanging="360"/>
      </w:pPr>
    </w:lvl>
    <w:lvl w:ilvl="8" w:tplc="3D46164C" w:tentative="1">
      <w:start w:val="1"/>
      <w:numFmt w:val="lowerRoman"/>
      <w:lvlText w:val="%9."/>
      <w:lvlJc w:val="right"/>
      <w:pPr>
        <w:ind w:left="6480" w:hanging="180"/>
      </w:pPr>
    </w:lvl>
  </w:abstractNum>
  <w:abstractNum w:abstractNumId="161" w15:restartNumberingAfterBreak="0">
    <w:nsid w:val="5FE94B98"/>
    <w:multiLevelType w:val="multilevel"/>
    <w:tmpl w:val="85987B16"/>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62" w15:restartNumberingAfterBreak="0">
    <w:nsid w:val="60B721E1"/>
    <w:multiLevelType w:val="multilevel"/>
    <w:tmpl w:val="DB166DB2"/>
    <w:lvl w:ilvl="0">
      <w:start w:val="1"/>
      <w:numFmt w:val="decimal"/>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63" w15:restartNumberingAfterBreak="0">
    <w:nsid w:val="617523B4"/>
    <w:multiLevelType w:val="multilevel"/>
    <w:tmpl w:val="D146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1AF3FE3"/>
    <w:multiLevelType w:val="hybridMultilevel"/>
    <w:tmpl w:val="EA8E01B8"/>
    <w:lvl w:ilvl="0" w:tplc="2454F150">
      <w:start w:val="1"/>
      <w:numFmt w:val="lowerLetter"/>
      <w:lvlText w:val="%1."/>
      <w:lvlJc w:val="left"/>
      <w:pPr>
        <w:ind w:left="720" w:hanging="360"/>
      </w:pPr>
    </w:lvl>
    <w:lvl w:ilvl="1" w:tplc="27E83E7A">
      <w:start w:val="1"/>
      <w:numFmt w:val="lowerLetter"/>
      <w:lvlText w:val="%2."/>
      <w:lvlJc w:val="left"/>
      <w:pPr>
        <w:ind w:left="1440" w:hanging="360"/>
      </w:pPr>
    </w:lvl>
    <w:lvl w:ilvl="2" w:tplc="38C07D2E" w:tentative="1">
      <w:start w:val="1"/>
      <w:numFmt w:val="lowerRoman"/>
      <w:lvlText w:val="%3."/>
      <w:lvlJc w:val="right"/>
      <w:pPr>
        <w:ind w:left="2160" w:hanging="180"/>
      </w:pPr>
    </w:lvl>
    <w:lvl w:ilvl="3" w:tplc="B130F3F8" w:tentative="1">
      <w:start w:val="1"/>
      <w:numFmt w:val="decimal"/>
      <w:lvlText w:val="%4."/>
      <w:lvlJc w:val="left"/>
      <w:pPr>
        <w:ind w:left="2880" w:hanging="360"/>
      </w:pPr>
    </w:lvl>
    <w:lvl w:ilvl="4" w:tplc="F2622170" w:tentative="1">
      <w:start w:val="1"/>
      <w:numFmt w:val="lowerLetter"/>
      <w:lvlText w:val="%5."/>
      <w:lvlJc w:val="left"/>
      <w:pPr>
        <w:ind w:left="3600" w:hanging="360"/>
      </w:pPr>
    </w:lvl>
    <w:lvl w:ilvl="5" w:tplc="426EDEC4" w:tentative="1">
      <w:start w:val="1"/>
      <w:numFmt w:val="lowerRoman"/>
      <w:lvlText w:val="%6."/>
      <w:lvlJc w:val="right"/>
      <w:pPr>
        <w:ind w:left="4320" w:hanging="180"/>
      </w:pPr>
    </w:lvl>
    <w:lvl w:ilvl="6" w:tplc="B01A7702" w:tentative="1">
      <w:start w:val="1"/>
      <w:numFmt w:val="decimal"/>
      <w:lvlText w:val="%7."/>
      <w:lvlJc w:val="left"/>
      <w:pPr>
        <w:ind w:left="5040" w:hanging="360"/>
      </w:pPr>
    </w:lvl>
    <w:lvl w:ilvl="7" w:tplc="FC669C1E" w:tentative="1">
      <w:start w:val="1"/>
      <w:numFmt w:val="lowerLetter"/>
      <w:lvlText w:val="%8."/>
      <w:lvlJc w:val="left"/>
      <w:pPr>
        <w:ind w:left="5760" w:hanging="360"/>
      </w:pPr>
    </w:lvl>
    <w:lvl w:ilvl="8" w:tplc="BF62A0AE" w:tentative="1">
      <w:start w:val="1"/>
      <w:numFmt w:val="lowerRoman"/>
      <w:lvlText w:val="%9."/>
      <w:lvlJc w:val="right"/>
      <w:pPr>
        <w:ind w:left="6480" w:hanging="180"/>
      </w:pPr>
    </w:lvl>
  </w:abstractNum>
  <w:abstractNum w:abstractNumId="165" w15:restartNumberingAfterBreak="0">
    <w:nsid w:val="62371C25"/>
    <w:multiLevelType w:val="hybridMultilevel"/>
    <w:tmpl w:val="F8DA593A"/>
    <w:lvl w:ilvl="0" w:tplc="068A32EC">
      <w:start w:val="1"/>
      <w:numFmt w:val="lowerLetter"/>
      <w:lvlText w:val="%1)"/>
      <w:lvlJc w:val="left"/>
      <w:pPr>
        <w:ind w:left="720" w:hanging="360"/>
      </w:pPr>
      <w:rPr>
        <w:rFonts w:cs="Times New Roman"/>
      </w:rPr>
    </w:lvl>
    <w:lvl w:ilvl="1" w:tplc="FA46FD7E">
      <w:start w:val="1"/>
      <w:numFmt w:val="lowerLetter"/>
      <w:lvlText w:val="%2)"/>
      <w:lvlJc w:val="left"/>
      <w:pPr>
        <w:ind w:left="1440" w:hanging="360"/>
      </w:pPr>
      <w:rPr>
        <w:rFonts w:cs="Times New Roman"/>
      </w:rPr>
    </w:lvl>
    <w:lvl w:ilvl="2" w:tplc="839EDB74" w:tentative="1">
      <w:start w:val="1"/>
      <w:numFmt w:val="lowerRoman"/>
      <w:lvlText w:val="%3."/>
      <w:lvlJc w:val="right"/>
      <w:pPr>
        <w:ind w:left="2160" w:hanging="180"/>
      </w:pPr>
      <w:rPr>
        <w:rFonts w:cs="Times New Roman"/>
      </w:rPr>
    </w:lvl>
    <w:lvl w:ilvl="3" w:tplc="A5DA3EAE" w:tentative="1">
      <w:start w:val="1"/>
      <w:numFmt w:val="decimal"/>
      <w:lvlText w:val="%4."/>
      <w:lvlJc w:val="left"/>
      <w:pPr>
        <w:ind w:left="2880" w:hanging="360"/>
      </w:pPr>
      <w:rPr>
        <w:rFonts w:cs="Times New Roman"/>
      </w:rPr>
    </w:lvl>
    <w:lvl w:ilvl="4" w:tplc="FB00F6A0" w:tentative="1">
      <w:start w:val="1"/>
      <w:numFmt w:val="lowerLetter"/>
      <w:lvlText w:val="%5."/>
      <w:lvlJc w:val="left"/>
      <w:pPr>
        <w:ind w:left="3600" w:hanging="360"/>
      </w:pPr>
      <w:rPr>
        <w:rFonts w:cs="Times New Roman"/>
      </w:rPr>
    </w:lvl>
    <w:lvl w:ilvl="5" w:tplc="EA28912E" w:tentative="1">
      <w:start w:val="1"/>
      <w:numFmt w:val="lowerRoman"/>
      <w:lvlText w:val="%6."/>
      <w:lvlJc w:val="right"/>
      <w:pPr>
        <w:ind w:left="4320" w:hanging="180"/>
      </w:pPr>
      <w:rPr>
        <w:rFonts w:cs="Times New Roman"/>
      </w:rPr>
    </w:lvl>
    <w:lvl w:ilvl="6" w:tplc="178CA1BA" w:tentative="1">
      <w:start w:val="1"/>
      <w:numFmt w:val="decimal"/>
      <w:lvlText w:val="%7."/>
      <w:lvlJc w:val="left"/>
      <w:pPr>
        <w:ind w:left="5040" w:hanging="360"/>
      </w:pPr>
      <w:rPr>
        <w:rFonts w:cs="Times New Roman"/>
      </w:rPr>
    </w:lvl>
    <w:lvl w:ilvl="7" w:tplc="D506E68C" w:tentative="1">
      <w:start w:val="1"/>
      <w:numFmt w:val="lowerLetter"/>
      <w:lvlText w:val="%8."/>
      <w:lvlJc w:val="left"/>
      <w:pPr>
        <w:ind w:left="5760" w:hanging="360"/>
      </w:pPr>
      <w:rPr>
        <w:rFonts w:cs="Times New Roman"/>
      </w:rPr>
    </w:lvl>
    <w:lvl w:ilvl="8" w:tplc="27CC3202" w:tentative="1">
      <w:start w:val="1"/>
      <w:numFmt w:val="lowerRoman"/>
      <w:lvlText w:val="%9."/>
      <w:lvlJc w:val="right"/>
      <w:pPr>
        <w:ind w:left="6480" w:hanging="180"/>
      </w:pPr>
      <w:rPr>
        <w:rFonts w:cs="Times New Roman"/>
      </w:rPr>
    </w:lvl>
  </w:abstractNum>
  <w:abstractNum w:abstractNumId="166" w15:restartNumberingAfterBreak="0">
    <w:nsid w:val="643D46B8"/>
    <w:multiLevelType w:val="hybridMultilevel"/>
    <w:tmpl w:val="707480EC"/>
    <w:lvl w:ilvl="0" w:tplc="B9544A9A">
      <w:start w:val="1"/>
      <w:numFmt w:val="lowerLetter"/>
      <w:lvlText w:val="%1)"/>
      <w:lvlJc w:val="left"/>
      <w:pPr>
        <w:ind w:left="720" w:hanging="360"/>
      </w:pPr>
      <w:rPr>
        <w:rFonts w:cs="Times New Roman"/>
      </w:rPr>
    </w:lvl>
    <w:lvl w:ilvl="1" w:tplc="5B52AF94" w:tentative="1">
      <w:start w:val="1"/>
      <w:numFmt w:val="lowerLetter"/>
      <w:lvlText w:val="%2."/>
      <w:lvlJc w:val="left"/>
      <w:pPr>
        <w:ind w:left="1440" w:hanging="360"/>
      </w:pPr>
    </w:lvl>
    <w:lvl w:ilvl="2" w:tplc="4D8A27EE" w:tentative="1">
      <w:start w:val="1"/>
      <w:numFmt w:val="lowerRoman"/>
      <w:lvlText w:val="%3."/>
      <w:lvlJc w:val="right"/>
      <w:pPr>
        <w:ind w:left="2160" w:hanging="180"/>
      </w:pPr>
    </w:lvl>
    <w:lvl w:ilvl="3" w:tplc="445E3764" w:tentative="1">
      <w:start w:val="1"/>
      <w:numFmt w:val="decimal"/>
      <w:lvlText w:val="%4."/>
      <w:lvlJc w:val="left"/>
      <w:pPr>
        <w:ind w:left="2880" w:hanging="360"/>
      </w:pPr>
    </w:lvl>
    <w:lvl w:ilvl="4" w:tplc="4CEA3F86" w:tentative="1">
      <w:start w:val="1"/>
      <w:numFmt w:val="lowerLetter"/>
      <w:lvlText w:val="%5."/>
      <w:lvlJc w:val="left"/>
      <w:pPr>
        <w:ind w:left="3600" w:hanging="360"/>
      </w:pPr>
    </w:lvl>
    <w:lvl w:ilvl="5" w:tplc="42B69A26" w:tentative="1">
      <w:start w:val="1"/>
      <w:numFmt w:val="lowerRoman"/>
      <w:lvlText w:val="%6."/>
      <w:lvlJc w:val="right"/>
      <w:pPr>
        <w:ind w:left="4320" w:hanging="180"/>
      </w:pPr>
    </w:lvl>
    <w:lvl w:ilvl="6" w:tplc="2F4CE384" w:tentative="1">
      <w:start w:val="1"/>
      <w:numFmt w:val="decimal"/>
      <w:lvlText w:val="%7."/>
      <w:lvlJc w:val="left"/>
      <w:pPr>
        <w:ind w:left="5040" w:hanging="360"/>
      </w:pPr>
    </w:lvl>
    <w:lvl w:ilvl="7" w:tplc="D50827BA" w:tentative="1">
      <w:start w:val="1"/>
      <w:numFmt w:val="lowerLetter"/>
      <w:lvlText w:val="%8."/>
      <w:lvlJc w:val="left"/>
      <w:pPr>
        <w:ind w:left="5760" w:hanging="360"/>
      </w:pPr>
    </w:lvl>
    <w:lvl w:ilvl="8" w:tplc="5F8ABDD0" w:tentative="1">
      <w:start w:val="1"/>
      <w:numFmt w:val="lowerRoman"/>
      <w:lvlText w:val="%9."/>
      <w:lvlJc w:val="right"/>
      <w:pPr>
        <w:ind w:left="6480" w:hanging="180"/>
      </w:pPr>
    </w:lvl>
  </w:abstractNum>
  <w:abstractNum w:abstractNumId="167" w15:restartNumberingAfterBreak="0">
    <w:nsid w:val="64571F21"/>
    <w:multiLevelType w:val="hybridMultilevel"/>
    <w:tmpl w:val="ECC628DC"/>
    <w:lvl w:ilvl="0" w:tplc="8D904D66">
      <w:start w:val="1"/>
      <w:numFmt w:val="lowerLetter"/>
      <w:lvlText w:val="%1)"/>
      <w:lvlJc w:val="left"/>
      <w:pPr>
        <w:ind w:left="720" w:hanging="360"/>
      </w:pPr>
    </w:lvl>
    <w:lvl w:ilvl="1" w:tplc="C978B20C" w:tentative="1">
      <w:start w:val="1"/>
      <w:numFmt w:val="lowerLetter"/>
      <w:lvlText w:val="%2."/>
      <w:lvlJc w:val="left"/>
      <w:pPr>
        <w:ind w:left="1440" w:hanging="360"/>
      </w:pPr>
    </w:lvl>
    <w:lvl w:ilvl="2" w:tplc="107A6B06" w:tentative="1">
      <w:start w:val="1"/>
      <w:numFmt w:val="lowerRoman"/>
      <w:lvlText w:val="%3."/>
      <w:lvlJc w:val="right"/>
      <w:pPr>
        <w:ind w:left="2160" w:hanging="180"/>
      </w:pPr>
    </w:lvl>
    <w:lvl w:ilvl="3" w:tplc="53AED09E" w:tentative="1">
      <w:start w:val="1"/>
      <w:numFmt w:val="decimal"/>
      <w:lvlText w:val="%4."/>
      <w:lvlJc w:val="left"/>
      <w:pPr>
        <w:ind w:left="2880" w:hanging="360"/>
      </w:pPr>
    </w:lvl>
    <w:lvl w:ilvl="4" w:tplc="BB2E4F52" w:tentative="1">
      <w:start w:val="1"/>
      <w:numFmt w:val="lowerLetter"/>
      <w:lvlText w:val="%5."/>
      <w:lvlJc w:val="left"/>
      <w:pPr>
        <w:ind w:left="3600" w:hanging="360"/>
      </w:pPr>
    </w:lvl>
    <w:lvl w:ilvl="5" w:tplc="7940038A" w:tentative="1">
      <w:start w:val="1"/>
      <w:numFmt w:val="lowerRoman"/>
      <w:lvlText w:val="%6."/>
      <w:lvlJc w:val="right"/>
      <w:pPr>
        <w:ind w:left="4320" w:hanging="180"/>
      </w:pPr>
    </w:lvl>
    <w:lvl w:ilvl="6" w:tplc="1E5641F4" w:tentative="1">
      <w:start w:val="1"/>
      <w:numFmt w:val="decimal"/>
      <w:lvlText w:val="%7."/>
      <w:lvlJc w:val="left"/>
      <w:pPr>
        <w:ind w:left="5040" w:hanging="360"/>
      </w:pPr>
    </w:lvl>
    <w:lvl w:ilvl="7" w:tplc="91307BAA" w:tentative="1">
      <w:start w:val="1"/>
      <w:numFmt w:val="lowerLetter"/>
      <w:lvlText w:val="%8."/>
      <w:lvlJc w:val="left"/>
      <w:pPr>
        <w:ind w:left="5760" w:hanging="360"/>
      </w:pPr>
    </w:lvl>
    <w:lvl w:ilvl="8" w:tplc="A61049A4" w:tentative="1">
      <w:start w:val="1"/>
      <w:numFmt w:val="lowerRoman"/>
      <w:lvlText w:val="%9."/>
      <w:lvlJc w:val="right"/>
      <w:pPr>
        <w:ind w:left="6480" w:hanging="180"/>
      </w:pPr>
    </w:lvl>
  </w:abstractNum>
  <w:abstractNum w:abstractNumId="168" w15:restartNumberingAfterBreak="0">
    <w:nsid w:val="65036E3F"/>
    <w:multiLevelType w:val="hybridMultilevel"/>
    <w:tmpl w:val="96A6E7C2"/>
    <w:lvl w:ilvl="0" w:tplc="91D66520">
      <w:start w:val="1"/>
      <w:numFmt w:val="lowerLetter"/>
      <w:lvlText w:val="%1)"/>
      <w:lvlJc w:val="left"/>
      <w:pPr>
        <w:ind w:left="1429" w:hanging="360"/>
      </w:pPr>
      <w:rPr>
        <w:rFonts w:cs="Times New Roman"/>
      </w:rPr>
    </w:lvl>
    <w:lvl w:ilvl="1" w:tplc="D3503A10">
      <w:start w:val="1"/>
      <w:numFmt w:val="decimal"/>
      <w:lvlText w:val="%2)"/>
      <w:lvlJc w:val="left"/>
      <w:pPr>
        <w:ind w:left="2149" w:hanging="360"/>
      </w:pPr>
      <w:rPr>
        <w:rFonts w:hint="default"/>
      </w:rPr>
    </w:lvl>
    <w:lvl w:ilvl="2" w:tplc="ED824DDE">
      <w:start w:val="1"/>
      <w:numFmt w:val="lowerLetter"/>
      <w:lvlText w:val="%3)"/>
      <w:lvlJc w:val="left"/>
      <w:pPr>
        <w:ind w:left="2869" w:hanging="180"/>
      </w:pPr>
      <w:rPr>
        <w:rFonts w:cs="Times New Roman"/>
      </w:rPr>
    </w:lvl>
    <w:lvl w:ilvl="3" w:tplc="D79E7DB2" w:tentative="1">
      <w:start w:val="1"/>
      <w:numFmt w:val="decimal"/>
      <w:lvlText w:val="%4."/>
      <w:lvlJc w:val="left"/>
      <w:pPr>
        <w:ind w:left="3589" w:hanging="360"/>
      </w:pPr>
      <w:rPr>
        <w:rFonts w:cs="Times New Roman"/>
      </w:rPr>
    </w:lvl>
    <w:lvl w:ilvl="4" w:tplc="B3960240" w:tentative="1">
      <w:start w:val="1"/>
      <w:numFmt w:val="lowerLetter"/>
      <w:lvlText w:val="%5."/>
      <w:lvlJc w:val="left"/>
      <w:pPr>
        <w:ind w:left="4309" w:hanging="360"/>
      </w:pPr>
      <w:rPr>
        <w:rFonts w:cs="Times New Roman"/>
      </w:rPr>
    </w:lvl>
    <w:lvl w:ilvl="5" w:tplc="BBA40196" w:tentative="1">
      <w:start w:val="1"/>
      <w:numFmt w:val="lowerRoman"/>
      <w:lvlText w:val="%6."/>
      <w:lvlJc w:val="right"/>
      <w:pPr>
        <w:ind w:left="5029" w:hanging="180"/>
      </w:pPr>
      <w:rPr>
        <w:rFonts w:cs="Times New Roman"/>
      </w:rPr>
    </w:lvl>
    <w:lvl w:ilvl="6" w:tplc="180A8576" w:tentative="1">
      <w:start w:val="1"/>
      <w:numFmt w:val="decimal"/>
      <w:lvlText w:val="%7."/>
      <w:lvlJc w:val="left"/>
      <w:pPr>
        <w:ind w:left="5749" w:hanging="360"/>
      </w:pPr>
      <w:rPr>
        <w:rFonts w:cs="Times New Roman"/>
      </w:rPr>
    </w:lvl>
    <w:lvl w:ilvl="7" w:tplc="9990D7D2" w:tentative="1">
      <w:start w:val="1"/>
      <w:numFmt w:val="lowerLetter"/>
      <w:lvlText w:val="%8."/>
      <w:lvlJc w:val="left"/>
      <w:pPr>
        <w:ind w:left="6469" w:hanging="360"/>
      </w:pPr>
      <w:rPr>
        <w:rFonts w:cs="Times New Roman"/>
      </w:rPr>
    </w:lvl>
    <w:lvl w:ilvl="8" w:tplc="0ADAA7C4" w:tentative="1">
      <w:start w:val="1"/>
      <w:numFmt w:val="lowerRoman"/>
      <w:lvlText w:val="%9."/>
      <w:lvlJc w:val="right"/>
      <w:pPr>
        <w:ind w:left="7189" w:hanging="180"/>
      </w:pPr>
      <w:rPr>
        <w:rFonts w:cs="Times New Roman"/>
      </w:rPr>
    </w:lvl>
  </w:abstractNum>
  <w:abstractNum w:abstractNumId="169" w15:restartNumberingAfterBreak="0">
    <w:nsid w:val="651A635A"/>
    <w:multiLevelType w:val="hybridMultilevel"/>
    <w:tmpl w:val="8EE2D512"/>
    <w:lvl w:ilvl="0" w:tplc="010C5FCA">
      <w:start w:val="1"/>
      <w:numFmt w:val="lowerLetter"/>
      <w:lvlText w:val="%1)"/>
      <w:lvlJc w:val="left"/>
      <w:pPr>
        <w:ind w:left="720" w:hanging="360"/>
      </w:pPr>
      <w:rPr>
        <w:rFonts w:cs="Times New Roman"/>
      </w:rPr>
    </w:lvl>
    <w:lvl w:ilvl="1" w:tplc="653AE978" w:tentative="1">
      <w:start w:val="1"/>
      <w:numFmt w:val="lowerLetter"/>
      <w:lvlText w:val="%2."/>
      <w:lvlJc w:val="left"/>
      <w:pPr>
        <w:ind w:left="1440" w:hanging="360"/>
      </w:pPr>
      <w:rPr>
        <w:rFonts w:cs="Times New Roman"/>
      </w:rPr>
    </w:lvl>
    <w:lvl w:ilvl="2" w:tplc="2E1E7E4A" w:tentative="1">
      <w:start w:val="1"/>
      <w:numFmt w:val="lowerRoman"/>
      <w:lvlText w:val="%3."/>
      <w:lvlJc w:val="right"/>
      <w:pPr>
        <w:ind w:left="2160" w:hanging="180"/>
      </w:pPr>
      <w:rPr>
        <w:rFonts w:cs="Times New Roman"/>
      </w:rPr>
    </w:lvl>
    <w:lvl w:ilvl="3" w:tplc="5E16C9EA" w:tentative="1">
      <w:start w:val="1"/>
      <w:numFmt w:val="decimal"/>
      <w:lvlText w:val="%4."/>
      <w:lvlJc w:val="left"/>
      <w:pPr>
        <w:ind w:left="2880" w:hanging="360"/>
      </w:pPr>
      <w:rPr>
        <w:rFonts w:cs="Times New Roman"/>
      </w:rPr>
    </w:lvl>
    <w:lvl w:ilvl="4" w:tplc="BDF4BA02" w:tentative="1">
      <w:start w:val="1"/>
      <w:numFmt w:val="lowerLetter"/>
      <w:lvlText w:val="%5."/>
      <w:lvlJc w:val="left"/>
      <w:pPr>
        <w:ind w:left="3600" w:hanging="360"/>
      </w:pPr>
      <w:rPr>
        <w:rFonts w:cs="Times New Roman"/>
      </w:rPr>
    </w:lvl>
    <w:lvl w:ilvl="5" w:tplc="6A3E4620" w:tentative="1">
      <w:start w:val="1"/>
      <w:numFmt w:val="lowerRoman"/>
      <w:lvlText w:val="%6."/>
      <w:lvlJc w:val="right"/>
      <w:pPr>
        <w:ind w:left="4320" w:hanging="180"/>
      </w:pPr>
      <w:rPr>
        <w:rFonts w:cs="Times New Roman"/>
      </w:rPr>
    </w:lvl>
    <w:lvl w:ilvl="6" w:tplc="B5BA5836" w:tentative="1">
      <w:start w:val="1"/>
      <w:numFmt w:val="decimal"/>
      <w:lvlText w:val="%7."/>
      <w:lvlJc w:val="left"/>
      <w:pPr>
        <w:ind w:left="5040" w:hanging="360"/>
      </w:pPr>
      <w:rPr>
        <w:rFonts w:cs="Times New Roman"/>
      </w:rPr>
    </w:lvl>
    <w:lvl w:ilvl="7" w:tplc="7806EE08" w:tentative="1">
      <w:start w:val="1"/>
      <w:numFmt w:val="lowerLetter"/>
      <w:lvlText w:val="%8."/>
      <w:lvlJc w:val="left"/>
      <w:pPr>
        <w:ind w:left="5760" w:hanging="360"/>
      </w:pPr>
      <w:rPr>
        <w:rFonts w:cs="Times New Roman"/>
      </w:rPr>
    </w:lvl>
    <w:lvl w:ilvl="8" w:tplc="3F46C79E" w:tentative="1">
      <w:start w:val="1"/>
      <w:numFmt w:val="lowerRoman"/>
      <w:lvlText w:val="%9."/>
      <w:lvlJc w:val="right"/>
      <w:pPr>
        <w:ind w:left="6480" w:hanging="180"/>
      </w:pPr>
      <w:rPr>
        <w:rFonts w:cs="Times New Roman"/>
      </w:rPr>
    </w:lvl>
  </w:abstractNum>
  <w:abstractNum w:abstractNumId="170" w15:restartNumberingAfterBreak="0">
    <w:nsid w:val="65FD7040"/>
    <w:multiLevelType w:val="hybridMultilevel"/>
    <w:tmpl w:val="B01212F4"/>
    <w:lvl w:ilvl="0" w:tplc="D6DAE686">
      <w:start w:val="1"/>
      <w:numFmt w:val="lowerLetter"/>
      <w:lvlText w:val="%1)"/>
      <w:lvlJc w:val="left"/>
      <w:pPr>
        <w:ind w:left="1440" w:hanging="360"/>
      </w:pPr>
      <w:rPr>
        <w:rFonts w:cs="Times New Roman"/>
      </w:rPr>
    </w:lvl>
    <w:lvl w:ilvl="1" w:tplc="4A645A18">
      <w:start w:val="1"/>
      <w:numFmt w:val="lowerLetter"/>
      <w:lvlText w:val="%2)"/>
      <w:lvlJc w:val="left"/>
      <w:pPr>
        <w:ind w:left="8015" w:hanging="360"/>
      </w:pPr>
      <w:rPr>
        <w:rFonts w:cs="Times New Roman"/>
      </w:rPr>
    </w:lvl>
    <w:lvl w:ilvl="2" w:tplc="C3B8F8C0">
      <w:start w:val="1"/>
      <w:numFmt w:val="bullet"/>
      <w:lvlText w:val=""/>
      <w:lvlJc w:val="left"/>
      <w:pPr>
        <w:ind w:left="3060" w:hanging="360"/>
      </w:pPr>
      <w:rPr>
        <w:rFonts w:ascii="Wingdings" w:eastAsia="Times New Roman" w:hAnsi="Wingdings" w:cs="Times New Roman" w:hint="default"/>
      </w:rPr>
    </w:lvl>
    <w:lvl w:ilvl="3" w:tplc="76FCFD8A">
      <w:start w:val="1"/>
      <w:numFmt w:val="decimal"/>
      <w:lvlText w:val="%4)"/>
      <w:lvlJc w:val="left"/>
      <w:pPr>
        <w:ind w:left="3600" w:hanging="360"/>
      </w:pPr>
      <w:rPr>
        <w:rFonts w:hint="default"/>
        <w:b/>
        <w:i w:val="0"/>
        <w:sz w:val="20"/>
      </w:rPr>
    </w:lvl>
    <w:lvl w:ilvl="4" w:tplc="52108FEA" w:tentative="1">
      <w:start w:val="1"/>
      <w:numFmt w:val="lowerLetter"/>
      <w:lvlText w:val="%5."/>
      <w:lvlJc w:val="left"/>
      <w:pPr>
        <w:ind w:left="4320" w:hanging="360"/>
      </w:pPr>
      <w:rPr>
        <w:rFonts w:cs="Times New Roman"/>
      </w:rPr>
    </w:lvl>
    <w:lvl w:ilvl="5" w:tplc="80C8DAA6" w:tentative="1">
      <w:start w:val="1"/>
      <w:numFmt w:val="lowerRoman"/>
      <w:lvlText w:val="%6."/>
      <w:lvlJc w:val="right"/>
      <w:pPr>
        <w:ind w:left="5040" w:hanging="180"/>
      </w:pPr>
      <w:rPr>
        <w:rFonts w:cs="Times New Roman"/>
      </w:rPr>
    </w:lvl>
    <w:lvl w:ilvl="6" w:tplc="B3900F9A" w:tentative="1">
      <w:start w:val="1"/>
      <w:numFmt w:val="decimal"/>
      <w:lvlText w:val="%7."/>
      <w:lvlJc w:val="left"/>
      <w:pPr>
        <w:ind w:left="5760" w:hanging="360"/>
      </w:pPr>
      <w:rPr>
        <w:rFonts w:cs="Times New Roman"/>
      </w:rPr>
    </w:lvl>
    <w:lvl w:ilvl="7" w:tplc="D6E80D6A" w:tentative="1">
      <w:start w:val="1"/>
      <w:numFmt w:val="lowerLetter"/>
      <w:lvlText w:val="%8."/>
      <w:lvlJc w:val="left"/>
      <w:pPr>
        <w:ind w:left="6480" w:hanging="360"/>
      </w:pPr>
      <w:rPr>
        <w:rFonts w:cs="Times New Roman"/>
      </w:rPr>
    </w:lvl>
    <w:lvl w:ilvl="8" w:tplc="E72044A6" w:tentative="1">
      <w:start w:val="1"/>
      <w:numFmt w:val="lowerRoman"/>
      <w:lvlText w:val="%9."/>
      <w:lvlJc w:val="right"/>
      <w:pPr>
        <w:ind w:left="7200" w:hanging="180"/>
      </w:pPr>
      <w:rPr>
        <w:rFonts w:cs="Times New Roman"/>
      </w:rPr>
    </w:lvl>
  </w:abstractNum>
  <w:abstractNum w:abstractNumId="171" w15:restartNumberingAfterBreak="0">
    <w:nsid w:val="66907F8C"/>
    <w:multiLevelType w:val="hybridMultilevel"/>
    <w:tmpl w:val="FDB80752"/>
    <w:lvl w:ilvl="0" w:tplc="149057DE">
      <w:start w:val="1"/>
      <w:numFmt w:val="lowerLetter"/>
      <w:lvlText w:val="%1)"/>
      <w:lvlJc w:val="left"/>
      <w:pPr>
        <w:ind w:left="717" w:hanging="360"/>
      </w:pPr>
      <w:rPr>
        <w:rFonts w:cs="Times New Roman" w:hint="default"/>
      </w:rPr>
    </w:lvl>
    <w:lvl w:ilvl="1" w:tplc="708AEB7E">
      <w:start w:val="1"/>
      <w:numFmt w:val="lowerLetter"/>
      <w:lvlText w:val="%2."/>
      <w:lvlJc w:val="left"/>
      <w:pPr>
        <w:ind w:left="1437" w:hanging="360"/>
      </w:pPr>
      <w:rPr>
        <w:rFonts w:cs="Times New Roman"/>
      </w:rPr>
    </w:lvl>
    <w:lvl w:ilvl="2" w:tplc="DF12720E">
      <w:start w:val="1"/>
      <w:numFmt w:val="decimal"/>
      <w:lvlText w:val="%3)"/>
      <w:lvlJc w:val="left"/>
      <w:pPr>
        <w:ind w:left="2337" w:hanging="360"/>
      </w:pPr>
      <w:rPr>
        <w:rFonts w:ascii="Arial" w:hAnsi="Arial" w:cs="Times New Roman" w:hint="default"/>
        <w:b/>
        <w:i w:val="0"/>
        <w:sz w:val="20"/>
        <w:szCs w:val="20"/>
      </w:rPr>
    </w:lvl>
    <w:lvl w:ilvl="3" w:tplc="184EC2CC" w:tentative="1">
      <w:start w:val="1"/>
      <w:numFmt w:val="decimal"/>
      <w:lvlText w:val="%4."/>
      <w:lvlJc w:val="left"/>
      <w:pPr>
        <w:ind w:left="2877" w:hanging="360"/>
      </w:pPr>
      <w:rPr>
        <w:rFonts w:cs="Times New Roman"/>
      </w:rPr>
    </w:lvl>
    <w:lvl w:ilvl="4" w:tplc="92E848AE" w:tentative="1">
      <w:start w:val="1"/>
      <w:numFmt w:val="lowerLetter"/>
      <w:lvlText w:val="%5."/>
      <w:lvlJc w:val="left"/>
      <w:pPr>
        <w:ind w:left="3597" w:hanging="360"/>
      </w:pPr>
      <w:rPr>
        <w:rFonts w:cs="Times New Roman"/>
      </w:rPr>
    </w:lvl>
    <w:lvl w:ilvl="5" w:tplc="D2CC7D22" w:tentative="1">
      <w:start w:val="1"/>
      <w:numFmt w:val="lowerRoman"/>
      <w:lvlText w:val="%6."/>
      <w:lvlJc w:val="right"/>
      <w:pPr>
        <w:ind w:left="4317" w:hanging="180"/>
      </w:pPr>
      <w:rPr>
        <w:rFonts w:cs="Times New Roman"/>
      </w:rPr>
    </w:lvl>
    <w:lvl w:ilvl="6" w:tplc="0340FC30" w:tentative="1">
      <w:start w:val="1"/>
      <w:numFmt w:val="decimal"/>
      <w:lvlText w:val="%7."/>
      <w:lvlJc w:val="left"/>
      <w:pPr>
        <w:ind w:left="5037" w:hanging="360"/>
      </w:pPr>
      <w:rPr>
        <w:rFonts w:cs="Times New Roman"/>
      </w:rPr>
    </w:lvl>
    <w:lvl w:ilvl="7" w:tplc="8AAA379E" w:tentative="1">
      <w:start w:val="1"/>
      <w:numFmt w:val="lowerLetter"/>
      <w:lvlText w:val="%8."/>
      <w:lvlJc w:val="left"/>
      <w:pPr>
        <w:ind w:left="5757" w:hanging="360"/>
      </w:pPr>
      <w:rPr>
        <w:rFonts w:cs="Times New Roman"/>
      </w:rPr>
    </w:lvl>
    <w:lvl w:ilvl="8" w:tplc="28965400" w:tentative="1">
      <w:start w:val="1"/>
      <w:numFmt w:val="lowerRoman"/>
      <w:lvlText w:val="%9."/>
      <w:lvlJc w:val="right"/>
      <w:pPr>
        <w:ind w:left="6477" w:hanging="180"/>
      </w:pPr>
      <w:rPr>
        <w:rFonts w:cs="Times New Roman"/>
      </w:rPr>
    </w:lvl>
  </w:abstractNum>
  <w:abstractNum w:abstractNumId="172" w15:restartNumberingAfterBreak="0">
    <w:nsid w:val="66E80C9D"/>
    <w:multiLevelType w:val="hybridMultilevel"/>
    <w:tmpl w:val="3672124A"/>
    <w:name w:val="WW8Num2922"/>
    <w:lvl w:ilvl="0" w:tplc="578AC7EE">
      <w:start w:val="1"/>
      <w:numFmt w:val="lowerLetter"/>
      <w:lvlText w:val="%1)"/>
      <w:lvlJc w:val="left"/>
      <w:pPr>
        <w:ind w:left="720" w:hanging="360"/>
      </w:pPr>
      <w:rPr>
        <w:rFonts w:cs="Times New Roman"/>
      </w:rPr>
    </w:lvl>
    <w:lvl w:ilvl="1" w:tplc="A25C3D90" w:tentative="1">
      <w:start w:val="1"/>
      <w:numFmt w:val="lowerLetter"/>
      <w:lvlText w:val="%2."/>
      <w:lvlJc w:val="left"/>
      <w:pPr>
        <w:ind w:left="1440" w:hanging="360"/>
      </w:pPr>
    </w:lvl>
    <w:lvl w:ilvl="2" w:tplc="06CC0DBE" w:tentative="1">
      <w:start w:val="1"/>
      <w:numFmt w:val="lowerRoman"/>
      <w:lvlText w:val="%3."/>
      <w:lvlJc w:val="right"/>
      <w:pPr>
        <w:ind w:left="2160" w:hanging="180"/>
      </w:pPr>
    </w:lvl>
    <w:lvl w:ilvl="3" w:tplc="B5EA74A8" w:tentative="1">
      <w:start w:val="1"/>
      <w:numFmt w:val="decimal"/>
      <w:lvlText w:val="%4."/>
      <w:lvlJc w:val="left"/>
      <w:pPr>
        <w:ind w:left="2880" w:hanging="360"/>
      </w:pPr>
    </w:lvl>
    <w:lvl w:ilvl="4" w:tplc="EBACC4DA" w:tentative="1">
      <w:start w:val="1"/>
      <w:numFmt w:val="lowerLetter"/>
      <w:lvlText w:val="%5."/>
      <w:lvlJc w:val="left"/>
      <w:pPr>
        <w:ind w:left="3600" w:hanging="360"/>
      </w:pPr>
    </w:lvl>
    <w:lvl w:ilvl="5" w:tplc="64C8AA34" w:tentative="1">
      <w:start w:val="1"/>
      <w:numFmt w:val="lowerRoman"/>
      <w:lvlText w:val="%6."/>
      <w:lvlJc w:val="right"/>
      <w:pPr>
        <w:ind w:left="4320" w:hanging="180"/>
      </w:pPr>
    </w:lvl>
    <w:lvl w:ilvl="6" w:tplc="F89E804C" w:tentative="1">
      <w:start w:val="1"/>
      <w:numFmt w:val="decimal"/>
      <w:lvlText w:val="%7."/>
      <w:lvlJc w:val="left"/>
      <w:pPr>
        <w:ind w:left="5040" w:hanging="360"/>
      </w:pPr>
    </w:lvl>
    <w:lvl w:ilvl="7" w:tplc="849E4038" w:tentative="1">
      <w:start w:val="1"/>
      <w:numFmt w:val="lowerLetter"/>
      <w:lvlText w:val="%8."/>
      <w:lvlJc w:val="left"/>
      <w:pPr>
        <w:ind w:left="5760" w:hanging="360"/>
      </w:pPr>
    </w:lvl>
    <w:lvl w:ilvl="8" w:tplc="395CD040" w:tentative="1">
      <w:start w:val="1"/>
      <w:numFmt w:val="lowerRoman"/>
      <w:lvlText w:val="%9."/>
      <w:lvlJc w:val="right"/>
      <w:pPr>
        <w:ind w:left="6480" w:hanging="180"/>
      </w:pPr>
    </w:lvl>
  </w:abstractNum>
  <w:abstractNum w:abstractNumId="173" w15:restartNumberingAfterBreak="0">
    <w:nsid w:val="676A287C"/>
    <w:multiLevelType w:val="hybridMultilevel"/>
    <w:tmpl w:val="E1C6E98E"/>
    <w:lvl w:ilvl="0" w:tplc="638666CC">
      <w:start w:val="1"/>
      <w:numFmt w:val="lowerLetter"/>
      <w:lvlText w:val="%1)"/>
      <w:lvlJc w:val="left"/>
      <w:pPr>
        <w:ind w:left="786" w:hanging="360"/>
      </w:pPr>
      <w:rPr>
        <w:rFonts w:cs="Times New Roman" w:hint="default"/>
      </w:rPr>
    </w:lvl>
    <w:lvl w:ilvl="1" w:tplc="37843522" w:tentative="1">
      <w:start w:val="1"/>
      <w:numFmt w:val="lowerLetter"/>
      <w:lvlText w:val="%2."/>
      <w:lvlJc w:val="left"/>
      <w:pPr>
        <w:ind w:left="1506" w:hanging="360"/>
      </w:pPr>
      <w:rPr>
        <w:rFonts w:cs="Times New Roman"/>
      </w:rPr>
    </w:lvl>
    <w:lvl w:ilvl="2" w:tplc="A1D61EA0" w:tentative="1">
      <w:start w:val="1"/>
      <w:numFmt w:val="lowerRoman"/>
      <w:lvlText w:val="%3."/>
      <w:lvlJc w:val="right"/>
      <w:pPr>
        <w:ind w:left="2226" w:hanging="180"/>
      </w:pPr>
      <w:rPr>
        <w:rFonts w:cs="Times New Roman"/>
      </w:rPr>
    </w:lvl>
    <w:lvl w:ilvl="3" w:tplc="2F400988" w:tentative="1">
      <w:start w:val="1"/>
      <w:numFmt w:val="decimal"/>
      <w:lvlText w:val="%4."/>
      <w:lvlJc w:val="left"/>
      <w:pPr>
        <w:ind w:left="2946" w:hanging="360"/>
      </w:pPr>
      <w:rPr>
        <w:rFonts w:cs="Times New Roman"/>
      </w:rPr>
    </w:lvl>
    <w:lvl w:ilvl="4" w:tplc="E2240C9E" w:tentative="1">
      <w:start w:val="1"/>
      <w:numFmt w:val="lowerLetter"/>
      <w:lvlText w:val="%5."/>
      <w:lvlJc w:val="left"/>
      <w:pPr>
        <w:ind w:left="3666" w:hanging="360"/>
      </w:pPr>
      <w:rPr>
        <w:rFonts w:cs="Times New Roman"/>
      </w:rPr>
    </w:lvl>
    <w:lvl w:ilvl="5" w:tplc="75722772" w:tentative="1">
      <w:start w:val="1"/>
      <w:numFmt w:val="lowerRoman"/>
      <w:lvlText w:val="%6."/>
      <w:lvlJc w:val="right"/>
      <w:pPr>
        <w:ind w:left="4386" w:hanging="180"/>
      </w:pPr>
      <w:rPr>
        <w:rFonts w:cs="Times New Roman"/>
      </w:rPr>
    </w:lvl>
    <w:lvl w:ilvl="6" w:tplc="A23692C2" w:tentative="1">
      <w:start w:val="1"/>
      <w:numFmt w:val="decimal"/>
      <w:lvlText w:val="%7."/>
      <w:lvlJc w:val="left"/>
      <w:pPr>
        <w:ind w:left="5106" w:hanging="360"/>
      </w:pPr>
      <w:rPr>
        <w:rFonts w:cs="Times New Roman"/>
      </w:rPr>
    </w:lvl>
    <w:lvl w:ilvl="7" w:tplc="C2D05680" w:tentative="1">
      <w:start w:val="1"/>
      <w:numFmt w:val="lowerLetter"/>
      <w:lvlText w:val="%8."/>
      <w:lvlJc w:val="left"/>
      <w:pPr>
        <w:ind w:left="5826" w:hanging="360"/>
      </w:pPr>
      <w:rPr>
        <w:rFonts w:cs="Times New Roman"/>
      </w:rPr>
    </w:lvl>
    <w:lvl w:ilvl="8" w:tplc="D85CFA40" w:tentative="1">
      <w:start w:val="1"/>
      <w:numFmt w:val="lowerRoman"/>
      <w:lvlText w:val="%9."/>
      <w:lvlJc w:val="right"/>
      <w:pPr>
        <w:ind w:left="6546" w:hanging="180"/>
      </w:pPr>
      <w:rPr>
        <w:rFonts w:cs="Times New Roman"/>
      </w:rPr>
    </w:lvl>
  </w:abstractNum>
  <w:abstractNum w:abstractNumId="174" w15:restartNumberingAfterBreak="0">
    <w:nsid w:val="67F314AF"/>
    <w:multiLevelType w:val="hybridMultilevel"/>
    <w:tmpl w:val="802E0DCC"/>
    <w:lvl w:ilvl="0" w:tplc="B2BC61CA">
      <w:start w:val="1"/>
      <w:numFmt w:val="decimal"/>
      <w:lvlText w:val="%1)"/>
      <w:lvlJc w:val="left"/>
      <w:pPr>
        <w:ind w:left="720" w:hanging="360"/>
      </w:pPr>
      <w:rPr>
        <w:rFonts w:cs="Times New Roman"/>
      </w:rPr>
    </w:lvl>
    <w:lvl w:ilvl="1" w:tplc="09E28B4A" w:tentative="1">
      <w:start w:val="1"/>
      <w:numFmt w:val="lowerLetter"/>
      <w:lvlText w:val="%2."/>
      <w:lvlJc w:val="left"/>
      <w:pPr>
        <w:ind w:left="1440" w:hanging="360"/>
      </w:pPr>
      <w:rPr>
        <w:rFonts w:cs="Times New Roman"/>
      </w:rPr>
    </w:lvl>
    <w:lvl w:ilvl="2" w:tplc="16169A2A" w:tentative="1">
      <w:start w:val="1"/>
      <w:numFmt w:val="lowerRoman"/>
      <w:lvlText w:val="%3."/>
      <w:lvlJc w:val="right"/>
      <w:pPr>
        <w:ind w:left="2160" w:hanging="180"/>
      </w:pPr>
      <w:rPr>
        <w:rFonts w:cs="Times New Roman"/>
      </w:rPr>
    </w:lvl>
    <w:lvl w:ilvl="3" w:tplc="D9D42936" w:tentative="1">
      <w:start w:val="1"/>
      <w:numFmt w:val="decimal"/>
      <w:lvlText w:val="%4."/>
      <w:lvlJc w:val="left"/>
      <w:pPr>
        <w:ind w:left="2880" w:hanging="360"/>
      </w:pPr>
      <w:rPr>
        <w:rFonts w:cs="Times New Roman"/>
      </w:rPr>
    </w:lvl>
    <w:lvl w:ilvl="4" w:tplc="5F244D38" w:tentative="1">
      <w:start w:val="1"/>
      <w:numFmt w:val="lowerLetter"/>
      <w:lvlText w:val="%5."/>
      <w:lvlJc w:val="left"/>
      <w:pPr>
        <w:ind w:left="3600" w:hanging="360"/>
      </w:pPr>
      <w:rPr>
        <w:rFonts w:cs="Times New Roman"/>
      </w:rPr>
    </w:lvl>
    <w:lvl w:ilvl="5" w:tplc="F6CEE8AE" w:tentative="1">
      <w:start w:val="1"/>
      <w:numFmt w:val="lowerRoman"/>
      <w:lvlText w:val="%6."/>
      <w:lvlJc w:val="right"/>
      <w:pPr>
        <w:ind w:left="4320" w:hanging="180"/>
      </w:pPr>
      <w:rPr>
        <w:rFonts w:cs="Times New Roman"/>
      </w:rPr>
    </w:lvl>
    <w:lvl w:ilvl="6" w:tplc="F1A4AAC2" w:tentative="1">
      <w:start w:val="1"/>
      <w:numFmt w:val="decimal"/>
      <w:lvlText w:val="%7."/>
      <w:lvlJc w:val="left"/>
      <w:pPr>
        <w:ind w:left="5040" w:hanging="360"/>
      </w:pPr>
      <w:rPr>
        <w:rFonts w:cs="Times New Roman"/>
      </w:rPr>
    </w:lvl>
    <w:lvl w:ilvl="7" w:tplc="66984EF4" w:tentative="1">
      <w:start w:val="1"/>
      <w:numFmt w:val="lowerLetter"/>
      <w:lvlText w:val="%8."/>
      <w:lvlJc w:val="left"/>
      <w:pPr>
        <w:ind w:left="5760" w:hanging="360"/>
      </w:pPr>
      <w:rPr>
        <w:rFonts w:cs="Times New Roman"/>
      </w:rPr>
    </w:lvl>
    <w:lvl w:ilvl="8" w:tplc="352E9516" w:tentative="1">
      <w:start w:val="1"/>
      <w:numFmt w:val="lowerRoman"/>
      <w:lvlText w:val="%9."/>
      <w:lvlJc w:val="right"/>
      <w:pPr>
        <w:ind w:left="6480" w:hanging="180"/>
      </w:pPr>
      <w:rPr>
        <w:rFonts w:cs="Times New Roman"/>
      </w:rPr>
    </w:lvl>
  </w:abstractNum>
  <w:abstractNum w:abstractNumId="175" w15:restartNumberingAfterBreak="0">
    <w:nsid w:val="6AC84FBE"/>
    <w:multiLevelType w:val="hybridMultilevel"/>
    <w:tmpl w:val="9E6ABEAC"/>
    <w:lvl w:ilvl="0" w:tplc="446A2A70">
      <w:start w:val="1"/>
      <w:numFmt w:val="upperLetter"/>
      <w:lvlText w:val="%1."/>
      <w:lvlJc w:val="left"/>
      <w:pPr>
        <w:ind w:left="720" w:hanging="360"/>
      </w:pPr>
      <w:rPr>
        <w:rFonts w:hint="default"/>
        <w:b/>
        <w:color w:val="000000"/>
        <w:sz w:val="24"/>
      </w:rPr>
    </w:lvl>
    <w:lvl w:ilvl="1" w:tplc="4F1AF1FE" w:tentative="1">
      <w:start w:val="1"/>
      <w:numFmt w:val="lowerLetter"/>
      <w:lvlText w:val="%2."/>
      <w:lvlJc w:val="left"/>
      <w:pPr>
        <w:ind w:left="1440" w:hanging="360"/>
      </w:pPr>
    </w:lvl>
    <w:lvl w:ilvl="2" w:tplc="367EE912" w:tentative="1">
      <w:start w:val="1"/>
      <w:numFmt w:val="lowerRoman"/>
      <w:lvlText w:val="%3."/>
      <w:lvlJc w:val="right"/>
      <w:pPr>
        <w:ind w:left="2160" w:hanging="180"/>
      </w:pPr>
    </w:lvl>
    <w:lvl w:ilvl="3" w:tplc="DB08521C" w:tentative="1">
      <w:start w:val="1"/>
      <w:numFmt w:val="decimal"/>
      <w:lvlText w:val="%4."/>
      <w:lvlJc w:val="left"/>
      <w:pPr>
        <w:ind w:left="2880" w:hanging="360"/>
      </w:pPr>
    </w:lvl>
    <w:lvl w:ilvl="4" w:tplc="9244C154" w:tentative="1">
      <w:start w:val="1"/>
      <w:numFmt w:val="lowerLetter"/>
      <w:lvlText w:val="%5."/>
      <w:lvlJc w:val="left"/>
      <w:pPr>
        <w:ind w:left="3600" w:hanging="360"/>
      </w:pPr>
    </w:lvl>
    <w:lvl w:ilvl="5" w:tplc="5C744336" w:tentative="1">
      <w:start w:val="1"/>
      <w:numFmt w:val="lowerRoman"/>
      <w:lvlText w:val="%6."/>
      <w:lvlJc w:val="right"/>
      <w:pPr>
        <w:ind w:left="4320" w:hanging="180"/>
      </w:pPr>
    </w:lvl>
    <w:lvl w:ilvl="6" w:tplc="CE3A32B0" w:tentative="1">
      <w:start w:val="1"/>
      <w:numFmt w:val="decimal"/>
      <w:lvlText w:val="%7."/>
      <w:lvlJc w:val="left"/>
      <w:pPr>
        <w:ind w:left="5040" w:hanging="360"/>
      </w:pPr>
    </w:lvl>
    <w:lvl w:ilvl="7" w:tplc="D3B0801A" w:tentative="1">
      <w:start w:val="1"/>
      <w:numFmt w:val="lowerLetter"/>
      <w:lvlText w:val="%8."/>
      <w:lvlJc w:val="left"/>
      <w:pPr>
        <w:ind w:left="5760" w:hanging="360"/>
      </w:pPr>
    </w:lvl>
    <w:lvl w:ilvl="8" w:tplc="0CC68A82" w:tentative="1">
      <w:start w:val="1"/>
      <w:numFmt w:val="lowerRoman"/>
      <w:lvlText w:val="%9."/>
      <w:lvlJc w:val="right"/>
      <w:pPr>
        <w:ind w:left="6480" w:hanging="180"/>
      </w:pPr>
    </w:lvl>
  </w:abstractNum>
  <w:abstractNum w:abstractNumId="176" w15:restartNumberingAfterBreak="0">
    <w:nsid w:val="6B5B5D8D"/>
    <w:multiLevelType w:val="hybridMultilevel"/>
    <w:tmpl w:val="6484B932"/>
    <w:lvl w:ilvl="0" w:tplc="EF7861A8">
      <w:start w:val="1"/>
      <w:numFmt w:val="decimal"/>
      <w:lvlText w:val="%1)"/>
      <w:lvlJc w:val="left"/>
      <w:pPr>
        <w:tabs>
          <w:tab w:val="num" w:pos="0"/>
        </w:tabs>
        <w:ind w:left="720" w:hanging="360"/>
      </w:pPr>
      <w:rPr>
        <w:rFonts w:cs="Times New Roman" w:hint="default"/>
        <w:b w:val="0"/>
        <w:i w:val="0"/>
        <w:strike w:val="0"/>
        <w:dstrike w:val="0"/>
        <w:sz w:val="20"/>
      </w:rPr>
    </w:lvl>
    <w:lvl w:ilvl="1" w:tplc="D8723E78" w:tentative="1">
      <w:start w:val="1"/>
      <w:numFmt w:val="lowerLetter"/>
      <w:lvlText w:val="%2."/>
      <w:lvlJc w:val="left"/>
      <w:pPr>
        <w:ind w:left="1440" w:hanging="360"/>
      </w:pPr>
    </w:lvl>
    <w:lvl w:ilvl="2" w:tplc="FAA4E9C8" w:tentative="1">
      <w:start w:val="1"/>
      <w:numFmt w:val="lowerRoman"/>
      <w:lvlText w:val="%3."/>
      <w:lvlJc w:val="right"/>
      <w:pPr>
        <w:ind w:left="2160" w:hanging="180"/>
      </w:pPr>
    </w:lvl>
    <w:lvl w:ilvl="3" w:tplc="37A4FBA0" w:tentative="1">
      <w:start w:val="1"/>
      <w:numFmt w:val="decimal"/>
      <w:lvlText w:val="%4."/>
      <w:lvlJc w:val="left"/>
      <w:pPr>
        <w:ind w:left="2880" w:hanging="360"/>
      </w:pPr>
    </w:lvl>
    <w:lvl w:ilvl="4" w:tplc="D45C7AA4" w:tentative="1">
      <w:start w:val="1"/>
      <w:numFmt w:val="lowerLetter"/>
      <w:lvlText w:val="%5."/>
      <w:lvlJc w:val="left"/>
      <w:pPr>
        <w:ind w:left="3600" w:hanging="360"/>
      </w:pPr>
    </w:lvl>
    <w:lvl w:ilvl="5" w:tplc="78945D7A" w:tentative="1">
      <w:start w:val="1"/>
      <w:numFmt w:val="lowerRoman"/>
      <w:lvlText w:val="%6."/>
      <w:lvlJc w:val="right"/>
      <w:pPr>
        <w:ind w:left="4320" w:hanging="180"/>
      </w:pPr>
    </w:lvl>
    <w:lvl w:ilvl="6" w:tplc="A5EA6A1A" w:tentative="1">
      <w:start w:val="1"/>
      <w:numFmt w:val="decimal"/>
      <w:lvlText w:val="%7."/>
      <w:lvlJc w:val="left"/>
      <w:pPr>
        <w:ind w:left="5040" w:hanging="360"/>
      </w:pPr>
    </w:lvl>
    <w:lvl w:ilvl="7" w:tplc="E668E640" w:tentative="1">
      <w:start w:val="1"/>
      <w:numFmt w:val="lowerLetter"/>
      <w:lvlText w:val="%8."/>
      <w:lvlJc w:val="left"/>
      <w:pPr>
        <w:ind w:left="5760" w:hanging="360"/>
      </w:pPr>
    </w:lvl>
    <w:lvl w:ilvl="8" w:tplc="A410914E" w:tentative="1">
      <w:start w:val="1"/>
      <w:numFmt w:val="lowerRoman"/>
      <w:lvlText w:val="%9."/>
      <w:lvlJc w:val="right"/>
      <w:pPr>
        <w:ind w:left="6480" w:hanging="180"/>
      </w:pPr>
    </w:lvl>
  </w:abstractNum>
  <w:abstractNum w:abstractNumId="177" w15:restartNumberingAfterBreak="0">
    <w:nsid w:val="6EB30D6D"/>
    <w:multiLevelType w:val="hybridMultilevel"/>
    <w:tmpl w:val="7ABA9310"/>
    <w:lvl w:ilvl="0" w:tplc="CA2A58FC">
      <w:start w:val="1"/>
      <w:numFmt w:val="decimal"/>
      <w:lvlText w:val="%1)"/>
      <w:lvlJc w:val="left"/>
      <w:pPr>
        <w:ind w:left="1004" w:hanging="360"/>
      </w:pPr>
      <w:rPr>
        <w:rFonts w:cs="Times New Roman"/>
      </w:rPr>
    </w:lvl>
    <w:lvl w:ilvl="1" w:tplc="5296B1F4">
      <w:start w:val="1"/>
      <w:numFmt w:val="decimal"/>
      <w:lvlText w:val="%2)"/>
      <w:lvlJc w:val="left"/>
      <w:pPr>
        <w:ind w:left="1724" w:hanging="360"/>
      </w:pPr>
      <w:rPr>
        <w:rFonts w:cs="Times New Roman"/>
      </w:rPr>
    </w:lvl>
    <w:lvl w:ilvl="2" w:tplc="71262D32" w:tentative="1">
      <w:start w:val="1"/>
      <w:numFmt w:val="lowerRoman"/>
      <w:lvlText w:val="%3."/>
      <w:lvlJc w:val="right"/>
      <w:pPr>
        <w:ind w:left="2444" w:hanging="180"/>
      </w:pPr>
    </w:lvl>
    <w:lvl w:ilvl="3" w:tplc="61628660" w:tentative="1">
      <w:start w:val="1"/>
      <w:numFmt w:val="decimal"/>
      <w:lvlText w:val="%4."/>
      <w:lvlJc w:val="left"/>
      <w:pPr>
        <w:ind w:left="3164" w:hanging="360"/>
      </w:pPr>
    </w:lvl>
    <w:lvl w:ilvl="4" w:tplc="99C20DB6" w:tentative="1">
      <w:start w:val="1"/>
      <w:numFmt w:val="lowerLetter"/>
      <w:lvlText w:val="%5."/>
      <w:lvlJc w:val="left"/>
      <w:pPr>
        <w:ind w:left="3884" w:hanging="360"/>
      </w:pPr>
    </w:lvl>
    <w:lvl w:ilvl="5" w:tplc="3F7A801A" w:tentative="1">
      <w:start w:val="1"/>
      <w:numFmt w:val="lowerRoman"/>
      <w:lvlText w:val="%6."/>
      <w:lvlJc w:val="right"/>
      <w:pPr>
        <w:ind w:left="4604" w:hanging="180"/>
      </w:pPr>
    </w:lvl>
    <w:lvl w:ilvl="6" w:tplc="D08AC5B6" w:tentative="1">
      <w:start w:val="1"/>
      <w:numFmt w:val="decimal"/>
      <w:lvlText w:val="%7."/>
      <w:lvlJc w:val="left"/>
      <w:pPr>
        <w:ind w:left="5324" w:hanging="360"/>
      </w:pPr>
    </w:lvl>
    <w:lvl w:ilvl="7" w:tplc="61E4D1EE" w:tentative="1">
      <w:start w:val="1"/>
      <w:numFmt w:val="lowerLetter"/>
      <w:lvlText w:val="%8."/>
      <w:lvlJc w:val="left"/>
      <w:pPr>
        <w:ind w:left="6044" w:hanging="360"/>
      </w:pPr>
    </w:lvl>
    <w:lvl w:ilvl="8" w:tplc="48C05CC2" w:tentative="1">
      <w:start w:val="1"/>
      <w:numFmt w:val="lowerRoman"/>
      <w:lvlText w:val="%9."/>
      <w:lvlJc w:val="right"/>
      <w:pPr>
        <w:ind w:left="6764" w:hanging="180"/>
      </w:pPr>
    </w:lvl>
  </w:abstractNum>
  <w:abstractNum w:abstractNumId="178" w15:restartNumberingAfterBreak="0">
    <w:nsid w:val="6ED52EC7"/>
    <w:multiLevelType w:val="hybridMultilevel"/>
    <w:tmpl w:val="8B305732"/>
    <w:lvl w:ilvl="0" w:tplc="6C6245BC">
      <w:start w:val="1"/>
      <w:numFmt w:val="decimal"/>
      <w:lvlText w:val="%1)"/>
      <w:lvlJc w:val="left"/>
      <w:pPr>
        <w:ind w:left="720" w:hanging="360"/>
      </w:pPr>
      <w:rPr>
        <w:rFonts w:cs="Times New Roman"/>
      </w:rPr>
    </w:lvl>
    <w:lvl w:ilvl="1" w:tplc="9BA6DBB2" w:tentative="1">
      <w:start w:val="1"/>
      <w:numFmt w:val="lowerLetter"/>
      <w:lvlText w:val="%2."/>
      <w:lvlJc w:val="left"/>
      <w:pPr>
        <w:ind w:left="1440" w:hanging="360"/>
      </w:pPr>
      <w:rPr>
        <w:rFonts w:cs="Times New Roman"/>
      </w:rPr>
    </w:lvl>
    <w:lvl w:ilvl="2" w:tplc="B4CEFA2A" w:tentative="1">
      <w:start w:val="1"/>
      <w:numFmt w:val="lowerRoman"/>
      <w:lvlText w:val="%3."/>
      <w:lvlJc w:val="right"/>
      <w:pPr>
        <w:ind w:left="2160" w:hanging="180"/>
      </w:pPr>
      <w:rPr>
        <w:rFonts w:cs="Times New Roman"/>
      </w:rPr>
    </w:lvl>
    <w:lvl w:ilvl="3" w:tplc="E8349B88" w:tentative="1">
      <w:start w:val="1"/>
      <w:numFmt w:val="decimal"/>
      <w:lvlText w:val="%4."/>
      <w:lvlJc w:val="left"/>
      <w:pPr>
        <w:ind w:left="2880" w:hanging="360"/>
      </w:pPr>
      <w:rPr>
        <w:rFonts w:cs="Times New Roman"/>
      </w:rPr>
    </w:lvl>
    <w:lvl w:ilvl="4" w:tplc="44049FDE" w:tentative="1">
      <w:start w:val="1"/>
      <w:numFmt w:val="lowerLetter"/>
      <w:lvlText w:val="%5."/>
      <w:lvlJc w:val="left"/>
      <w:pPr>
        <w:ind w:left="3600" w:hanging="360"/>
      </w:pPr>
      <w:rPr>
        <w:rFonts w:cs="Times New Roman"/>
      </w:rPr>
    </w:lvl>
    <w:lvl w:ilvl="5" w:tplc="8D601A0E" w:tentative="1">
      <w:start w:val="1"/>
      <w:numFmt w:val="lowerRoman"/>
      <w:lvlText w:val="%6."/>
      <w:lvlJc w:val="right"/>
      <w:pPr>
        <w:ind w:left="4320" w:hanging="180"/>
      </w:pPr>
      <w:rPr>
        <w:rFonts w:cs="Times New Roman"/>
      </w:rPr>
    </w:lvl>
    <w:lvl w:ilvl="6" w:tplc="0602F664" w:tentative="1">
      <w:start w:val="1"/>
      <w:numFmt w:val="decimal"/>
      <w:lvlText w:val="%7."/>
      <w:lvlJc w:val="left"/>
      <w:pPr>
        <w:ind w:left="5040" w:hanging="360"/>
      </w:pPr>
      <w:rPr>
        <w:rFonts w:cs="Times New Roman"/>
      </w:rPr>
    </w:lvl>
    <w:lvl w:ilvl="7" w:tplc="1714D8FA" w:tentative="1">
      <w:start w:val="1"/>
      <w:numFmt w:val="lowerLetter"/>
      <w:lvlText w:val="%8."/>
      <w:lvlJc w:val="left"/>
      <w:pPr>
        <w:ind w:left="5760" w:hanging="360"/>
      </w:pPr>
      <w:rPr>
        <w:rFonts w:cs="Times New Roman"/>
      </w:rPr>
    </w:lvl>
    <w:lvl w:ilvl="8" w:tplc="87E26ADA" w:tentative="1">
      <w:start w:val="1"/>
      <w:numFmt w:val="lowerRoman"/>
      <w:lvlText w:val="%9."/>
      <w:lvlJc w:val="right"/>
      <w:pPr>
        <w:ind w:left="6480" w:hanging="180"/>
      </w:pPr>
      <w:rPr>
        <w:rFonts w:cs="Times New Roman"/>
      </w:rPr>
    </w:lvl>
  </w:abstractNum>
  <w:abstractNum w:abstractNumId="179" w15:restartNumberingAfterBreak="0">
    <w:nsid w:val="70BA5E52"/>
    <w:multiLevelType w:val="multilevel"/>
    <w:tmpl w:val="5CD82430"/>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80" w15:restartNumberingAfterBreak="0">
    <w:nsid w:val="71B4691C"/>
    <w:multiLevelType w:val="hybridMultilevel"/>
    <w:tmpl w:val="548035CC"/>
    <w:lvl w:ilvl="0" w:tplc="DF6E16C6">
      <w:start w:val="1"/>
      <w:numFmt w:val="decimal"/>
      <w:lvlText w:val="%1)"/>
      <w:lvlJc w:val="left"/>
      <w:pPr>
        <w:ind w:left="720" w:hanging="360"/>
      </w:pPr>
      <w:rPr>
        <w:rFonts w:cs="Times New Roman"/>
      </w:rPr>
    </w:lvl>
    <w:lvl w:ilvl="1" w:tplc="F4BA3644" w:tentative="1">
      <w:start w:val="1"/>
      <w:numFmt w:val="lowerLetter"/>
      <w:lvlText w:val="%2."/>
      <w:lvlJc w:val="left"/>
      <w:pPr>
        <w:ind w:left="1440" w:hanging="360"/>
      </w:pPr>
      <w:rPr>
        <w:rFonts w:cs="Times New Roman"/>
      </w:rPr>
    </w:lvl>
    <w:lvl w:ilvl="2" w:tplc="368C178A" w:tentative="1">
      <w:start w:val="1"/>
      <w:numFmt w:val="lowerRoman"/>
      <w:lvlText w:val="%3."/>
      <w:lvlJc w:val="right"/>
      <w:pPr>
        <w:ind w:left="2160" w:hanging="180"/>
      </w:pPr>
      <w:rPr>
        <w:rFonts w:cs="Times New Roman"/>
      </w:rPr>
    </w:lvl>
    <w:lvl w:ilvl="3" w:tplc="91284CEA" w:tentative="1">
      <w:start w:val="1"/>
      <w:numFmt w:val="decimal"/>
      <w:lvlText w:val="%4."/>
      <w:lvlJc w:val="left"/>
      <w:pPr>
        <w:ind w:left="2880" w:hanging="360"/>
      </w:pPr>
      <w:rPr>
        <w:rFonts w:cs="Times New Roman"/>
      </w:rPr>
    </w:lvl>
    <w:lvl w:ilvl="4" w:tplc="15F01938" w:tentative="1">
      <w:start w:val="1"/>
      <w:numFmt w:val="lowerLetter"/>
      <w:lvlText w:val="%5."/>
      <w:lvlJc w:val="left"/>
      <w:pPr>
        <w:ind w:left="3600" w:hanging="360"/>
      </w:pPr>
      <w:rPr>
        <w:rFonts w:cs="Times New Roman"/>
      </w:rPr>
    </w:lvl>
    <w:lvl w:ilvl="5" w:tplc="DD9AED72" w:tentative="1">
      <w:start w:val="1"/>
      <w:numFmt w:val="lowerRoman"/>
      <w:lvlText w:val="%6."/>
      <w:lvlJc w:val="right"/>
      <w:pPr>
        <w:ind w:left="4320" w:hanging="180"/>
      </w:pPr>
      <w:rPr>
        <w:rFonts w:cs="Times New Roman"/>
      </w:rPr>
    </w:lvl>
    <w:lvl w:ilvl="6" w:tplc="BCA6D680" w:tentative="1">
      <w:start w:val="1"/>
      <w:numFmt w:val="decimal"/>
      <w:lvlText w:val="%7."/>
      <w:lvlJc w:val="left"/>
      <w:pPr>
        <w:ind w:left="5040" w:hanging="360"/>
      </w:pPr>
      <w:rPr>
        <w:rFonts w:cs="Times New Roman"/>
      </w:rPr>
    </w:lvl>
    <w:lvl w:ilvl="7" w:tplc="9962AC98" w:tentative="1">
      <w:start w:val="1"/>
      <w:numFmt w:val="lowerLetter"/>
      <w:lvlText w:val="%8."/>
      <w:lvlJc w:val="left"/>
      <w:pPr>
        <w:ind w:left="5760" w:hanging="360"/>
      </w:pPr>
      <w:rPr>
        <w:rFonts w:cs="Times New Roman"/>
      </w:rPr>
    </w:lvl>
    <w:lvl w:ilvl="8" w:tplc="CC6CD0E8" w:tentative="1">
      <w:start w:val="1"/>
      <w:numFmt w:val="lowerRoman"/>
      <w:lvlText w:val="%9."/>
      <w:lvlJc w:val="right"/>
      <w:pPr>
        <w:ind w:left="6480" w:hanging="180"/>
      </w:pPr>
      <w:rPr>
        <w:rFonts w:cs="Times New Roman"/>
      </w:rPr>
    </w:lvl>
  </w:abstractNum>
  <w:abstractNum w:abstractNumId="181" w15:restartNumberingAfterBreak="0">
    <w:nsid w:val="72B67491"/>
    <w:multiLevelType w:val="hybridMultilevel"/>
    <w:tmpl w:val="6A1C17EC"/>
    <w:lvl w:ilvl="0" w:tplc="CEA29BB2">
      <w:start w:val="1"/>
      <w:numFmt w:val="decimal"/>
      <w:lvlText w:val="%1)"/>
      <w:lvlJc w:val="left"/>
      <w:pPr>
        <w:tabs>
          <w:tab w:val="num" w:pos="0"/>
        </w:tabs>
        <w:ind w:left="720" w:hanging="360"/>
      </w:pPr>
      <w:rPr>
        <w:rFonts w:cs="Times New Roman" w:hint="default"/>
        <w:b w:val="0"/>
        <w:i w:val="0"/>
        <w:strike w:val="0"/>
        <w:dstrike w:val="0"/>
        <w:sz w:val="20"/>
      </w:rPr>
    </w:lvl>
    <w:lvl w:ilvl="1" w:tplc="AC42D86C" w:tentative="1">
      <w:start w:val="1"/>
      <w:numFmt w:val="lowerLetter"/>
      <w:lvlText w:val="%2."/>
      <w:lvlJc w:val="left"/>
      <w:pPr>
        <w:ind w:left="1440" w:hanging="360"/>
      </w:pPr>
    </w:lvl>
    <w:lvl w:ilvl="2" w:tplc="5936FCC6" w:tentative="1">
      <w:start w:val="1"/>
      <w:numFmt w:val="lowerRoman"/>
      <w:lvlText w:val="%3."/>
      <w:lvlJc w:val="right"/>
      <w:pPr>
        <w:ind w:left="2160" w:hanging="180"/>
      </w:pPr>
    </w:lvl>
    <w:lvl w:ilvl="3" w:tplc="D41E40A8" w:tentative="1">
      <w:start w:val="1"/>
      <w:numFmt w:val="decimal"/>
      <w:lvlText w:val="%4."/>
      <w:lvlJc w:val="left"/>
      <w:pPr>
        <w:ind w:left="2880" w:hanging="360"/>
      </w:pPr>
    </w:lvl>
    <w:lvl w:ilvl="4" w:tplc="D19E145A" w:tentative="1">
      <w:start w:val="1"/>
      <w:numFmt w:val="lowerLetter"/>
      <w:lvlText w:val="%5."/>
      <w:lvlJc w:val="left"/>
      <w:pPr>
        <w:ind w:left="3600" w:hanging="360"/>
      </w:pPr>
    </w:lvl>
    <w:lvl w:ilvl="5" w:tplc="202CA0EC" w:tentative="1">
      <w:start w:val="1"/>
      <w:numFmt w:val="lowerRoman"/>
      <w:lvlText w:val="%6."/>
      <w:lvlJc w:val="right"/>
      <w:pPr>
        <w:ind w:left="4320" w:hanging="180"/>
      </w:pPr>
    </w:lvl>
    <w:lvl w:ilvl="6" w:tplc="24D6AA0A" w:tentative="1">
      <w:start w:val="1"/>
      <w:numFmt w:val="decimal"/>
      <w:lvlText w:val="%7."/>
      <w:lvlJc w:val="left"/>
      <w:pPr>
        <w:ind w:left="5040" w:hanging="360"/>
      </w:pPr>
    </w:lvl>
    <w:lvl w:ilvl="7" w:tplc="AC18805A" w:tentative="1">
      <w:start w:val="1"/>
      <w:numFmt w:val="lowerLetter"/>
      <w:lvlText w:val="%8."/>
      <w:lvlJc w:val="left"/>
      <w:pPr>
        <w:ind w:left="5760" w:hanging="360"/>
      </w:pPr>
    </w:lvl>
    <w:lvl w:ilvl="8" w:tplc="8C04D880" w:tentative="1">
      <w:start w:val="1"/>
      <w:numFmt w:val="lowerRoman"/>
      <w:lvlText w:val="%9."/>
      <w:lvlJc w:val="right"/>
      <w:pPr>
        <w:ind w:left="6480" w:hanging="180"/>
      </w:pPr>
    </w:lvl>
  </w:abstractNum>
  <w:abstractNum w:abstractNumId="182" w15:restartNumberingAfterBreak="0">
    <w:nsid w:val="72CF30C0"/>
    <w:multiLevelType w:val="hybridMultilevel"/>
    <w:tmpl w:val="7DF005A0"/>
    <w:name w:val="WW8Num312"/>
    <w:lvl w:ilvl="0" w:tplc="74C4010E">
      <w:start w:val="1"/>
      <w:numFmt w:val="decimal"/>
      <w:lvlText w:val="%1)"/>
      <w:lvlJc w:val="left"/>
      <w:pPr>
        <w:ind w:left="644" w:hanging="360"/>
      </w:pPr>
      <w:rPr>
        <w:rFonts w:ascii="Times New Roman" w:hAnsi="Times New Roman" w:cs="Times New Roman" w:hint="default"/>
        <w:b/>
        <w:i w:val="0"/>
        <w:caps w:val="0"/>
        <w:strike w:val="0"/>
        <w:dstrike w:val="0"/>
        <w:vanish w:val="0"/>
        <w:sz w:val="20"/>
        <w:szCs w:val="20"/>
        <w:vertAlign w:val="baseline"/>
      </w:rPr>
    </w:lvl>
    <w:lvl w:ilvl="1" w:tplc="E9BC627A" w:tentative="1">
      <w:start w:val="1"/>
      <w:numFmt w:val="lowerLetter"/>
      <w:lvlText w:val="%2."/>
      <w:lvlJc w:val="left"/>
      <w:pPr>
        <w:ind w:left="1440" w:hanging="360"/>
      </w:pPr>
    </w:lvl>
    <w:lvl w:ilvl="2" w:tplc="7BFCF684" w:tentative="1">
      <w:start w:val="1"/>
      <w:numFmt w:val="lowerRoman"/>
      <w:lvlText w:val="%3."/>
      <w:lvlJc w:val="right"/>
      <w:pPr>
        <w:ind w:left="2160" w:hanging="180"/>
      </w:pPr>
    </w:lvl>
    <w:lvl w:ilvl="3" w:tplc="BE00B22C" w:tentative="1">
      <w:start w:val="1"/>
      <w:numFmt w:val="decimal"/>
      <w:lvlText w:val="%4."/>
      <w:lvlJc w:val="left"/>
      <w:pPr>
        <w:ind w:left="2880" w:hanging="360"/>
      </w:pPr>
    </w:lvl>
    <w:lvl w:ilvl="4" w:tplc="E3C6A3AE" w:tentative="1">
      <w:start w:val="1"/>
      <w:numFmt w:val="lowerLetter"/>
      <w:lvlText w:val="%5."/>
      <w:lvlJc w:val="left"/>
      <w:pPr>
        <w:ind w:left="3600" w:hanging="360"/>
      </w:pPr>
    </w:lvl>
    <w:lvl w:ilvl="5" w:tplc="DB8880B6" w:tentative="1">
      <w:start w:val="1"/>
      <w:numFmt w:val="lowerRoman"/>
      <w:lvlText w:val="%6."/>
      <w:lvlJc w:val="right"/>
      <w:pPr>
        <w:ind w:left="4320" w:hanging="180"/>
      </w:pPr>
    </w:lvl>
    <w:lvl w:ilvl="6" w:tplc="3E603E4C" w:tentative="1">
      <w:start w:val="1"/>
      <w:numFmt w:val="decimal"/>
      <w:lvlText w:val="%7."/>
      <w:lvlJc w:val="left"/>
      <w:pPr>
        <w:ind w:left="5040" w:hanging="360"/>
      </w:pPr>
    </w:lvl>
    <w:lvl w:ilvl="7" w:tplc="53DEF23E" w:tentative="1">
      <w:start w:val="1"/>
      <w:numFmt w:val="lowerLetter"/>
      <w:lvlText w:val="%8."/>
      <w:lvlJc w:val="left"/>
      <w:pPr>
        <w:ind w:left="5760" w:hanging="360"/>
      </w:pPr>
    </w:lvl>
    <w:lvl w:ilvl="8" w:tplc="CEEA80FE" w:tentative="1">
      <w:start w:val="1"/>
      <w:numFmt w:val="lowerRoman"/>
      <w:lvlText w:val="%9."/>
      <w:lvlJc w:val="right"/>
      <w:pPr>
        <w:ind w:left="6480" w:hanging="180"/>
      </w:pPr>
    </w:lvl>
  </w:abstractNum>
  <w:abstractNum w:abstractNumId="183" w15:restartNumberingAfterBreak="0">
    <w:nsid w:val="749304ED"/>
    <w:multiLevelType w:val="hybridMultilevel"/>
    <w:tmpl w:val="33C69674"/>
    <w:lvl w:ilvl="0" w:tplc="5DEA42C0">
      <w:start w:val="1"/>
      <w:numFmt w:val="decimal"/>
      <w:lvlText w:val="%1)"/>
      <w:lvlJc w:val="left"/>
      <w:pPr>
        <w:ind w:left="720" w:hanging="360"/>
      </w:pPr>
      <w:rPr>
        <w:rFonts w:cs="Times New Roman"/>
      </w:rPr>
    </w:lvl>
    <w:lvl w:ilvl="1" w:tplc="32B0ED80" w:tentative="1">
      <w:start w:val="1"/>
      <w:numFmt w:val="lowerLetter"/>
      <w:lvlText w:val="%2."/>
      <w:lvlJc w:val="left"/>
      <w:pPr>
        <w:ind w:left="1440" w:hanging="360"/>
      </w:pPr>
      <w:rPr>
        <w:rFonts w:cs="Times New Roman"/>
      </w:rPr>
    </w:lvl>
    <w:lvl w:ilvl="2" w:tplc="D506D016" w:tentative="1">
      <w:start w:val="1"/>
      <w:numFmt w:val="lowerRoman"/>
      <w:lvlText w:val="%3."/>
      <w:lvlJc w:val="right"/>
      <w:pPr>
        <w:ind w:left="2160" w:hanging="180"/>
      </w:pPr>
      <w:rPr>
        <w:rFonts w:cs="Times New Roman"/>
      </w:rPr>
    </w:lvl>
    <w:lvl w:ilvl="3" w:tplc="8440F89E" w:tentative="1">
      <w:start w:val="1"/>
      <w:numFmt w:val="decimal"/>
      <w:lvlText w:val="%4."/>
      <w:lvlJc w:val="left"/>
      <w:pPr>
        <w:ind w:left="2880" w:hanging="360"/>
      </w:pPr>
      <w:rPr>
        <w:rFonts w:cs="Times New Roman"/>
      </w:rPr>
    </w:lvl>
    <w:lvl w:ilvl="4" w:tplc="5B788E6A" w:tentative="1">
      <w:start w:val="1"/>
      <w:numFmt w:val="lowerLetter"/>
      <w:lvlText w:val="%5."/>
      <w:lvlJc w:val="left"/>
      <w:pPr>
        <w:ind w:left="3600" w:hanging="360"/>
      </w:pPr>
      <w:rPr>
        <w:rFonts w:cs="Times New Roman"/>
      </w:rPr>
    </w:lvl>
    <w:lvl w:ilvl="5" w:tplc="DDA22DCA" w:tentative="1">
      <w:start w:val="1"/>
      <w:numFmt w:val="lowerRoman"/>
      <w:lvlText w:val="%6."/>
      <w:lvlJc w:val="right"/>
      <w:pPr>
        <w:ind w:left="4320" w:hanging="180"/>
      </w:pPr>
      <w:rPr>
        <w:rFonts w:cs="Times New Roman"/>
      </w:rPr>
    </w:lvl>
    <w:lvl w:ilvl="6" w:tplc="2BA6C4A2" w:tentative="1">
      <w:start w:val="1"/>
      <w:numFmt w:val="decimal"/>
      <w:lvlText w:val="%7."/>
      <w:lvlJc w:val="left"/>
      <w:pPr>
        <w:ind w:left="5040" w:hanging="360"/>
      </w:pPr>
      <w:rPr>
        <w:rFonts w:cs="Times New Roman"/>
      </w:rPr>
    </w:lvl>
    <w:lvl w:ilvl="7" w:tplc="2AF8DDE2" w:tentative="1">
      <w:start w:val="1"/>
      <w:numFmt w:val="lowerLetter"/>
      <w:lvlText w:val="%8."/>
      <w:lvlJc w:val="left"/>
      <w:pPr>
        <w:ind w:left="5760" w:hanging="360"/>
      </w:pPr>
      <w:rPr>
        <w:rFonts w:cs="Times New Roman"/>
      </w:rPr>
    </w:lvl>
    <w:lvl w:ilvl="8" w:tplc="DDB64AEA" w:tentative="1">
      <w:start w:val="1"/>
      <w:numFmt w:val="lowerRoman"/>
      <w:lvlText w:val="%9."/>
      <w:lvlJc w:val="right"/>
      <w:pPr>
        <w:ind w:left="6480" w:hanging="180"/>
      </w:pPr>
      <w:rPr>
        <w:rFonts w:cs="Times New Roman"/>
      </w:rPr>
    </w:lvl>
  </w:abstractNum>
  <w:abstractNum w:abstractNumId="184" w15:restartNumberingAfterBreak="0">
    <w:nsid w:val="75AA5765"/>
    <w:multiLevelType w:val="hybridMultilevel"/>
    <w:tmpl w:val="1D2467A4"/>
    <w:lvl w:ilvl="0" w:tplc="6B62E710">
      <w:start w:val="1"/>
      <w:numFmt w:val="decimal"/>
      <w:lvlText w:val="%1)"/>
      <w:lvlJc w:val="left"/>
      <w:pPr>
        <w:ind w:left="2700" w:hanging="360"/>
      </w:pPr>
    </w:lvl>
    <w:lvl w:ilvl="1" w:tplc="0B924258" w:tentative="1">
      <w:start w:val="1"/>
      <w:numFmt w:val="lowerLetter"/>
      <w:lvlText w:val="%2."/>
      <w:lvlJc w:val="left"/>
      <w:pPr>
        <w:ind w:left="3420" w:hanging="360"/>
      </w:pPr>
    </w:lvl>
    <w:lvl w:ilvl="2" w:tplc="BD8659BC" w:tentative="1">
      <w:start w:val="1"/>
      <w:numFmt w:val="lowerRoman"/>
      <w:lvlText w:val="%3."/>
      <w:lvlJc w:val="right"/>
      <w:pPr>
        <w:ind w:left="4140" w:hanging="180"/>
      </w:pPr>
    </w:lvl>
    <w:lvl w:ilvl="3" w:tplc="0AE43C24" w:tentative="1">
      <w:start w:val="1"/>
      <w:numFmt w:val="decimal"/>
      <w:lvlText w:val="%4."/>
      <w:lvlJc w:val="left"/>
      <w:pPr>
        <w:ind w:left="4860" w:hanging="360"/>
      </w:pPr>
    </w:lvl>
    <w:lvl w:ilvl="4" w:tplc="8CAE8976" w:tentative="1">
      <w:start w:val="1"/>
      <w:numFmt w:val="lowerLetter"/>
      <w:lvlText w:val="%5."/>
      <w:lvlJc w:val="left"/>
      <w:pPr>
        <w:ind w:left="5580" w:hanging="360"/>
      </w:pPr>
    </w:lvl>
    <w:lvl w:ilvl="5" w:tplc="0698647C" w:tentative="1">
      <w:start w:val="1"/>
      <w:numFmt w:val="lowerRoman"/>
      <w:lvlText w:val="%6."/>
      <w:lvlJc w:val="right"/>
      <w:pPr>
        <w:ind w:left="6300" w:hanging="180"/>
      </w:pPr>
    </w:lvl>
    <w:lvl w:ilvl="6" w:tplc="82FC6DE4" w:tentative="1">
      <w:start w:val="1"/>
      <w:numFmt w:val="decimal"/>
      <w:lvlText w:val="%7."/>
      <w:lvlJc w:val="left"/>
      <w:pPr>
        <w:ind w:left="7020" w:hanging="360"/>
      </w:pPr>
    </w:lvl>
    <w:lvl w:ilvl="7" w:tplc="48704786" w:tentative="1">
      <w:start w:val="1"/>
      <w:numFmt w:val="lowerLetter"/>
      <w:lvlText w:val="%8."/>
      <w:lvlJc w:val="left"/>
      <w:pPr>
        <w:ind w:left="7740" w:hanging="360"/>
      </w:pPr>
    </w:lvl>
    <w:lvl w:ilvl="8" w:tplc="3098A41C" w:tentative="1">
      <w:start w:val="1"/>
      <w:numFmt w:val="lowerRoman"/>
      <w:lvlText w:val="%9."/>
      <w:lvlJc w:val="right"/>
      <w:pPr>
        <w:ind w:left="8460" w:hanging="180"/>
      </w:pPr>
    </w:lvl>
  </w:abstractNum>
  <w:abstractNum w:abstractNumId="185" w15:restartNumberingAfterBreak="0">
    <w:nsid w:val="762242B5"/>
    <w:multiLevelType w:val="hybridMultilevel"/>
    <w:tmpl w:val="41D640BE"/>
    <w:lvl w:ilvl="0" w:tplc="D69CA10E">
      <w:start w:val="1"/>
      <w:numFmt w:val="ordinal"/>
      <w:lvlText w:val="%1"/>
      <w:lvlJc w:val="left"/>
      <w:pPr>
        <w:ind w:left="1080" w:hanging="360"/>
      </w:pPr>
      <w:rPr>
        <w:rFonts w:cs="Times New Roman" w:hint="default"/>
      </w:rPr>
    </w:lvl>
    <w:lvl w:ilvl="1" w:tplc="06C04114">
      <w:start w:val="1"/>
      <w:numFmt w:val="decimal"/>
      <w:lvlText w:val="3.%2."/>
      <w:lvlJc w:val="center"/>
      <w:pPr>
        <w:ind w:left="1800" w:hanging="360"/>
      </w:pPr>
      <w:rPr>
        <w:rFonts w:cs="Times New Roman" w:hint="default"/>
      </w:rPr>
    </w:lvl>
    <w:lvl w:ilvl="2" w:tplc="FAFAED66" w:tentative="1">
      <w:start w:val="1"/>
      <w:numFmt w:val="lowerRoman"/>
      <w:lvlText w:val="%3."/>
      <w:lvlJc w:val="right"/>
      <w:pPr>
        <w:ind w:left="2520" w:hanging="180"/>
      </w:pPr>
      <w:rPr>
        <w:rFonts w:cs="Times New Roman"/>
      </w:rPr>
    </w:lvl>
    <w:lvl w:ilvl="3" w:tplc="170A2A56" w:tentative="1">
      <w:start w:val="1"/>
      <w:numFmt w:val="decimal"/>
      <w:lvlText w:val="%4."/>
      <w:lvlJc w:val="left"/>
      <w:pPr>
        <w:ind w:left="3240" w:hanging="360"/>
      </w:pPr>
      <w:rPr>
        <w:rFonts w:cs="Times New Roman"/>
      </w:rPr>
    </w:lvl>
    <w:lvl w:ilvl="4" w:tplc="B35A0A12" w:tentative="1">
      <w:start w:val="1"/>
      <w:numFmt w:val="lowerLetter"/>
      <w:lvlText w:val="%5."/>
      <w:lvlJc w:val="left"/>
      <w:pPr>
        <w:ind w:left="3960" w:hanging="360"/>
      </w:pPr>
      <w:rPr>
        <w:rFonts w:cs="Times New Roman"/>
      </w:rPr>
    </w:lvl>
    <w:lvl w:ilvl="5" w:tplc="B8449D82" w:tentative="1">
      <w:start w:val="1"/>
      <w:numFmt w:val="lowerRoman"/>
      <w:lvlText w:val="%6."/>
      <w:lvlJc w:val="right"/>
      <w:pPr>
        <w:ind w:left="4680" w:hanging="180"/>
      </w:pPr>
      <w:rPr>
        <w:rFonts w:cs="Times New Roman"/>
      </w:rPr>
    </w:lvl>
    <w:lvl w:ilvl="6" w:tplc="30D6D8F6" w:tentative="1">
      <w:start w:val="1"/>
      <w:numFmt w:val="decimal"/>
      <w:lvlText w:val="%7."/>
      <w:lvlJc w:val="left"/>
      <w:pPr>
        <w:ind w:left="5400" w:hanging="360"/>
      </w:pPr>
      <w:rPr>
        <w:rFonts w:cs="Times New Roman"/>
      </w:rPr>
    </w:lvl>
    <w:lvl w:ilvl="7" w:tplc="CE32F32C" w:tentative="1">
      <w:start w:val="1"/>
      <w:numFmt w:val="lowerLetter"/>
      <w:lvlText w:val="%8."/>
      <w:lvlJc w:val="left"/>
      <w:pPr>
        <w:ind w:left="6120" w:hanging="360"/>
      </w:pPr>
      <w:rPr>
        <w:rFonts w:cs="Times New Roman"/>
      </w:rPr>
    </w:lvl>
    <w:lvl w:ilvl="8" w:tplc="A6FCA112" w:tentative="1">
      <w:start w:val="1"/>
      <w:numFmt w:val="lowerRoman"/>
      <w:lvlText w:val="%9."/>
      <w:lvlJc w:val="right"/>
      <w:pPr>
        <w:ind w:left="6840" w:hanging="180"/>
      </w:pPr>
      <w:rPr>
        <w:rFonts w:cs="Times New Roman"/>
      </w:rPr>
    </w:lvl>
  </w:abstractNum>
  <w:abstractNum w:abstractNumId="186" w15:restartNumberingAfterBreak="0">
    <w:nsid w:val="763356F4"/>
    <w:multiLevelType w:val="multilevel"/>
    <w:tmpl w:val="52E468D4"/>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7" w15:restartNumberingAfterBreak="0">
    <w:nsid w:val="774E44B0"/>
    <w:multiLevelType w:val="hybridMultilevel"/>
    <w:tmpl w:val="ACEC57C8"/>
    <w:lvl w:ilvl="0" w:tplc="7902ACFE">
      <w:start w:val="1"/>
      <w:numFmt w:val="lowerRoman"/>
      <w:lvlText w:val="%1."/>
      <w:lvlJc w:val="right"/>
      <w:pPr>
        <w:ind w:left="1004" w:hanging="360"/>
      </w:pPr>
    </w:lvl>
    <w:lvl w:ilvl="1" w:tplc="02ACDE58" w:tentative="1">
      <w:start w:val="1"/>
      <w:numFmt w:val="lowerLetter"/>
      <w:lvlText w:val="%2."/>
      <w:lvlJc w:val="left"/>
      <w:pPr>
        <w:ind w:left="1724" w:hanging="360"/>
      </w:pPr>
    </w:lvl>
    <w:lvl w:ilvl="2" w:tplc="6472C886" w:tentative="1">
      <w:start w:val="1"/>
      <w:numFmt w:val="lowerRoman"/>
      <w:lvlText w:val="%3."/>
      <w:lvlJc w:val="right"/>
      <w:pPr>
        <w:ind w:left="2444" w:hanging="180"/>
      </w:pPr>
    </w:lvl>
    <w:lvl w:ilvl="3" w:tplc="5E4A951E" w:tentative="1">
      <w:start w:val="1"/>
      <w:numFmt w:val="decimal"/>
      <w:lvlText w:val="%4."/>
      <w:lvlJc w:val="left"/>
      <w:pPr>
        <w:ind w:left="3164" w:hanging="360"/>
      </w:pPr>
    </w:lvl>
    <w:lvl w:ilvl="4" w:tplc="266EB438" w:tentative="1">
      <w:start w:val="1"/>
      <w:numFmt w:val="lowerLetter"/>
      <w:lvlText w:val="%5."/>
      <w:lvlJc w:val="left"/>
      <w:pPr>
        <w:ind w:left="3884" w:hanging="360"/>
      </w:pPr>
    </w:lvl>
    <w:lvl w:ilvl="5" w:tplc="804C88B6" w:tentative="1">
      <w:start w:val="1"/>
      <w:numFmt w:val="lowerRoman"/>
      <w:lvlText w:val="%6."/>
      <w:lvlJc w:val="right"/>
      <w:pPr>
        <w:ind w:left="4604" w:hanging="180"/>
      </w:pPr>
    </w:lvl>
    <w:lvl w:ilvl="6" w:tplc="5532B268" w:tentative="1">
      <w:start w:val="1"/>
      <w:numFmt w:val="decimal"/>
      <w:lvlText w:val="%7."/>
      <w:lvlJc w:val="left"/>
      <w:pPr>
        <w:ind w:left="5324" w:hanging="360"/>
      </w:pPr>
    </w:lvl>
    <w:lvl w:ilvl="7" w:tplc="D302A126" w:tentative="1">
      <w:start w:val="1"/>
      <w:numFmt w:val="lowerLetter"/>
      <w:lvlText w:val="%8."/>
      <w:lvlJc w:val="left"/>
      <w:pPr>
        <w:ind w:left="6044" w:hanging="360"/>
      </w:pPr>
    </w:lvl>
    <w:lvl w:ilvl="8" w:tplc="99CCAD7E" w:tentative="1">
      <w:start w:val="1"/>
      <w:numFmt w:val="lowerRoman"/>
      <w:lvlText w:val="%9."/>
      <w:lvlJc w:val="right"/>
      <w:pPr>
        <w:ind w:left="6764" w:hanging="180"/>
      </w:pPr>
    </w:lvl>
  </w:abstractNum>
  <w:abstractNum w:abstractNumId="188" w15:restartNumberingAfterBreak="0">
    <w:nsid w:val="79A16EEC"/>
    <w:multiLevelType w:val="hybridMultilevel"/>
    <w:tmpl w:val="3FA4C0C2"/>
    <w:name w:val="WW8Num6322222"/>
    <w:lvl w:ilvl="0" w:tplc="5B042206">
      <w:start w:val="1"/>
      <w:numFmt w:val="decimal"/>
      <w:lvlText w:val="%1)"/>
      <w:lvlJc w:val="left"/>
      <w:pPr>
        <w:ind w:left="720" w:hanging="360"/>
      </w:pPr>
      <w:rPr>
        <w:rFonts w:cs="Times New Roman"/>
      </w:rPr>
    </w:lvl>
    <w:lvl w:ilvl="1" w:tplc="A2227972" w:tentative="1">
      <w:start w:val="1"/>
      <w:numFmt w:val="lowerLetter"/>
      <w:lvlText w:val="%2."/>
      <w:lvlJc w:val="left"/>
      <w:pPr>
        <w:ind w:left="1440" w:hanging="360"/>
      </w:pPr>
    </w:lvl>
    <w:lvl w:ilvl="2" w:tplc="8F763D1C" w:tentative="1">
      <w:start w:val="1"/>
      <w:numFmt w:val="lowerRoman"/>
      <w:lvlText w:val="%3."/>
      <w:lvlJc w:val="right"/>
      <w:pPr>
        <w:ind w:left="2160" w:hanging="180"/>
      </w:pPr>
    </w:lvl>
    <w:lvl w:ilvl="3" w:tplc="E9DE938C" w:tentative="1">
      <w:start w:val="1"/>
      <w:numFmt w:val="decimal"/>
      <w:lvlText w:val="%4."/>
      <w:lvlJc w:val="left"/>
      <w:pPr>
        <w:ind w:left="2880" w:hanging="360"/>
      </w:pPr>
    </w:lvl>
    <w:lvl w:ilvl="4" w:tplc="E272E0FE" w:tentative="1">
      <w:start w:val="1"/>
      <w:numFmt w:val="lowerLetter"/>
      <w:lvlText w:val="%5."/>
      <w:lvlJc w:val="left"/>
      <w:pPr>
        <w:ind w:left="3600" w:hanging="360"/>
      </w:pPr>
    </w:lvl>
    <w:lvl w:ilvl="5" w:tplc="2878DCAA" w:tentative="1">
      <w:start w:val="1"/>
      <w:numFmt w:val="lowerRoman"/>
      <w:lvlText w:val="%6."/>
      <w:lvlJc w:val="right"/>
      <w:pPr>
        <w:ind w:left="4320" w:hanging="180"/>
      </w:pPr>
    </w:lvl>
    <w:lvl w:ilvl="6" w:tplc="12F49426" w:tentative="1">
      <w:start w:val="1"/>
      <w:numFmt w:val="decimal"/>
      <w:lvlText w:val="%7."/>
      <w:lvlJc w:val="left"/>
      <w:pPr>
        <w:ind w:left="5040" w:hanging="360"/>
      </w:pPr>
    </w:lvl>
    <w:lvl w:ilvl="7" w:tplc="04162EFC" w:tentative="1">
      <w:start w:val="1"/>
      <w:numFmt w:val="lowerLetter"/>
      <w:lvlText w:val="%8."/>
      <w:lvlJc w:val="left"/>
      <w:pPr>
        <w:ind w:left="5760" w:hanging="360"/>
      </w:pPr>
    </w:lvl>
    <w:lvl w:ilvl="8" w:tplc="E16C98E0" w:tentative="1">
      <w:start w:val="1"/>
      <w:numFmt w:val="lowerRoman"/>
      <w:lvlText w:val="%9."/>
      <w:lvlJc w:val="right"/>
      <w:pPr>
        <w:ind w:left="6480" w:hanging="180"/>
      </w:pPr>
    </w:lvl>
  </w:abstractNum>
  <w:abstractNum w:abstractNumId="189" w15:restartNumberingAfterBreak="0">
    <w:nsid w:val="7AC81217"/>
    <w:multiLevelType w:val="hybridMultilevel"/>
    <w:tmpl w:val="1D2467A4"/>
    <w:lvl w:ilvl="0" w:tplc="F5C648D2">
      <w:start w:val="1"/>
      <w:numFmt w:val="decimal"/>
      <w:lvlText w:val="%1)"/>
      <w:lvlJc w:val="left"/>
      <w:pPr>
        <w:ind w:left="2700" w:hanging="360"/>
      </w:pPr>
    </w:lvl>
    <w:lvl w:ilvl="1" w:tplc="1E560916" w:tentative="1">
      <w:start w:val="1"/>
      <w:numFmt w:val="lowerLetter"/>
      <w:lvlText w:val="%2."/>
      <w:lvlJc w:val="left"/>
      <w:pPr>
        <w:ind w:left="3420" w:hanging="360"/>
      </w:pPr>
    </w:lvl>
    <w:lvl w:ilvl="2" w:tplc="FD00A234" w:tentative="1">
      <w:start w:val="1"/>
      <w:numFmt w:val="lowerRoman"/>
      <w:lvlText w:val="%3."/>
      <w:lvlJc w:val="right"/>
      <w:pPr>
        <w:ind w:left="4140" w:hanging="180"/>
      </w:pPr>
    </w:lvl>
    <w:lvl w:ilvl="3" w:tplc="2B3CE67C" w:tentative="1">
      <w:start w:val="1"/>
      <w:numFmt w:val="decimal"/>
      <w:lvlText w:val="%4."/>
      <w:lvlJc w:val="left"/>
      <w:pPr>
        <w:ind w:left="4860" w:hanging="360"/>
      </w:pPr>
    </w:lvl>
    <w:lvl w:ilvl="4" w:tplc="A3E4E394" w:tentative="1">
      <w:start w:val="1"/>
      <w:numFmt w:val="lowerLetter"/>
      <w:lvlText w:val="%5."/>
      <w:lvlJc w:val="left"/>
      <w:pPr>
        <w:ind w:left="5580" w:hanging="360"/>
      </w:pPr>
    </w:lvl>
    <w:lvl w:ilvl="5" w:tplc="52DC394C" w:tentative="1">
      <w:start w:val="1"/>
      <w:numFmt w:val="lowerRoman"/>
      <w:lvlText w:val="%6."/>
      <w:lvlJc w:val="right"/>
      <w:pPr>
        <w:ind w:left="6300" w:hanging="180"/>
      </w:pPr>
    </w:lvl>
    <w:lvl w:ilvl="6" w:tplc="9828A7AE" w:tentative="1">
      <w:start w:val="1"/>
      <w:numFmt w:val="decimal"/>
      <w:lvlText w:val="%7."/>
      <w:lvlJc w:val="left"/>
      <w:pPr>
        <w:ind w:left="7020" w:hanging="360"/>
      </w:pPr>
    </w:lvl>
    <w:lvl w:ilvl="7" w:tplc="5A280CEE" w:tentative="1">
      <w:start w:val="1"/>
      <w:numFmt w:val="lowerLetter"/>
      <w:lvlText w:val="%8."/>
      <w:lvlJc w:val="left"/>
      <w:pPr>
        <w:ind w:left="7740" w:hanging="360"/>
      </w:pPr>
    </w:lvl>
    <w:lvl w:ilvl="8" w:tplc="66DC7BDE" w:tentative="1">
      <w:start w:val="1"/>
      <w:numFmt w:val="lowerRoman"/>
      <w:lvlText w:val="%9."/>
      <w:lvlJc w:val="right"/>
      <w:pPr>
        <w:ind w:left="8460" w:hanging="180"/>
      </w:pPr>
    </w:lvl>
  </w:abstractNum>
  <w:abstractNum w:abstractNumId="190" w15:restartNumberingAfterBreak="0">
    <w:nsid w:val="7B5F35E1"/>
    <w:multiLevelType w:val="hybridMultilevel"/>
    <w:tmpl w:val="931C1924"/>
    <w:lvl w:ilvl="0" w:tplc="43C67420">
      <w:start w:val="1"/>
      <w:numFmt w:val="lowerLetter"/>
      <w:lvlText w:val="%1)"/>
      <w:lvlJc w:val="left"/>
      <w:pPr>
        <w:ind w:left="720" w:hanging="360"/>
      </w:pPr>
      <w:rPr>
        <w:rFonts w:cs="Times New Roman"/>
      </w:rPr>
    </w:lvl>
    <w:lvl w:ilvl="1" w:tplc="55CABAB0" w:tentative="1">
      <w:start w:val="1"/>
      <w:numFmt w:val="lowerLetter"/>
      <w:lvlText w:val="%2."/>
      <w:lvlJc w:val="left"/>
      <w:pPr>
        <w:ind w:left="1440" w:hanging="360"/>
      </w:pPr>
      <w:rPr>
        <w:rFonts w:cs="Times New Roman"/>
      </w:rPr>
    </w:lvl>
    <w:lvl w:ilvl="2" w:tplc="9502EF62" w:tentative="1">
      <w:start w:val="1"/>
      <w:numFmt w:val="lowerRoman"/>
      <w:lvlText w:val="%3."/>
      <w:lvlJc w:val="right"/>
      <w:pPr>
        <w:ind w:left="2160" w:hanging="180"/>
      </w:pPr>
      <w:rPr>
        <w:rFonts w:cs="Times New Roman"/>
      </w:rPr>
    </w:lvl>
    <w:lvl w:ilvl="3" w:tplc="3D741988" w:tentative="1">
      <w:start w:val="1"/>
      <w:numFmt w:val="decimal"/>
      <w:lvlText w:val="%4."/>
      <w:lvlJc w:val="left"/>
      <w:pPr>
        <w:ind w:left="2880" w:hanging="360"/>
      </w:pPr>
      <w:rPr>
        <w:rFonts w:cs="Times New Roman"/>
      </w:rPr>
    </w:lvl>
    <w:lvl w:ilvl="4" w:tplc="C0CE1C86" w:tentative="1">
      <w:start w:val="1"/>
      <w:numFmt w:val="lowerLetter"/>
      <w:lvlText w:val="%5."/>
      <w:lvlJc w:val="left"/>
      <w:pPr>
        <w:ind w:left="3600" w:hanging="360"/>
      </w:pPr>
      <w:rPr>
        <w:rFonts w:cs="Times New Roman"/>
      </w:rPr>
    </w:lvl>
    <w:lvl w:ilvl="5" w:tplc="AFACDF34" w:tentative="1">
      <w:start w:val="1"/>
      <w:numFmt w:val="lowerRoman"/>
      <w:lvlText w:val="%6."/>
      <w:lvlJc w:val="right"/>
      <w:pPr>
        <w:ind w:left="4320" w:hanging="180"/>
      </w:pPr>
      <w:rPr>
        <w:rFonts w:cs="Times New Roman"/>
      </w:rPr>
    </w:lvl>
    <w:lvl w:ilvl="6" w:tplc="8A288E5C" w:tentative="1">
      <w:start w:val="1"/>
      <w:numFmt w:val="decimal"/>
      <w:lvlText w:val="%7."/>
      <w:lvlJc w:val="left"/>
      <w:pPr>
        <w:ind w:left="5040" w:hanging="360"/>
      </w:pPr>
      <w:rPr>
        <w:rFonts w:cs="Times New Roman"/>
      </w:rPr>
    </w:lvl>
    <w:lvl w:ilvl="7" w:tplc="F2DA3D82" w:tentative="1">
      <w:start w:val="1"/>
      <w:numFmt w:val="lowerLetter"/>
      <w:lvlText w:val="%8."/>
      <w:lvlJc w:val="left"/>
      <w:pPr>
        <w:ind w:left="5760" w:hanging="360"/>
      </w:pPr>
      <w:rPr>
        <w:rFonts w:cs="Times New Roman"/>
      </w:rPr>
    </w:lvl>
    <w:lvl w:ilvl="8" w:tplc="FB326D36" w:tentative="1">
      <w:start w:val="1"/>
      <w:numFmt w:val="lowerRoman"/>
      <w:lvlText w:val="%9."/>
      <w:lvlJc w:val="right"/>
      <w:pPr>
        <w:ind w:left="6480" w:hanging="180"/>
      </w:pPr>
      <w:rPr>
        <w:rFonts w:cs="Times New Roman"/>
      </w:rPr>
    </w:lvl>
  </w:abstractNum>
  <w:abstractNum w:abstractNumId="191" w15:restartNumberingAfterBreak="0">
    <w:nsid w:val="7B750A63"/>
    <w:multiLevelType w:val="multilevel"/>
    <w:tmpl w:val="E73A4E58"/>
    <w:lvl w:ilvl="0">
      <w:start w:val="1"/>
      <w:numFmt w:val="decimal"/>
      <w:lvlText w:val="%1."/>
      <w:lvlJc w:val="left"/>
      <w:pPr>
        <w:tabs>
          <w:tab w:val="num" w:pos="-108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080"/>
        </w:tabs>
        <w:ind w:left="1800" w:hanging="180"/>
      </w:pPr>
      <w:rPr>
        <w:rFonts w:cs="Times New Roman"/>
      </w:rPr>
    </w:lvl>
    <w:lvl w:ilvl="3">
      <w:start w:val="1"/>
      <w:numFmt w:val="decimal"/>
      <w:lvlText w:val="%4."/>
      <w:lvlJc w:val="left"/>
      <w:pPr>
        <w:tabs>
          <w:tab w:val="num" w:pos="-1080"/>
        </w:tabs>
        <w:ind w:left="2520" w:hanging="360"/>
      </w:pPr>
    </w:lvl>
    <w:lvl w:ilvl="4">
      <w:start w:val="1"/>
      <w:numFmt w:val="lowerLetter"/>
      <w:lvlText w:val="%5."/>
      <w:lvlJc w:val="left"/>
      <w:pPr>
        <w:tabs>
          <w:tab w:val="num" w:pos="-1080"/>
        </w:tabs>
        <w:ind w:left="3240" w:hanging="360"/>
      </w:pPr>
    </w:lvl>
    <w:lvl w:ilvl="5">
      <w:start w:val="1"/>
      <w:numFmt w:val="lowerRoman"/>
      <w:lvlText w:val="%6."/>
      <w:lvlJc w:val="left"/>
      <w:pPr>
        <w:tabs>
          <w:tab w:val="num" w:pos="-1080"/>
        </w:tabs>
        <w:ind w:left="3960" w:hanging="180"/>
      </w:pPr>
    </w:lvl>
    <w:lvl w:ilvl="6">
      <w:start w:val="1"/>
      <w:numFmt w:val="decimal"/>
      <w:lvlText w:val="%7."/>
      <w:lvlJc w:val="left"/>
      <w:pPr>
        <w:tabs>
          <w:tab w:val="num" w:pos="-1080"/>
        </w:tabs>
        <w:ind w:left="4680" w:hanging="360"/>
      </w:pPr>
    </w:lvl>
    <w:lvl w:ilvl="7">
      <w:start w:val="1"/>
      <w:numFmt w:val="lowerLetter"/>
      <w:lvlText w:val="%8."/>
      <w:lvlJc w:val="left"/>
      <w:pPr>
        <w:tabs>
          <w:tab w:val="num" w:pos="-1080"/>
        </w:tabs>
        <w:ind w:left="5400" w:hanging="360"/>
      </w:pPr>
    </w:lvl>
    <w:lvl w:ilvl="8">
      <w:start w:val="1"/>
      <w:numFmt w:val="lowerRoman"/>
      <w:lvlText w:val="%9."/>
      <w:lvlJc w:val="left"/>
      <w:pPr>
        <w:tabs>
          <w:tab w:val="num" w:pos="-1080"/>
        </w:tabs>
        <w:ind w:left="6120" w:hanging="180"/>
      </w:pPr>
    </w:lvl>
  </w:abstractNum>
  <w:abstractNum w:abstractNumId="192" w15:restartNumberingAfterBreak="0">
    <w:nsid w:val="7BA77B05"/>
    <w:multiLevelType w:val="hybridMultilevel"/>
    <w:tmpl w:val="11868CAA"/>
    <w:lvl w:ilvl="0" w:tplc="FA8C837A">
      <w:start w:val="1"/>
      <w:numFmt w:val="decimal"/>
      <w:lvlText w:val="%1)"/>
      <w:lvlJc w:val="left"/>
      <w:pPr>
        <w:ind w:left="720" w:hanging="360"/>
      </w:pPr>
      <w:rPr>
        <w:rFonts w:hint="default"/>
      </w:rPr>
    </w:lvl>
    <w:lvl w:ilvl="1" w:tplc="4956D3D0" w:tentative="1">
      <w:start w:val="1"/>
      <w:numFmt w:val="lowerLetter"/>
      <w:lvlText w:val="%2."/>
      <w:lvlJc w:val="left"/>
      <w:pPr>
        <w:ind w:left="1440" w:hanging="360"/>
      </w:pPr>
    </w:lvl>
    <w:lvl w:ilvl="2" w:tplc="6282720E" w:tentative="1">
      <w:start w:val="1"/>
      <w:numFmt w:val="lowerRoman"/>
      <w:lvlText w:val="%3."/>
      <w:lvlJc w:val="right"/>
      <w:pPr>
        <w:ind w:left="2160" w:hanging="180"/>
      </w:pPr>
    </w:lvl>
    <w:lvl w:ilvl="3" w:tplc="E30842CC" w:tentative="1">
      <w:start w:val="1"/>
      <w:numFmt w:val="decimal"/>
      <w:lvlText w:val="%4."/>
      <w:lvlJc w:val="left"/>
      <w:pPr>
        <w:ind w:left="2880" w:hanging="360"/>
      </w:pPr>
    </w:lvl>
    <w:lvl w:ilvl="4" w:tplc="E5769B0A" w:tentative="1">
      <w:start w:val="1"/>
      <w:numFmt w:val="lowerLetter"/>
      <w:lvlText w:val="%5."/>
      <w:lvlJc w:val="left"/>
      <w:pPr>
        <w:ind w:left="3600" w:hanging="360"/>
      </w:pPr>
    </w:lvl>
    <w:lvl w:ilvl="5" w:tplc="4BF68C9C" w:tentative="1">
      <w:start w:val="1"/>
      <w:numFmt w:val="lowerRoman"/>
      <w:lvlText w:val="%6."/>
      <w:lvlJc w:val="right"/>
      <w:pPr>
        <w:ind w:left="4320" w:hanging="180"/>
      </w:pPr>
    </w:lvl>
    <w:lvl w:ilvl="6" w:tplc="B83EBDBA" w:tentative="1">
      <w:start w:val="1"/>
      <w:numFmt w:val="decimal"/>
      <w:lvlText w:val="%7."/>
      <w:lvlJc w:val="left"/>
      <w:pPr>
        <w:ind w:left="5040" w:hanging="360"/>
      </w:pPr>
    </w:lvl>
    <w:lvl w:ilvl="7" w:tplc="0E50767E" w:tentative="1">
      <w:start w:val="1"/>
      <w:numFmt w:val="lowerLetter"/>
      <w:lvlText w:val="%8."/>
      <w:lvlJc w:val="left"/>
      <w:pPr>
        <w:ind w:left="5760" w:hanging="360"/>
      </w:pPr>
    </w:lvl>
    <w:lvl w:ilvl="8" w:tplc="33023AC2" w:tentative="1">
      <w:start w:val="1"/>
      <w:numFmt w:val="lowerRoman"/>
      <w:lvlText w:val="%9."/>
      <w:lvlJc w:val="right"/>
      <w:pPr>
        <w:ind w:left="6480" w:hanging="180"/>
      </w:pPr>
    </w:lvl>
  </w:abstractNum>
  <w:abstractNum w:abstractNumId="193" w15:restartNumberingAfterBreak="0">
    <w:nsid w:val="7C07635E"/>
    <w:multiLevelType w:val="hybridMultilevel"/>
    <w:tmpl w:val="56AEACA2"/>
    <w:lvl w:ilvl="0" w:tplc="F54292F6">
      <w:start w:val="1"/>
      <w:numFmt w:val="decimal"/>
      <w:lvlText w:val="%1)"/>
      <w:lvlJc w:val="left"/>
      <w:pPr>
        <w:ind w:left="2700" w:hanging="360"/>
      </w:pPr>
      <w:rPr>
        <w:rFonts w:cs="Times New Roman" w:hint="default"/>
        <w:sz w:val="20"/>
      </w:rPr>
    </w:lvl>
    <w:lvl w:ilvl="1" w:tplc="821E5E4C" w:tentative="1">
      <w:start w:val="1"/>
      <w:numFmt w:val="lowerLetter"/>
      <w:lvlText w:val="%2."/>
      <w:lvlJc w:val="left"/>
      <w:pPr>
        <w:ind w:left="3420" w:hanging="360"/>
      </w:pPr>
    </w:lvl>
    <w:lvl w:ilvl="2" w:tplc="14FA2D90" w:tentative="1">
      <w:start w:val="1"/>
      <w:numFmt w:val="lowerRoman"/>
      <w:lvlText w:val="%3."/>
      <w:lvlJc w:val="right"/>
      <w:pPr>
        <w:ind w:left="4140" w:hanging="180"/>
      </w:pPr>
    </w:lvl>
    <w:lvl w:ilvl="3" w:tplc="48AEBC04" w:tentative="1">
      <w:start w:val="1"/>
      <w:numFmt w:val="decimal"/>
      <w:lvlText w:val="%4."/>
      <w:lvlJc w:val="left"/>
      <w:pPr>
        <w:ind w:left="4860" w:hanging="360"/>
      </w:pPr>
    </w:lvl>
    <w:lvl w:ilvl="4" w:tplc="899CBF1A" w:tentative="1">
      <w:start w:val="1"/>
      <w:numFmt w:val="lowerLetter"/>
      <w:lvlText w:val="%5."/>
      <w:lvlJc w:val="left"/>
      <w:pPr>
        <w:ind w:left="5580" w:hanging="360"/>
      </w:pPr>
    </w:lvl>
    <w:lvl w:ilvl="5" w:tplc="F418E8E2" w:tentative="1">
      <w:start w:val="1"/>
      <w:numFmt w:val="lowerRoman"/>
      <w:lvlText w:val="%6."/>
      <w:lvlJc w:val="right"/>
      <w:pPr>
        <w:ind w:left="6300" w:hanging="180"/>
      </w:pPr>
    </w:lvl>
    <w:lvl w:ilvl="6" w:tplc="D95AE276" w:tentative="1">
      <w:start w:val="1"/>
      <w:numFmt w:val="decimal"/>
      <w:lvlText w:val="%7."/>
      <w:lvlJc w:val="left"/>
      <w:pPr>
        <w:ind w:left="7020" w:hanging="360"/>
      </w:pPr>
    </w:lvl>
    <w:lvl w:ilvl="7" w:tplc="66E27694" w:tentative="1">
      <w:start w:val="1"/>
      <w:numFmt w:val="lowerLetter"/>
      <w:lvlText w:val="%8."/>
      <w:lvlJc w:val="left"/>
      <w:pPr>
        <w:ind w:left="7740" w:hanging="360"/>
      </w:pPr>
    </w:lvl>
    <w:lvl w:ilvl="8" w:tplc="7B828BCE" w:tentative="1">
      <w:start w:val="1"/>
      <w:numFmt w:val="lowerRoman"/>
      <w:lvlText w:val="%9."/>
      <w:lvlJc w:val="right"/>
      <w:pPr>
        <w:ind w:left="8460" w:hanging="180"/>
      </w:pPr>
    </w:lvl>
  </w:abstractNum>
  <w:abstractNum w:abstractNumId="194" w15:restartNumberingAfterBreak="0">
    <w:nsid w:val="7CF8106E"/>
    <w:multiLevelType w:val="hybridMultilevel"/>
    <w:tmpl w:val="B5AC0804"/>
    <w:lvl w:ilvl="0" w:tplc="DC58A926">
      <w:start w:val="1"/>
      <w:numFmt w:val="lowerLetter"/>
      <w:lvlText w:val="%1)"/>
      <w:lvlJc w:val="left"/>
      <w:pPr>
        <w:ind w:left="644" w:hanging="360"/>
      </w:pPr>
      <w:rPr>
        <w:rFonts w:cs="Times New Roman" w:hint="default"/>
      </w:rPr>
    </w:lvl>
    <w:lvl w:ilvl="1" w:tplc="B3487012">
      <w:start w:val="1"/>
      <w:numFmt w:val="lowerLetter"/>
      <w:lvlText w:val="%2."/>
      <w:lvlJc w:val="left"/>
      <w:pPr>
        <w:ind w:left="1437" w:hanging="360"/>
      </w:pPr>
      <w:rPr>
        <w:rFonts w:cs="Times New Roman"/>
      </w:rPr>
    </w:lvl>
    <w:lvl w:ilvl="2" w:tplc="FD5090C4">
      <w:start w:val="1"/>
      <w:numFmt w:val="decimal"/>
      <w:lvlText w:val="%3)"/>
      <w:lvlJc w:val="left"/>
      <w:pPr>
        <w:ind w:left="2337" w:hanging="360"/>
      </w:pPr>
      <w:rPr>
        <w:rFonts w:hint="default"/>
      </w:rPr>
    </w:lvl>
    <w:lvl w:ilvl="3" w:tplc="36F02526" w:tentative="1">
      <w:start w:val="1"/>
      <w:numFmt w:val="decimal"/>
      <w:lvlText w:val="%4."/>
      <w:lvlJc w:val="left"/>
      <w:pPr>
        <w:ind w:left="2877" w:hanging="360"/>
      </w:pPr>
      <w:rPr>
        <w:rFonts w:cs="Times New Roman"/>
      </w:rPr>
    </w:lvl>
    <w:lvl w:ilvl="4" w:tplc="8C062D32" w:tentative="1">
      <w:start w:val="1"/>
      <w:numFmt w:val="lowerLetter"/>
      <w:lvlText w:val="%5."/>
      <w:lvlJc w:val="left"/>
      <w:pPr>
        <w:ind w:left="3597" w:hanging="360"/>
      </w:pPr>
      <w:rPr>
        <w:rFonts w:cs="Times New Roman"/>
      </w:rPr>
    </w:lvl>
    <w:lvl w:ilvl="5" w:tplc="58D695E2" w:tentative="1">
      <w:start w:val="1"/>
      <w:numFmt w:val="lowerRoman"/>
      <w:lvlText w:val="%6."/>
      <w:lvlJc w:val="right"/>
      <w:pPr>
        <w:ind w:left="4317" w:hanging="180"/>
      </w:pPr>
      <w:rPr>
        <w:rFonts w:cs="Times New Roman"/>
      </w:rPr>
    </w:lvl>
    <w:lvl w:ilvl="6" w:tplc="651EC7B2" w:tentative="1">
      <w:start w:val="1"/>
      <w:numFmt w:val="decimal"/>
      <w:lvlText w:val="%7."/>
      <w:lvlJc w:val="left"/>
      <w:pPr>
        <w:ind w:left="5037" w:hanging="360"/>
      </w:pPr>
      <w:rPr>
        <w:rFonts w:cs="Times New Roman"/>
      </w:rPr>
    </w:lvl>
    <w:lvl w:ilvl="7" w:tplc="84E6EB04" w:tentative="1">
      <w:start w:val="1"/>
      <w:numFmt w:val="lowerLetter"/>
      <w:lvlText w:val="%8."/>
      <w:lvlJc w:val="left"/>
      <w:pPr>
        <w:ind w:left="5757" w:hanging="360"/>
      </w:pPr>
      <w:rPr>
        <w:rFonts w:cs="Times New Roman"/>
      </w:rPr>
    </w:lvl>
    <w:lvl w:ilvl="8" w:tplc="766C6B9E" w:tentative="1">
      <w:start w:val="1"/>
      <w:numFmt w:val="lowerRoman"/>
      <w:lvlText w:val="%9."/>
      <w:lvlJc w:val="right"/>
      <w:pPr>
        <w:ind w:left="6477" w:hanging="180"/>
      </w:pPr>
      <w:rPr>
        <w:rFonts w:cs="Times New Roman"/>
      </w:rPr>
    </w:lvl>
  </w:abstractNum>
  <w:abstractNum w:abstractNumId="195" w15:restartNumberingAfterBreak="0">
    <w:nsid w:val="7D6C7681"/>
    <w:multiLevelType w:val="hybridMultilevel"/>
    <w:tmpl w:val="1D2467A4"/>
    <w:lvl w:ilvl="0" w:tplc="A67A159E">
      <w:start w:val="1"/>
      <w:numFmt w:val="decimal"/>
      <w:lvlText w:val="%1)"/>
      <w:lvlJc w:val="left"/>
      <w:pPr>
        <w:ind w:left="2700" w:hanging="360"/>
      </w:pPr>
    </w:lvl>
    <w:lvl w:ilvl="1" w:tplc="A9FE1842" w:tentative="1">
      <w:start w:val="1"/>
      <w:numFmt w:val="lowerLetter"/>
      <w:lvlText w:val="%2."/>
      <w:lvlJc w:val="left"/>
      <w:pPr>
        <w:ind w:left="3420" w:hanging="360"/>
      </w:pPr>
    </w:lvl>
    <w:lvl w:ilvl="2" w:tplc="E44001CE" w:tentative="1">
      <w:start w:val="1"/>
      <w:numFmt w:val="lowerRoman"/>
      <w:lvlText w:val="%3."/>
      <w:lvlJc w:val="right"/>
      <w:pPr>
        <w:ind w:left="4140" w:hanging="180"/>
      </w:pPr>
    </w:lvl>
    <w:lvl w:ilvl="3" w:tplc="A40617B6" w:tentative="1">
      <w:start w:val="1"/>
      <w:numFmt w:val="decimal"/>
      <w:lvlText w:val="%4."/>
      <w:lvlJc w:val="left"/>
      <w:pPr>
        <w:ind w:left="4860" w:hanging="360"/>
      </w:pPr>
    </w:lvl>
    <w:lvl w:ilvl="4" w:tplc="F836DF92" w:tentative="1">
      <w:start w:val="1"/>
      <w:numFmt w:val="lowerLetter"/>
      <w:lvlText w:val="%5."/>
      <w:lvlJc w:val="left"/>
      <w:pPr>
        <w:ind w:left="5580" w:hanging="360"/>
      </w:pPr>
    </w:lvl>
    <w:lvl w:ilvl="5" w:tplc="6FF2F9CE" w:tentative="1">
      <w:start w:val="1"/>
      <w:numFmt w:val="lowerRoman"/>
      <w:lvlText w:val="%6."/>
      <w:lvlJc w:val="right"/>
      <w:pPr>
        <w:ind w:left="6300" w:hanging="180"/>
      </w:pPr>
    </w:lvl>
    <w:lvl w:ilvl="6" w:tplc="101C6F00" w:tentative="1">
      <w:start w:val="1"/>
      <w:numFmt w:val="decimal"/>
      <w:lvlText w:val="%7."/>
      <w:lvlJc w:val="left"/>
      <w:pPr>
        <w:ind w:left="7020" w:hanging="360"/>
      </w:pPr>
    </w:lvl>
    <w:lvl w:ilvl="7" w:tplc="D6D2CD9C" w:tentative="1">
      <w:start w:val="1"/>
      <w:numFmt w:val="lowerLetter"/>
      <w:lvlText w:val="%8."/>
      <w:lvlJc w:val="left"/>
      <w:pPr>
        <w:ind w:left="7740" w:hanging="360"/>
      </w:pPr>
    </w:lvl>
    <w:lvl w:ilvl="8" w:tplc="50F06C32" w:tentative="1">
      <w:start w:val="1"/>
      <w:numFmt w:val="lowerRoman"/>
      <w:lvlText w:val="%9."/>
      <w:lvlJc w:val="right"/>
      <w:pPr>
        <w:ind w:left="8460" w:hanging="180"/>
      </w:pPr>
    </w:lvl>
  </w:abstractNum>
  <w:abstractNum w:abstractNumId="196" w15:restartNumberingAfterBreak="0">
    <w:nsid w:val="7F814B08"/>
    <w:multiLevelType w:val="hybridMultilevel"/>
    <w:tmpl w:val="5E28984E"/>
    <w:lvl w:ilvl="0" w:tplc="5FC80374">
      <w:start w:val="1"/>
      <w:numFmt w:val="lowerLetter"/>
      <w:lvlText w:val="%1)"/>
      <w:lvlJc w:val="left"/>
      <w:pPr>
        <w:ind w:left="1440" w:hanging="360"/>
      </w:pPr>
    </w:lvl>
    <w:lvl w:ilvl="1" w:tplc="E84A0F76" w:tentative="1">
      <w:start w:val="1"/>
      <w:numFmt w:val="lowerLetter"/>
      <w:lvlText w:val="%2."/>
      <w:lvlJc w:val="left"/>
      <w:pPr>
        <w:ind w:left="2160" w:hanging="360"/>
      </w:pPr>
    </w:lvl>
    <w:lvl w:ilvl="2" w:tplc="6C4AB47A">
      <w:start w:val="1"/>
      <w:numFmt w:val="lowerLetter"/>
      <w:lvlText w:val="%3)"/>
      <w:lvlJc w:val="left"/>
      <w:pPr>
        <w:ind w:left="2880" w:hanging="180"/>
      </w:pPr>
      <w:rPr>
        <w:rFonts w:cs="Times New Roman"/>
      </w:rPr>
    </w:lvl>
    <w:lvl w:ilvl="3" w:tplc="47BC47B2" w:tentative="1">
      <w:start w:val="1"/>
      <w:numFmt w:val="decimal"/>
      <w:lvlText w:val="%4."/>
      <w:lvlJc w:val="left"/>
      <w:pPr>
        <w:ind w:left="3600" w:hanging="360"/>
      </w:pPr>
    </w:lvl>
    <w:lvl w:ilvl="4" w:tplc="FF62F80E" w:tentative="1">
      <w:start w:val="1"/>
      <w:numFmt w:val="lowerLetter"/>
      <w:lvlText w:val="%5."/>
      <w:lvlJc w:val="left"/>
      <w:pPr>
        <w:ind w:left="4320" w:hanging="360"/>
      </w:pPr>
    </w:lvl>
    <w:lvl w:ilvl="5" w:tplc="BE3EE048" w:tentative="1">
      <w:start w:val="1"/>
      <w:numFmt w:val="lowerRoman"/>
      <w:lvlText w:val="%6."/>
      <w:lvlJc w:val="right"/>
      <w:pPr>
        <w:ind w:left="5040" w:hanging="180"/>
      </w:pPr>
    </w:lvl>
    <w:lvl w:ilvl="6" w:tplc="ECAC266E" w:tentative="1">
      <w:start w:val="1"/>
      <w:numFmt w:val="decimal"/>
      <w:lvlText w:val="%7."/>
      <w:lvlJc w:val="left"/>
      <w:pPr>
        <w:ind w:left="5760" w:hanging="360"/>
      </w:pPr>
    </w:lvl>
    <w:lvl w:ilvl="7" w:tplc="C936C3C0" w:tentative="1">
      <w:start w:val="1"/>
      <w:numFmt w:val="lowerLetter"/>
      <w:lvlText w:val="%8."/>
      <w:lvlJc w:val="left"/>
      <w:pPr>
        <w:ind w:left="6480" w:hanging="360"/>
      </w:pPr>
    </w:lvl>
    <w:lvl w:ilvl="8" w:tplc="2566FE02" w:tentative="1">
      <w:start w:val="1"/>
      <w:numFmt w:val="lowerRoman"/>
      <w:lvlText w:val="%9."/>
      <w:lvlJc w:val="right"/>
      <w:pPr>
        <w:ind w:left="7200" w:hanging="180"/>
      </w:pPr>
    </w:lvl>
  </w:abstractNum>
  <w:num w:numId="1" w16cid:durableId="878591759">
    <w:abstractNumId w:val="91"/>
  </w:num>
  <w:num w:numId="2" w16cid:durableId="988705552">
    <w:abstractNumId w:val="86"/>
  </w:num>
  <w:num w:numId="3" w16cid:durableId="333075903">
    <w:abstractNumId w:val="83"/>
  </w:num>
  <w:num w:numId="4" w16cid:durableId="1559703190">
    <w:abstractNumId w:val="117"/>
  </w:num>
  <w:num w:numId="5" w16cid:durableId="892547126">
    <w:abstractNumId w:val="59"/>
  </w:num>
  <w:num w:numId="6" w16cid:durableId="1887178393">
    <w:abstractNumId w:val="66"/>
  </w:num>
  <w:num w:numId="7" w16cid:durableId="601302302">
    <w:abstractNumId w:val="137"/>
  </w:num>
  <w:num w:numId="8" w16cid:durableId="336272786">
    <w:abstractNumId w:val="127"/>
  </w:num>
  <w:num w:numId="9" w16cid:durableId="1392313923">
    <w:abstractNumId w:val="158"/>
  </w:num>
  <w:num w:numId="10" w16cid:durableId="2045059033">
    <w:abstractNumId w:val="45"/>
  </w:num>
  <w:num w:numId="11" w16cid:durableId="2022469192">
    <w:abstractNumId w:val="81"/>
  </w:num>
  <w:num w:numId="12" w16cid:durableId="462120933">
    <w:abstractNumId w:val="154"/>
  </w:num>
  <w:num w:numId="13" w16cid:durableId="1510173913">
    <w:abstractNumId w:val="38"/>
  </w:num>
  <w:num w:numId="14" w16cid:durableId="1503273120">
    <w:abstractNumId w:val="92"/>
  </w:num>
  <w:num w:numId="15" w16cid:durableId="8871489">
    <w:abstractNumId w:val="161"/>
  </w:num>
  <w:num w:numId="16" w16cid:durableId="241839946">
    <w:abstractNumId w:val="124"/>
  </w:num>
  <w:num w:numId="17" w16cid:durableId="2014338221">
    <w:abstractNumId w:val="39"/>
  </w:num>
  <w:num w:numId="18" w16cid:durableId="964972380">
    <w:abstractNumId w:val="82"/>
  </w:num>
  <w:num w:numId="19" w16cid:durableId="1095633236">
    <w:abstractNumId w:val="162"/>
  </w:num>
  <w:num w:numId="20" w16cid:durableId="1636332268">
    <w:abstractNumId w:val="48"/>
  </w:num>
  <w:num w:numId="21" w16cid:durableId="525558622">
    <w:abstractNumId w:val="78"/>
  </w:num>
  <w:num w:numId="22" w16cid:durableId="2016106648">
    <w:abstractNumId w:val="44"/>
  </w:num>
  <w:num w:numId="23" w16cid:durableId="1527675546">
    <w:abstractNumId w:val="132"/>
  </w:num>
  <w:num w:numId="24" w16cid:durableId="1369911212">
    <w:abstractNumId w:val="140"/>
  </w:num>
  <w:num w:numId="25" w16cid:durableId="1579316795">
    <w:abstractNumId w:val="84"/>
  </w:num>
  <w:num w:numId="26" w16cid:durableId="176775593">
    <w:abstractNumId w:val="131"/>
  </w:num>
  <w:num w:numId="27" w16cid:durableId="2117600942">
    <w:abstractNumId w:val="60"/>
  </w:num>
  <w:num w:numId="28" w16cid:durableId="99420142">
    <w:abstractNumId w:val="89"/>
  </w:num>
  <w:num w:numId="29" w16cid:durableId="2091350335">
    <w:abstractNumId w:val="103"/>
  </w:num>
  <w:num w:numId="30" w16cid:durableId="193736377">
    <w:abstractNumId w:val="156"/>
  </w:num>
  <w:num w:numId="31" w16cid:durableId="1472212368">
    <w:abstractNumId w:val="113"/>
  </w:num>
  <w:num w:numId="32" w16cid:durableId="126827270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45295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891018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52991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83319327">
    <w:abstractNumId w:val="113"/>
  </w:num>
  <w:num w:numId="37" w16cid:durableId="82774628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40674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687702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475814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857007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2308105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42357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8825558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8444889">
    <w:abstractNumId w:val="56"/>
  </w:num>
  <w:num w:numId="46" w16cid:durableId="468478408">
    <w:abstractNumId w:val="136"/>
  </w:num>
  <w:num w:numId="47" w16cid:durableId="1755777546">
    <w:abstractNumId w:val="71"/>
  </w:num>
  <w:num w:numId="48" w16cid:durableId="480660859">
    <w:abstractNumId w:val="64"/>
  </w:num>
  <w:num w:numId="49" w16cid:durableId="1596554752">
    <w:abstractNumId w:val="51"/>
  </w:num>
  <w:num w:numId="50" w16cid:durableId="2098474765">
    <w:abstractNumId w:val="179"/>
  </w:num>
  <w:num w:numId="51" w16cid:durableId="939143546">
    <w:abstractNumId w:val="110"/>
  </w:num>
  <w:num w:numId="52" w16cid:durableId="639387569">
    <w:abstractNumId w:val="104"/>
  </w:num>
  <w:num w:numId="53" w16cid:durableId="198208488">
    <w:abstractNumId w:val="93"/>
  </w:num>
  <w:num w:numId="54" w16cid:durableId="835877755">
    <w:abstractNumId w:val="96"/>
  </w:num>
  <w:num w:numId="55" w16cid:durableId="384640448">
    <w:abstractNumId w:val="88"/>
  </w:num>
  <w:num w:numId="56" w16cid:durableId="407461585">
    <w:abstractNumId w:val="97"/>
  </w:num>
  <w:num w:numId="57" w16cid:durableId="651183109">
    <w:abstractNumId w:val="134"/>
  </w:num>
  <w:num w:numId="58" w16cid:durableId="903369061">
    <w:abstractNumId w:val="128"/>
  </w:num>
  <w:num w:numId="59" w16cid:durableId="1830712359">
    <w:abstractNumId w:val="116"/>
  </w:num>
  <w:num w:numId="60" w16cid:durableId="1425569430">
    <w:abstractNumId w:val="143"/>
  </w:num>
  <w:num w:numId="61" w16cid:durableId="1391075414">
    <w:abstractNumId w:val="133"/>
  </w:num>
  <w:num w:numId="62" w16cid:durableId="858591216">
    <w:abstractNumId w:val="77"/>
  </w:num>
  <w:num w:numId="63" w16cid:durableId="119763686">
    <w:abstractNumId w:val="100"/>
  </w:num>
  <w:num w:numId="64" w16cid:durableId="2101221528">
    <w:abstractNumId w:val="76"/>
  </w:num>
  <w:num w:numId="65" w16cid:durableId="56242493">
    <w:abstractNumId w:val="121"/>
  </w:num>
  <w:num w:numId="66" w16cid:durableId="625507569">
    <w:abstractNumId w:val="164"/>
  </w:num>
  <w:num w:numId="67" w16cid:durableId="1432433418">
    <w:abstractNumId w:val="53"/>
  </w:num>
  <w:num w:numId="68" w16cid:durableId="466817890">
    <w:abstractNumId w:val="147"/>
  </w:num>
  <w:num w:numId="69" w16cid:durableId="1771002616">
    <w:abstractNumId w:val="95"/>
  </w:num>
  <w:num w:numId="70" w16cid:durableId="1499878594">
    <w:abstractNumId w:val="55"/>
  </w:num>
  <w:num w:numId="71" w16cid:durableId="740491675">
    <w:abstractNumId w:val="138"/>
  </w:num>
  <w:num w:numId="72" w16cid:durableId="1496459943">
    <w:abstractNumId w:val="151"/>
  </w:num>
  <w:num w:numId="73" w16cid:durableId="881408277">
    <w:abstractNumId w:val="0"/>
  </w:num>
  <w:num w:numId="74" w16cid:durableId="158082146">
    <w:abstractNumId w:val="8"/>
  </w:num>
  <w:num w:numId="75" w16cid:durableId="1901089165">
    <w:abstractNumId w:val="14"/>
  </w:num>
  <w:num w:numId="76" w16cid:durableId="1364868479">
    <w:abstractNumId w:val="27"/>
  </w:num>
  <w:num w:numId="77" w16cid:durableId="979966815">
    <w:abstractNumId w:val="33"/>
  </w:num>
  <w:num w:numId="78" w16cid:durableId="412974694">
    <w:abstractNumId w:val="126"/>
  </w:num>
  <w:num w:numId="79" w16cid:durableId="1278681500">
    <w:abstractNumId w:val="114"/>
  </w:num>
  <w:num w:numId="80" w16cid:durableId="1681469882">
    <w:abstractNumId w:val="170"/>
  </w:num>
  <w:num w:numId="81" w16cid:durableId="517501820">
    <w:abstractNumId w:val="10"/>
  </w:num>
  <w:num w:numId="82" w16cid:durableId="2014524903">
    <w:abstractNumId w:val="12"/>
  </w:num>
  <w:num w:numId="83" w16cid:durableId="1578594242">
    <w:abstractNumId w:val="17"/>
  </w:num>
  <w:num w:numId="84" w16cid:durableId="440761155">
    <w:abstractNumId w:val="20"/>
  </w:num>
  <w:num w:numId="85" w16cid:durableId="1312057195">
    <w:abstractNumId w:val="22"/>
  </w:num>
  <w:num w:numId="86" w16cid:durableId="100733914">
    <w:abstractNumId w:val="26"/>
  </w:num>
  <w:num w:numId="87" w16cid:durableId="278611655">
    <w:abstractNumId w:val="29"/>
  </w:num>
  <w:num w:numId="88" w16cid:durableId="2119637617">
    <w:abstractNumId w:val="30"/>
  </w:num>
  <w:num w:numId="89" w16cid:durableId="1143890275">
    <w:abstractNumId w:val="31"/>
  </w:num>
  <w:num w:numId="90" w16cid:durableId="718360372">
    <w:abstractNumId w:val="183"/>
  </w:num>
  <w:num w:numId="91" w16cid:durableId="54817389">
    <w:abstractNumId w:val="178"/>
  </w:num>
  <w:num w:numId="92" w16cid:durableId="2097360942">
    <w:abstractNumId w:val="190"/>
  </w:num>
  <w:num w:numId="93" w16cid:durableId="830951158">
    <w:abstractNumId w:val="120"/>
  </w:num>
  <w:num w:numId="94" w16cid:durableId="420101549">
    <w:abstractNumId w:val="87"/>
  </w:num>
  <w:num w:numId="95" w16cid:durableId="1853033455">
    <w:abstractNumId w:val="180"/>
  </w:num>
  <w:num w:numId="96" w16cid:durableId="1337852717">
    <w:abstractNumId w:val="194"/>
  </w:num>
  <w:num w:numId="97" w16cid:durableId="1579754024">
    <w:abstractNumId w:val="171"/>
  </w:num>
  <w:num w:numId="98" w16cid:durableId="740492829">
    <w:abstractNumId w:val="49"/>
  </w:num>
  <w:num w:numId="99" w16cid:durableId="1921401842">
    <w:abstractNumId w:val="184"/>
  </w:num>
  <w:num w:numId="100" w16cid:durableId="1448352704">
    <w:abstractNumId w:val="40"/>
  </w:num>
  <w:num w:numId="101" w16cid:durableId="392126378">
    <w:abstractNumId w:val="108"/>
  </w:num>
  <w:num w:numId="102" w16cid:durableId="1818373281">
    <w:abstractNumId w:val="67"/>
  </w:num>
  <w:num w:numId="103" w16cid:durableId="1093163951">
    <w:abstractNumId w:val="61"/>
  </w:num>
  <w:num w:numId="104" w16cid:durableId="1154835884">
    <w:abstractNumId w:val="189"/>
  </w:num>
  <w:num w:numId="105" w16cid:durableId="819540883">
    <w:abstractNumId w:val="41"/>
  </w:num>
  <w:num w:numId="106" w16cid:durableId="148399589">
    <w:abstractNumId w:val="195"/>
  </w:num>
  <w:num w:numId="107" w16cid:durableId="1337268566">
    <w:abstractNumId w:val="47"/>
  </w:num>
  <w:num w:numId="108" w16cid:durableId="1745368791">
    <w:abstractNumId w:val="1"/>
  </w:num>
  <w:num w:numId="109" w16cid:durableId="1236355671">
    <w:abstractNumId w:val="2"/>
  </w:num>
  <w:num w:numId="110" w16cid:durableId="1506432358">
    <w:abstractNumId w:val="3"/>
  </w:num>
  <w:num w:numId="111" w16cid:durableId="2135827782">
    <w:abstractNumId w:val="4"/>
  </w:num>
  <w:num w:numId="112" w16cid:durableId="1474323231">
    <w:abstractNumId w:val="5"/>
  </w:num>
  <w:num w:numId="113" w16cid:durableId="1433938969">
    <w:abstractNumId w:val="6"/>
  </w:num>
  <w:num w:numId="114" w16cid:durableId="1791893445">
    <w:abstractNumId w:val="7"/>
  </w:num>
  <w:num w:numId="115" w16cid:durableId="1551765633">
    <w:abstractNumId w:val="11"/>
  </w:num>
  <w:num w:numId="116" w16cid:durableId="2057387831">
    <w:abstractNumId w:val="13"/>
  </w:num>
  <w:num w:numId="117" w16cid:durableId="48461736">
    <w:abstractNumId w:val="15"/>
  </w:num>
  <w:num w:numId="118" w16cid:durableId="612321920">
    <w:abstractNumId w:val="16"/>
  </w:num>
  <w:num w:numId="119" w16cid:durableId="369231155">
    <w:abstractNumId w:val="19"/>
  </w:num>
  <w:num w:numId="120" w16cid:durableId="99029037">
    <w:abstractNumId w:val="166"/>
  </w:num>
  <w:num w:numId="121" w16cid:durableId="905074264">
    <w:abstractNumId w:val="123"/>
  </w:num>
  <w:num w:numId="122" w16cid:durableId="108208571">
    <w:abstractNumId w:val="148"/>
  </w:num>
  <w:num w:numId="123" w16cid:durableId="1456557868">
    <w:abstractNumId w:val="63"/>
  </w:num>
  <w:num w:numId="124" w16cid:durableId="1331254221">
    <w:abstractNumId w:val="168"/>
  </w:num>
  <w:num w:numId="125" w16cid:durableId="706881613">
    <w:abstractNumId w:val="79"/>
  </w:num>
  <w:num w:numId="126" w16cid:durableId="899442213">
    <w:abstractNumId w:val="122"/>
  </w:num>
  <w:num w:numId="127" w16cid:durableId="828205256">
    <w:abstractNumId w:val="9"/>
  </w:num>
  <w:num w:numId="128" w16cid:durableId="1188906447">
    <w:abstractNumId w:val="18"/>
  </w:num>
  <w:num w:numId="129" w16cid:durableId="1616596274">
    <w:abstractNumId w:val="23"/>
  </w:num>
  <w:num w:numId="130" w16cid:durableId="1821187657">
    <w:abstractNumId w:val="24"/>
  </w:num>
  <w:num w:numId="131" w16cid:durableId="949358054">
    <w:abstractNumId w:val="25"/>
  </w:num>
  <w:num w:numId="132" w16cid:durableId="352845830">
    <w:abstractNumId w:val="28"/>
  </w:num>
  <w:num w:numId="133" w16cid:durableId="2144156567">
    <w:abstractNumId w:val="32"/>
  </w:num>
  <w:num w:numId="134" w16cid:durableId="777605376">
    <w:abstractNumId w:val="34"/>
  </w:num>
  <w:num w:numId="135" w16cid:durableId="138961187">
    <w:abstractNumId w:val="159"/>
  </w:num>
  <w:num w:numId="136" w16cid:durableId="2111465969">
    <w:abstractNumId w:val="165"/>
  </w:num>
  <w:num w:numId="137" w16cid:durableId="1707097583">
    <w:abstractNumId w:val="105"/>
  </w:num>
  <w:num w:numId="138" w16cid:durableId="1386367066">
    <w:abstractNumId w:val="118"/>
  </w:num>
  <w:num w:numId="139" w16cid:durableId="1614049579">
    <w:abstractNumId w:val="146"/>
  </w:num>
  <w:num w:numId="140" w16cid:durableId="1815566561">
    <w:abstractNumId w:val="169"/>
  </w:num>
  <w:num w:numId="141" w16cid:durableId="2043822855">
    <w:abstractNumId w:val="69"/>
  </w:num>
  <w:num w:numId="142" w16cid:durableId="652610021">
    <w:abstractNumId w:val="57"/>
  </w:num>
  <w:num w:numId="143" w16cid:durableId="581567813">
    <w:abstractNumId w:val="196"/>
  </w:num>
  <w:num w:numId="144" w16cid:durableId="88428622">
    <w:abstractNumId w:val="94"/>
  </w:num>
  <w:num w:numId="145" w16cid:durableId="1750543771">
    <w:abstractNumId w:val="155"/>
  </w:num>
  <w:num w:numId="146" w16cid:durableId="1113213267">
    <w:abstractNumId w:val="52"/>
  </w:num>
  <w:num w:numId="147" w16cid:durableId="1143504742">
    <w:abstractNumId w:val="153"/>
  </w:num>
  <w:num w:numId="148" w16cid:durableId="421295851">
    <w:abstractNumId w:val="21"/>
  </w:num>
  <w:num w:numId="149" w16cid:durableId="734088616">
    <w:abstractNumId w:val="102"/>
  </w:num>
  <w:num w:numId="150" w16cid:durableId="448201579">
    <w:abstractNumId w:val="185"/>
  </w:num>
  <w:num w:numId="151" w16cid:durableId="993295575">
    <w:abstractNumId w:val="173"/>
  </w:num>
  <w:num w:numId="152" w16cid:durableId="1082531419">
    <w:abstractNumId w:val="111"/>
  </w:num>
  <w:num w:numId="153" w16cid:durableId="1128931172">
    <w:abstractNumId w:val="167"/>
  </w:num>
  <w:num w:numId="154" w16cid:durableId="1246761315">
    <w:abstractNumId w:val="149"/>
  </w:num>
  <w:num w:numId="155" w16cid:durableId="460730250">
    <w:abstractNumId w:val="42"/>
  </w:num>
  <w:num w:numId="156" w16cid:durableId="749156990">
    <w:abstractNumId w:val="130"/>
  </w:num>
  <w:num w:numId="157" w16cid:durableId="301694199">
    <w:abstractNumId w:val="157"/>
  </w:num>
  <w:num w:numId="158" w16cid:durableId="942880383">
    <w:abstractNumId w:val="65"/>
  </w:num>
  <w:num w:numId="159" w16cid:durableId="1734620416">
    <w:abstractNumId w:val="177"/>
  </w:num>
  <w:num w:numId="160" w16cid:durableId="15274795">
    <w:abstractNumId w:val="90"/>
  </w:num>
  <w:num w:numId="161" w16cid:durableId="1789352316">
    <w:abstractNumId w:val="112"/>
  </w:num>
  <w:num w:numId="162" w16cid:durableId="1725366854">
    <w:abstractNumId w:val="98"/>
  </w:num>
  <w:num w:numId="163" w16cid:durableId="716246491">
    <w:abstractNumId w:val="50"/>
  </w:num>
  <w:num w:numId="164" w16cid:durableId="1082416044">
    <w:abstractNumId w:val="188"/>
  </w:num>
  <w:num w:numId="165" w16cid:durableId="2103991537">
    <w:abstractNumId w:val="36"/>
  </w:num>
  <w:num w:numId="166" w16cid:durableId="71583866">
    <w:abstractNumId w:val="85"/>
  </w:num>
  <w:num w:numId="167" w16cid:durableId="77796618">
    <w:abstractNumId w:val="70"/>
  </w:num>
  <w:num w:numId="168" w16cid:durableId="1472290655">
    <w:abstractNumId w:val="174"/>
  </w:num>
  <w:num w:numId="169" w16cid:durableId="348025276">
    <w:abstractNumId w:val="187"/>
  </w:num>
  <w:num w:numId="170" w16cid:durableId="1956592566">
    <w:abstractNumId w:val="75"/>
  </w:num>
  <w:num w:numId="171" w16cid:durableId="2057847601">
    <w:abstractNumId w:val="129"/>
  </w:num>
  <w:num w:numId="172" w16cid:durableId="1449398880">
    <w:abstractNumId w:val="62"/>
  </w:num>
  <w:num w:numId="173" w16cid:durableId="1816603097">
    <w:abstractNumId w:val="141"/>
  </w:num>
  <w:num w:numId="174" w16cid:durableId="407000414">
    <w:abstractNumId w:val="182"/>
  </w:num>
  <w:num w:numId="175" w16cid:durableId="1861236789">
    <w:abstractNumId w:val="74"/>
  </w:num>
  <w:num w:numId="176" w16cid:durableId="2109429152">
    <w:abstractNumId w:val="193"/>
  </w:num>
  <w:num w:numId="177" w16cid:durableId="444080898">
    <w:abstractNumId w:val="106"/>
  </w:num>
  <w:num w:numId="178" w16cid:durableId="1059668909">
    <w:abstractNumId w:val="172"/>
  </w:num>
  <w:num w:numId="179" w16cid:durableId="1746605842">
    <w:abstractNumId w:val="80"/>
  </w:num>
  <w:num w:numId="180" w16cid:durableId="1705708875">
    <w:abstractNumId w:val="115"/>
  </w:num>
  <w:num w:numId="181" w16cid:durableId="97068108">
    <w:abstractNumId w:val="160"/>
  </w:num>
  <w:num w:numId="182" w16cid:durableId="976029444">
    <w:abstractNumId w:val="152"/>
  </w:num>
  <w:num w:numId="183" w16cid:durableId="1732970454">
    <w:abstractNumId w:val="181"/>
  </w:num>
  <w:num w:numId="184" w16cid:durableId="1375933202">
    <w:abstractNumId w:val="144"/>
  </w:num>
  <w:num w:numId="185" w16cid:durableId="1165442133">
    <w:abstractNumId w:val="46"/>
  </w:num>
  <w:num w:numId="186" w16cid:durableId="1532037350">
    <w:abstractNumId w:val="107"/>
  </w:num>
  <w:num w:numId="187" w16cid:durableId="467556663">
    <w:abstractNumId w:val="163"/>
    <w:lvlOverride w:ilvl="0">
      <w:lvl w:ilvl="0">
        <w:numFmt w:val="lowerLetter"/>
        <w:lvlText w:val="%1."/>
        <w:lvlJc w:val="left"/>
      </w:lvl>
    </w:lvlOverride>
  </w:num>
  <w:num w:numId="188" w16cid:durableId="1052539267">
    <w:abstractNumId w:val="163"/>
    <w:lvlOverride w:ilvl="0">
      <w:lvl w:ilvl="0">
        <w:numFmt w:val="lowerLetter"/>
        <w:lvlText w:val="%1."/>
        <w:lvlJc w:val="left"/>
      </w:lvl>
    </w:lvlOverride>
  </w:num>
  <w:num w:numId="189" w16cid:durableId="1582105139">
    <w:abstractNumId w:val="163"/>
    <w:lvlOverride w:ilvl="0">
      <w:lvl w:ilvl="0">
        <w:numFmt w:val="lowerLetter"/>
        <w:lvlText w:val="%1."/>
        <w:lvlJc w:val="left"/>
      </w:lvl>
    </w:lvlOverride>
  </w:num>
  <w:num w:numId="190" w16cid:durableId="701592070">
    <w:abstractNumId w:val="139"/>
  </w:num>
  <w:num w:numId="191" w16cid:durableId="1111389256">
    <w:abstractNumId w:val="99"/>
  </w:num>
  <w:num w:numId="192" w16cid:durableId="738671725">
    <w:abstractNumId w:val="191"/>
  </w:num>
  <w:num w:numId="193" w16cid:durableId="1899975960">
    <w:abstractNumId w:val="35"/>
  </w:num>
  <w:num w:numId="194" w16cid:durableId="1438330538">
    <w:abstractNumId w:val="101"/>
  </w:num>
  <w:num w:numId="195" w16cid:durableId="1018504334">
    <w:abstractNumId w:val="192"/>
  </w:num>
  <w:num w:numId="196" w16cid:durableId="467163155">
    <w:abstractNumId w:val="145"/>
  </w:num>
  <w:num w:numId="197" w16cid:durableId="401148490">
    <w:abstractNumId w:val="68"/>
  </w:num>
  <w:num w:numId="198" w16cid:durableId="2009744254">
    <w:abstractNumId w:val="119"/>
  </w:num>
  <w:num w:numId="199" w16cid:durableId="350883918">
    <w:abstractNumId w:val="109"/>
  </w:num>
  <w:num w:numId="200" w16cid:durableId="2083983755">
    <w:abstractNumId w:val="43"/>
  </w:num>
  <w:num w:numId="201" w16cid:durableId="982199542">
    <w:abstractNumId w:val="176"/>
  </w:num>
  <w:num w:numId="202" w16cid:durableId="1453597573">
    <w:abstractNumId w:val="175"/>
  </w:num>
  <w:num w:numId="203" w16cid:durableId="349993265">
    <w:abstractNumId w:val="135"/>
  </w:num>
  <w:num w:numId="204" w16cid:durableId="1918443610">
    <w:abstractNumId w:val="186"/>
  </w:num>
  <w:num w:numId="205" w16cid:durableId="1754741305">
    <w:abstractNumId w:val="142"/>
  </w:num>
  <w:num w:numId="206" w16cid:durableId="910774806">
    <w:abstractNumId w:val="125"/>
  </w:num>
  <w:num w:numId="207" w16cid:durableId="194975381">
    <w:abstractNumId w:val="72"/>
  </w:num>
  <w:num w:numId="208" w16cid:durableId="199367060">
    <w:abstractNumId w:val="37"/>
  </w:num>
  <w:num w:numId="209" w16cid:durableId="65614141">
    <w:abstractNumId w:val="58"/>
  </w:num>
  <w:num w:numId="210" w16cid:durableId="781724458">
    <w:abstractNumId w:val="73"/>
  </w:num>
  <w:num w:numId="211" w16cid:durableId="1270433857">
    <w:abstractNumId w:val="150"/>
  </w:num>
  <w:num w:numId="212" w16cid:durableId="804616996">
    <w:abstractNumId w:val="54"/>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7F1"/>
    <w:rsid w:val="000032A3"/>
    <w:rsid w:val="00004509"/>
    <w:rsid w:val="00013ADF"/>
    <w:rsid w:val="0002065E"/>
    <w:rsid w:val="000261E9"/>
    <w:rsid w:val="00027C3A"/>
    <w:rsid w:val="000300A3"/>
    <w:rsid w:val="00030455"/>
    <w:rsid w:val="00036328"/>
    <w:rsid w:val="00041C1D"/>
    <w:rsid w:val="00042CE7"/>
    <w:rsid w:val="00046227"/>
    <w:rsid w:val="00053454"/>
    <w:rsid w:val="00055DFC"/>
    <w:rsid w:val="00057929"/>
    <w:rsid w:val="000600B7"/>
    <w:rsid w:val="00067E26"/>
    <w:rsid w:val="00074166"/>
    <w:rsid w:val="000744FA"/>
    <w:rsid w:val="00077217"/>
    <w:rsid w:val="000838A0"/>
    <w:rsid w:val="00087A5B"/>
    <w:rsid w:val="00093CAC"/>
    <w:rsid w:val="00097FD4"/>
    <w:rsid w:val="000A1D52"/>
    <w:rsid w:val="000A1D69"/>
    <w:rsid w:val="000A5EB6"/>
    <w:rsid w:val="000B136A"/>
    <w:rsid w:val="000B3539"/>
    <w:rsid w:val="000B4E98"/>
    <w:rsid w:val="000B5C01"/>
    <w:rsid w:val="000B7FBC"/>
    <w:rsid w:val="000C6AE0"/>
    <w:rsid w:val="000D0CA4"/>
    <w:rsid w:val="000D5E95"/>
    <w:rsid w:val="000E54B1"/>
    <w:rsid w:val="000E6C94"/>
    <w:rsid w:val="000E788E"/>
    <w:rsid w:val="000F3DF4"/>
    <w:rsid w:val="000F4699"/>
    <w:rsid w:val="000F7FB2"/>
    <w:rsid w:val="00102E7E"/>
    <w:rsid w:val="00105D3B"/>
    <w:rsid w:val="00110C63"/>
    <w:rsid w:val="0012204C"/>
    <w:rsid w:val="001258C3"/>
    <w:rsid w:val="00127747"/>
    <w:rsid w:val="00130492"/>
    <w:rsid w:val="00130B72"/>
    <w:rsid w:val="00131D72"/>
    <w:rsid w:val="00143BE7"/>
    <w:rsid w:val="00145EE7"/>
    <w:rsid w:val="0016134B"/>
    <w:rsid w:val="0016206C"/>
    <w:rsid w:val="00165EA8"/>
    <w:rsid w:val="00166782"/>
    <w:rsid w:val="0016745D"/>
    <w:rsid w:val="001733BA"/>
    <w:rsid w:val="001736A6"/>
    <w:rsid w:val="00173B9C"/>
    <w:rsid w:val="001914DB"/>
    <w:rsid w:val="00193F4F"/>
    <w:rsid w:val="001974C4"/>
    <w:rsid w:val="001A0383"/>
    <w:rsid w:val="001A13A2"/>
    <w:rsid w:val="001A3D09"/>
    <w:rsid w:val="001A5F95"/>
    <w:rsid w:val="001A6FD8"/>
    <w:rsid w:val="001B4E2F"/>
    <w:rsid w:val="001B6F37"/>
    <w:rsid w:val="001C1F4A"/>
    <w:rsid w:val="001C1FA8"/>
    <w:rsid w:val="001D1EDA"/>
    <w:rsid w:val="001D70D8"/>
    <w:rsid w:val="001D7A0D"/>
    <w:rsid w:val="001E105C"/>
    <w:rsid w:val="001E2390"/>
    <w:rsid w:val="001E563F"/>
    <w:rsid w:val="001F3010"/>
    <w:rsid w:val="001F3A98"/>
    <w:rsid w:val="001F528C"/>
    <w:rsid w:val="001F5E8A"/>
    <w:rsid w:val="001F73EE"/>
    <w:rsid w:val="00202756"/>
    <w:rsid w:val="00210A66"/>
    <w:rsid w:val="00212308"/>
    <w:rsid w:val="00212967"/>
    <w:rsid w:val="00212AEA"/>
    <w:rsid w:val="00212C96"/>
    <w:rsid w:val="0021588B"/>
    <w:rsid w:val="00216133"/>
    <w:rsid w:val="00217043"/>
    <w:rsid w:val="00217354"/>
    <w:rsid w:val="00217BCB"/>
    <w:rsid w:val="00224513"/>
    <w:rsid w:val="002306B6"/>
    <w:rsid w:val="00230ED0"/>
    <w:rsid w:val="00232FC0"/>
    <w:rsid w:val="00233CF7"/>
    <w:rsid w:val="002350EC"/>
    <w:rsid w:val="0024098D"/>
    <w:rsid w:val="00243F6A"/>
    <w:rsid w:val="00251A5F"/>
    <w:rsid w:val="0025242A"/>
    <w:rsid w:val="00256587"/>
    <w:rsid w:val="00257594"/>
    <w:rsid w:val="00261421"/>
    <w:rsid w:val="00261FE5"/>
    <w:rsid w:val="00262460"/>
    <w:rsid w:val="002632AF"/>
    <w:rsid w:val="002653FC"/>
    <w:rsid w:val="002659DC"/>
    <w:rsid w:val="002674E2"/>
    <w:rsid w:val="0027664C"/>
    <w:rsid w:val="00276D2F"/>
    <w:rsid w:val="00287502"/>
    <w:rsid w:val="00287F1D"/>
    <w:rsid w:val="002A1A2C"/>
    <w:rsid w:val="002A2989"/>
    <w:rsid w:val="002A3EE4"/>
    <w:rsid w:val="002A4F36"/>
    <w:rsid w:val="002A6248"/>
    <w:rsid w:val="002A6C4B"/>
    <w:rsid w:val="002A72E6"/>
    <w:rsid w:val="002B0336"/>
    <w:rsid w:val="002B191C"/>
    <w:rsid w:val="002B5D6B"/>
    <w:rsid w:val="002B624C"/>
    <w:rsid w:val="002C01FB"/>
    <w:rsid w:val="002C397D"/>
    <w:rsid w:val="002D3A13"/>
    <w:rsid w:val="002D4698"/>
    <w:rsid w:val="002D6A29"/>
    <w:rsid w:val="002E135D"/>
    <w:rsid w:val="002E5A29"/>
    <w:rsid w:val="002E5F15"/>
    <w:rsid w:val="002F0265"/>
    <w:rsid w:val="002F0B96"/>
    <w:rsid w:val="003027C1"/>
    <w:rsid w:val="0030311B"/>
    <w:rsid w:val="0030358C"/>
    <w:rsid w:val="003039CD"/>
    <w:rsid w:val="003109C8"/>
    <w:rsid w:val="00311568"/>
    <w:rsid w:val="003133F6"/>
    <w:rsid w:val="00323380"/>
    <w:rsid w:val="00331797"/>
    <w:rsid w:val="00336E64"/>
    <w:rsid w:val="00340098"/>
    <w:rsid w:val="00340873"/>
    <w:rsid w:val="00342634"/>
    <w:rsid w:val="00347496"/>
    <w:rsid w:val="0035063A"/>
    <w:rsid w:val="00350EDF"/>
    <w:rsid w:val="00353D45"/>
    <w:rsid w:val="00355F17"/>
    <w:rsid w:val="00357B3E"/>
    <w:rsid w:val="00360259"/>
    <w:rsid w:val="0036745E"/>
    <w:rsid w:val="00372412"/>
    <w:rsid w:val="00374A0F"/>
    <w:rsid w:val="003811AD"/>
    <w:rsid w:val="00383009"/>
    <w:rsid w:val="0038579C"/>
    <w:rsid w:val="00390E5F"/>
    <w:rsid w:val="00392CB2"/>
    <w:rsid w:val="00397E84"/>
    <w:rsid w:val="003A1291"/>
    <w:rsid w:val="003A38B1"/>
    <w:rsid w:val="003C44CF"/>
    <w:rsid w:val="003C6D35"/>
    <w:rsid w:val="003C73C4"/>
    <w:rsid w:val="003D3FEC"/>
    <w:rsid w:val="003E45D6"/>
    <w:rsid w:val="003F3ED9"/>
    <w:rsid w:val="003F4AF6"/>
    <w:rsid w:val="003F53C4"/>
    <w:rsid w:val="003F79ED"/>
    <w:rsid w:val="0040218B"/>
    <w:rsid w:val="00405C34"/>
    <w:rsid w:val="00406070"/>
    <w:rsid w:val="00406670"/>
    <w:rsid w:val="00406770"/>
    <w:rsid w:val="00420F0E"/>
    <w:rsid w:val="00423D00"/>
    <w:rsid w:val="00424065"/>
    <w:rsid w:val="00431769"/>
    <w:rsid w:val="004367B1"/>
    <w:rsid w:val="00437F75"/>
    <w:rsid w:val="004422FA"/>
    <w:rsid w:val="00443445"/>
    <w:rsid w:val="00443C30"/>
    <w:rsid w:val="00445570"/>
    <w:rsid w:val="004518F4"/>
    <w:rsid w:val="00453325"/>
    <w:rsid w:val="00455FF3"/>
    <w:rsid w:val="0045777C"/>
    <w:rsid w:val="004615DA"/>
    <w:rsid w:val="004624E8"/>
    <w:rsid w:val="00462B81"/>
    <w:rsid w:val="00462DBE"/>
    <w:rsid w:val="00464B77"/>
    <w:rsid w:val="00465DEA"/>
    <w:rsid w:val="004911C2"/>
    <w:rsid w:val="004A46AC"/>
    <w:rsid w:val="004A7CE3"/>
    <w:rsid w:val="004B2722"/>
    <w:rsid w:val="004C0113"/>
    <w:rsid w:val="004C6E0C"/>
    <w:rsid w:val="004D23D9"/>
    <w:rsid w:val="004D7118"/>
    <w:rsid w:val="004E0CA1"/>
    <w:rsid w:val="004E25EB"/>
    <w:rsid w:val="004E5E99"/>
    <w:rsid w:val="00500F5B"/>
    <w:rsid w:val="00506E06"/>
    <w:rsid w:val="005074BE"/>
    <w:rsid w:val="005129DA"/>
    <w:rsid w:val="005254C5"/>
    <w:rsid w:val="00525DAD"/>
    <w:rsid w:val="0052793F"/>
    <w:rsid w:val="00530164"/>
    <w:rsid w:val="00533C02"/>
    <w:rsid w:val="00536324"/>
    <w:rsid w:val="00537205"/>
    <w:rsid w:val="005373C5"/>
    <w:rsid w:val="00540DFE"/>
    <w:rsid w:val="005436A9"/>
    <w:rsid w:val="00547E0C"/>
    <w:rsid w:val="005525C5"/>
    <w:rsid w:val="00556B1D"/>
    <w:rsid w:val="00557F16"/>
    <w:rsid w:val="0056103F"/>
    <w:rsid w:val="00564A73"/>
    <w:rsid w:val="00574368"/>
    <w:rsid w:val="005767A6"/>
    <w:rsid w:val="00580B00"/>
    <w:rsid w:val="005812FF"/>
    <w:rsid w:val="005821E4"/>
    <w:rsid w:val="00584217"/>
    <w:rsid w:val="0058431B"/>
    <w:rsid w:val="005864BE"/>
    <w:rsid w:val="0058795B"/>
    <w:rsid w:val="005906DC"/>
    <w:rsid w:val="005920B2"/>
    <w:rsid w:val="00593920"/>
    <w:rsid w:val="005A0C0D"/>
    <w:rsid w:val="005B189C"/>
    <w:rsid w:val="005B26C9"/>
    <w:rsid w:val="005B572C"/>
    <w:rsid w:val="005B7939"/>
    <w:rsid w:val="005C4FDF"/>
    <w:rsid w:val="005C5B66"/>
    <w:rsid w:val="005D2562"/>
    <w:rsid w:val="005D47D6"/>
    <w:rsid w:val="005D5731"/>
    <w:rsid w:val="005E2B56"/>
    <w:rsid w:val="005E4D28"/>
    <w:rsid w:val="005E5F2C"/>
    <w:rsid w:val="005F0E3F"/>
    <w:rsid w:val="005F1099"/>
    <w:rsid w:val="005F1EF3"/>
    <w:rsid w:val="00604595"/>
    <w:rsid w:val="00607AC9"/>
    <w:rsid w:val="0061529B"/>
    <w:rsid w:val="006225F8"/>
    <w:rsid w:val="00622990"/>
    <w:rsid w:val="00626AC3"/>
    <w:rsid w:val="00626B2B"/>
    <w:rsid w:val="00634A3E"/>
    <w:rsid w:val="00640F3D"/>
    <w:rsid w:val="00641F3F"/>
    <w:rsid w:val="00643664"/>
    <w:rsid w:val="006441D4"/>
    <w:rsid w:val="00644893"/>
    <w:rsid w:val="006455F4"/>
    <w:rsid w:val="00645D9A"/>
    <w:rsid w:val="00646765"/>
    <w:rsid w:val="00652B32"/>
    <w:rsid w:val="00662A89"/>
    <w:rsid w:val="0066345F"/>
    <w:rsid w:val="00666B40"/>
    <w:rsid w:val="00667B26"/>
    <w:rsid w:val="00686D4C"/>
    <w:rsid w:val="006910ED"/>
    <w:rsid w:val="00693EAD"/>
    <w:rsid w:val="006945AD"/>
    <w:rsid w:val="00696071"/>
    <w:rsid w:val="006A306D"/>
    <w:rsid w:val="006A3B91"/>
    <w:rsid w:val="006B0184"/>
    <w:rsid w:val="006B031F"/>
    <w:rsid w:val="006B0444"/>
    <w:rsid w:val="006B3727"/>
    <w:rsid w:val="006B4FFC"/>
    <w:rsid w:val="006B661F"/>
    <w:rsid w:val="006B7269"/>
    <w:rsid w:val="006C1559"/>
    <w:rsid w:val="006C26F7"/>
    <w:rsid w:val="006C7E77"/>
    <w:rsid w:val="006D00E0"/>
    <w:rsid w:val="006F1C7D"/>
    <w:rsid w:val="006F752E"/>
    <w:rsid w:val="006F7E06"/>
    <w:rsid w:val="00701CAA"/>
    <w:rsid w:val="00703645"/>
    <w:rsid w:val="00707DFB"/>
    <w:rsid w:val="00714755"/>
    <w:rsid w:val="0071498B"/>
    <w:rsid w:val="00720593"/>
    <w:rsid w:val="00731CE8"/>
    <w:rsid w:val="007323A2"/>
    <w:rsid w:val="00732453"/>
    <w:rsid w:val="00735479"/>
    <w:rsid w:val="007356FE"/>
    <w:rsid w:val="007368FC"/>
    <w:rsid w:val="00737C1F"/>
    <w:rsid w:val="007408A2"/>
    <w:rsid w:val="00742762"/>
    <w:rsid w:val="00754317"/>
    <w:rsid w:val="00757248"/>
    <w:rsid w:val="00760B1A"/>
    <w:rsid w:val="00761C8E"/>
    <w:rsid w:val="0076213E"/>
    <w:rsid w:val="0076411E"/>
    <w:rsid w:val="00764961"/>
    <w:rsid w:val="007660C1"/>
    <w:rsid w:val="007661DC"/>
    <w:rsid w:val="00766301"/>
    <w:rsid w:val="007665C1"/>
    <w:rsid w:val="007679D6"/>
    <w:rsid w:val="00773B69"/>
    <w:rsid w:val="007759DE"/>
    <w:rsid w:val="00782651"/>
    <w:rsid w:val="0078331B"/>
    <w:rsid w:val="007833FC"/>
    <w:rsid w:val="00791B38"/>
    <w:rsid w:val="007957D5"/>
    <w:rsid w:val="00797093"/>
    <w:rsid w:val="0079733F"/>
    <w:rsid w:val="007A2E4F"/>
    <w:rsid w:val="007A4042"/>
    <w:rsid w:val="007B1BE7"/>
    <w:rsid w:val="007B1C5A"/>
    <w:rsid w:val="007B2078"/>
    <w:rsid w:val="007B7F9A"/>
    <w:rsid w:val="007C060D"/>
    <w:rsid w:val="007D035D"/>
    <w:rsid w:val="007E08F9"/>
    <w:rsid w:val="007E1156"/>
    <w:rsid w:val="007E4BE6"/>
    <w:rsid w:val="007F35D1"/>
    <w:rsid w:val="007F5645"/>
    <w:rsid w:val="00800437"/>
    <w:rsid w:val="00802718"/>
    <w:rsid w:val="008138F9"/>
    <w:rsid w:val="008150D5"/>
    <w:rsid w:val="0081536E"/>
    <w:rsid w:val="008219F4"/>
    <w:rsid w:val="0082478D"/>
    <w:rsid w:val="00824A32"/>
    <w:rsid w:val="008379C0"/>
    <w:rsid w:val="00841653"/>
    <w:rsid w:val="008444E7"/>
    <w:rsid w:val="008479EA"/>
    <w:rsid w:val="0085356D"/>
    <w:rsid w:val="008541C3"/>
    <w:rsid w:val="008545D6"/>
    <w:rsid w:val="00864C88"/>
    <w:rsid w:val="008652BD"/>
    <w:rsid w:val="00872860"/>
    <w:rsid w:val="00877E83"/>
    <w:rsid w:val="0088102E"/>
    <w:rsid w:val="008834DE"/>
    <w:rsid w:val="00886371"/>
    <w:rsid w:val="00886AD4"/>
    <w:rsid w:val="0089181B"/>
    <w:rsid w:val="0089733B"/>
    <w:rsid w:val="008A1A8A"/>
    <w:rsid w:val="008A61DD"/>
    <w:rsid w:val="008B1857"/>
    <w:rsid w:val="008B7C5E"/>
    <w:rsid w:val="008C05FB"/>
    <w:rsid w:val="008C098F"/>
    <w:rsid w:val="008C781B"/>
    <w:rsid w:val="008D0B35"/>
    <w:rsid w:val="008D4911"/>
    <w:rsid w:val="008D78CC"/>
    <w:rsid w:val="008F0377"/>
    <w:rsid w:val="008F4116"/>
    <w:rsid w:val="008F52C8"/>
    <w:rsid w:val="008F7575"/>
    <w:rsid w:val="0090612B"/>
    <w:rsid w:val="00910923"/>
    <w:rsid w:val="00911BD3"/>
    <w:rsid w:val="00914BA9"/>
    <w:rsid w:val="00915748"/>
    <w:rsid w:val="00924962"/>
    <w:rsid w:val="00926B84"/>
    <w:rsid w:val="00927F77"/>
    <w:rsid w:val="00934B8A"/>
    <w:rsid w:val="00937FF4"/>
    <w:rsid w:val="00942FE1"/>
    <w:rsid w:val="00943195"/>
    <w:rsid w:val="00943AAE"/>
    <w:rsid w:val="00945977"/>
    <w:rsid w:val="009502E8"/>
    <w:rsid w:val="00954E3C"/>
    <w:rsid w:val="00957274"/>
    <w:rsid w:val="009617CA"/>
    <w:rsid w:val="00967266"/>
    <w:rsid w:val="009709AF"/>
    <w:rsid w:val="00981C48"/>
    <w:rsid w:val="009955C5"/>
    <w:rsid w:val="009957B0"/>
    <w:rsid w:val="009972D7"/>
    <w:rsid w:val="009A03B8"/>
    <w:rsid w:val="009A4165"/>
    <w:rsid w:val="009A7299"/>
    <w:rsid w:val="009B4BE8"/>
    <w:rsid w:val="009B7135"/>
    <w:rsid w:val="009C3BAF"/>
    <w:rsid w:val="009C3CBD"/>
    <w:rsid w:val="009D075B"/>
    <w:rsid w:val="009D1325"/>
    <w:rsid w:val="009D30D8"/>
    <w:rsid w:val="009D3FD9"/>
    <w:rsid w:val="009E4D57"/>
    <w:rsid w:val="009F1447"/>
    <w:rsid w:val="009F659A"/>
    <w:rsid w:val="00A00097"/>
    <w:rsid w:val="00A03343"/>
    <w:rsid w:val="00A03EBE"/>
    <w:rsid w:val="00A10646"/>
    <w:rsid w:val="00A115F0"/>
    <w:rsid w:val="00A13C04"/>
    <w:rsid w:val="00A16063"/>
    <w:rsid w:val="00A16943"/>
    <w:rsid w:val="00A20CED"/>
    <w:rsid w:val="00A22AE1"/>
    <w:rsid w:val="00A22E30"/>
    <w:rsid w:val="00A230E7"/>
    <w:rsid w:val="00A23E75"/>
    <w:rsid w:val="00A25699"/>
    <w:rsid w:val="00A3243D"/>
    <w:rsid w:val="00A328C3"/>
    <w:rsid w:val="00A3290F"/>
    <w:rsid w:val="00A41CBB"/>
    <w:rsid w:val="00A47978"/>
    <w:rsid w:val="00A50DC9"/>
    <w:rsid w:val="00A517F0"/>
    <w:rsid w:val="00A57227"/>
    <w:rsid w:val="00A6046F"/>
    <w:rsid w:val="00A63993"/>
    <w:rsid w:val="00A64F29"/>
    <w:rsid w:val="00A65E70"/>
    <w:rsid w:val="00A6748E"/>
    <w:rsid w:val="00A712ED"/>
    <w:rsid w:val="00A73B92"/>
    <w:rsid w:val="00A7555C"/>
    <w:rsid w:val="00A7690B"/>
    <w:rsid w:val="00A77B3E"/>
    <w:rsid w:val="00A77F9C"/>
    <w:rsid w:val="00A808A4"/>
    <w:rsid w:val="00A80A65"/>
    <w:rsid w:val="00A81837"/>
    <w:rsid w:val="00A822B4"/>
    <w:rsid w:val="00AA61FE"/>
    <w:rsid w:val="00AB6A49"/>
    <w:rsid w:val="00AB6A8B"/>
    <w:rsid w:val="00AC0EFC"/>
    <w:rsid w:val="00AC203C"/>
    <w:rsid w:val="00AC25BB"/>
    <w:rsid w:val="00AC4BA5"/>
    <w:rsid w:val="00AC51E4"/>
    <w:rsid w:val="00AC544B"/>
    <w:rsid w:val="00AC6692"/>
    <w:rsid w:val="00AD5854"/>
    <w:rsid w:val="00AD5F5A"/>
    <w:rsid w:val="00AF3BAA"/>
    <w:rsid w:val="00AF48FD"/>
    <w:rsid w:val="00B01C33"/>
    <w:rsid w:val="00B06686"/>
    <w:rsid w:val="00B12D42"/>
    <w:rsid w:val="00B12FE3"/>
    <w:rsid w:val="00B1327B"/>
    <w:rsid w:val="00B15037"/>
    <w:rsid w:val="00B16872"/>
    <w:rsid w:val="00B16C0B"/>
    <w:rsid w:val="00B177F3"/>
    <w:rsid w:val="00B2096E"/>
    <w:rsid w:val="00B24592"/>
    <w:rsid w:val="00B314E4"/>
    <w:rsid w:val="00B34669"/>
    <w:rsid w:val="00B4223D"/>
    <w:rsid w:val="00B42552"/>
    <w:rsid w:val="00B43168"/>
    <w:rsid w:val="00B5345B"/>
    <w:rsid w:val="00B53C6E"/>
    <w:rsid w:val="00B623A4"/>
    <w:rsid w:val="00B6284A"/>
    <w:rsid w:val="00B64982"/>
    <w:rsid w:val="00B64C45"/>
    <w:rsid w:val="00B677B3"/>
    <w:rsid w:val="00B75C3F"/>
    <w:rsid w:val="00B77A10"/>
    <w:rsid w:val="00B85146"/>
    <w:rsid w:val="00B968C1"/>
    <w:rsid w:val="00B9728B"/>
    <w:rsid w:val="00BA075B"/>
    <w:rsid w:val="00BA4AA7"/>
    <w:rsid w:val="00BB277F"/>
    <w:rsid w:val="00BB5180"/>
    <w:rsid w:val="00BB6B57"/>
    <w:rsid w:val="00BB7040"/>
    <w:rsid w:val="00BC6518"/>
    <w:rsid w:val="00BC679E"/>
    <w:rsid w:val="00BD22C7"/>
    <w:rsid w:val="00BD4B0C"/>
    <w:rsid w:val="00BE3B60"/>
    <w:rsid w:val="00BE6A27"/>
    <w:rsid w:val="00BF1A4B"/>
    <w:rsid w:val="00BF29E1"/>
    <w:rsid w:val="00BF3147"/>
    <w:rsid w:val="00BF45AC"/>
    <w:rsid w:val="00BF5235"/>
    <w:rsid w:val="00BF5791"/>
    <w:rsid w:val="00BF6864"/>
    <w:rsid w:val="00C04C41"/>
    <w:rsid w:val="00C06385"/>
    <w:rsid w:val="00C065C5"/>
    <w:rsid w:val="00C17D1D"/>
    <w:rsid w:val="00C211AA"/>
    <w:rsid w:val="00C212D4"/>
    <w:rsid w:val="00C22550"/>
    <w:rsid w:val="00C2269B"/>
    <w:rsid w:val="00C23AB8"/>
    <w:rsid w:val="00C24E01"/>
    <w:rsid w:val="00C27010"/>
    <w:rsid w:val="00C3062C"/>
    <w:rsid w:val="00C30977"/>
    <w:rsid w:val="00C30E16"/>
    <w:rsid w:val="00C37A5F"/>
    <w:rsid w:val="00C406CC"/>
    <w:rsid w:val="00C40BAA"/>
    <w:rsid w:val="00C4115B"/>
    <w:rsid w:val="00C436E2"/>
    <w:rsid w:val="00C44BE4"/>
    <w:rsid w:val="00C504BB"/>
    <w:rsid w:val="00C54339"/>
    <w:rsid w:val="00C604BD"/>
    <w:rsid w:val="00C64477"/>
    <w:rsid w:val="00C67885"/>
    <w:rsid w:val="00C74B3F"/>
    <w:rsid w:val="00C77976"/>
    <w:rsid w:val="00C95663"/>
    <w:rsid w:val="00C961B6"/>
    <w:rsid w:val="00C96854"/>
    <w:rsid w:val="00CA211E"/>
    <w:rsid w:val="00CA2A55"/>
    <w:rsid w:val="00CA5FE4"/>
    <w:rsid w:val="00CA7CD4"/>
    <w:rsid w:val="00CB30D0"/>
    <w:rsid w:val="00CB476E"/>
    <w:rsid w:val="00CC06C4"/>
    <w:rsid w:val="00CC2013"/>
    <w:rsid w:val="00CC4404"/>
    <w:rsid w:val="00CC5C74"/>
    <w:rsid w:val="00CC5F5F"/>
    <w:rsid w:val="00CD05A4"/>
    <w:rsid w:val="00CD0B0D"/>
    <w:rsid w:val="00CE1626"/>
    <w:rsid w:val="00CE5385"/>
    <w:rsid w:val="00CF3DE0"/>
    <w:rsid w:val="00CF4861"/>
    <w:rsid w:val="00CF4A0C"/>
    <w:rsid w:val="00CF583E"/>
    <w:rsid w:val="00CF5ABA"/>
    <w:rsid w:val="00CF72E3"/>
    <w:rsid w:val="00CF741D"/>
    <w:rsid w:val="00D0470B"/>
    <w:rsid w:val="00D07F1A"/>
    <w:rsid w:val="00D11012"/>
    <w:rsid w:val="00D1322F"/>
    <w:rsid w:val="00D1425D"/>
    <w:rsid w:val="00D153B1"/>
    <w:rsid w:val="00D16AA8"/>
    <w:rsid w:val="00D22C94"/>
    <w:rsid w:val="00D33352"/>
    <w:rsid w:val="00D429F2"/>
    <w:rsid w:val="00D4395E"/>
    <w:rsid w:val="00D444AD"/>
    <w:rsid w:val="00D50ABB"/>
    <w:rsid w:val="00D50BA9"/>
    <w:rsid w:val="00D52F71"/>
    <w:rsid w:val="00D60655"/>
    <w:rsid w:val="00D70918"/>
    <w:rsid w:val="00D72983"/>
    <w:rsid w:val="00D804A3"/>
    <w:rsid w:val="00D8113D"/>
    <w:rsid w:val="00D87BD4"/>
    <w:rsid w:val="00DA2450"/>
    <w:rsid w:val="00DA4BC5"/>
    <w:rsid w:val="00DA52C7"/>
    <w:rsid w:val="00DA771F"/>
    <w:rsid w:val="00DA7A38"/>
    <w:rsid w:val="00DB0B70"/>
    <w:rsid w:val="00DB1442"/>
    <w:rsid w:val="00DB15C7"/>
    <w:rsid w:val="00DB52FC"/>
    <w:rsid w:val="00DB799A"/>
    <w:rsid w:val="00DC0CB3"/>
    <w:rsid w:val="00DC1B4E"/>
    <w:rsid w:val="00DC2BE3"/>
    <w:rsid w:val="00DF0C23"/>
    <w:rsid w:val="00DF2C05"/>
    <w:rsid w:val="00DF3DEB"/>
    <w:rsid w:val="00DF52B2"/>
    <w:rsid w:val="00DF6CB2"/>
    <w:rsid w:val="00DF71C0"/>
    <w:rsid w:val="00E03D3A"/>
    <w:rsid w:val="00E04FE8"/>
    <w:rsid w:val="00E05FEC"/>
    <w:rsid w:val="00E06027"/>
    <w:rsid w:val="00E0744E"/>
    <w:rsid w:val="00E2132B"/>
    <w:rsid w:val="00E21343"/>
    <w:rsid w:val="00E246D0"/>
    <w:rsid w:val="00E3086D"/>
    <w:rsid w:val="00E31EC4"/>
    <w:rsid w:val="00E36C52"/>
    <w:rsid w:val="00E3764C"/>
    <w:rsid w:val="00E40657"/>
    <w:rsid w:val="00E42BF9"/>
    <w:rsid w:val="00E4536E"/>
    <w:rsid w:val="00E466DB"/>
    <w:rsid w:val="00E51A82"/>
    <w:rsid w:val="00E60526"/>
    <w:rsid w:val="00E612A8"/>
    <w:rsid w:val="00E71F80"/>
    <w:rsid w:val="00E744ED"/>
    <w:rsid w:val="00E77FA8"/>
    <w:rsid w:val="00E80A49"/>
    <w:rsid w:val="00E8144A"/>
    <w:rsid w:val="00E828C8"/>
    <w:rsid w:val="00E84D6C"/>
    <w:rsid w:val="00E9741C"/>
    <w:rsid w:val="00E9752B"/>
    <w:rsid w:val="00EA56D2"/>
    <w:rsid w:val="00EB5BCE"/>
    <w:rsid w:val="00EC0C13"/>
    <w:rsid w:val="00EC5971"/>
    <w:rsid w:val="00EC7750"/>
    <w:rsid w:val="00ED6D06"/>
    <w:rsid w:val="00EE2BD8"/>
    <w:rsid w:val="00EE5E1A"/>
    <w:rsid w:val="00EF058F"/>
    <w:rsid w:val="00EF10CA"/>
    <w:rsid w:val="00EF2141"/>
    <w:rsid w:val="00EF2DEA"/>
    <w:rsid w:val="00EF6347"/>
    <w:rsid w:val="00F00B36"/>
    <w:rsid w:val="00F0459D"/>
    <w:rsid w:val="00F11931"/>
    <w:rsid w:val="00F23E58"/>
    <w:rsid w:val="00F25F08"/>
    <w:rsid w:val="00F30A13"/>
    <w:rsid w:val="00F31DC4"/>
    <w:rsid w:val="00F32F26"/>
    <w:rsid w:val="00F3538C"/>
    <w:rsid w:val="00F35DC5"/>
    <w:rsid w:val="00F4711E"/>
    <w:rsid w:val="00F47DF9"/>
    <w:rsid w:val="00F5555B"/>
    <w:rsid w:val="00F555B8"/>
    <w:rsid w:val="00F56953"/>
    <w:rsid w:val="00F64C20"/>
    <w:rsid w:val="00F65617"/>
    <w:rsid w:val="00F67BE9"/>
    <w:rsid w:val="00F67EC7"/>
    <w:rsid w:val="00F91271"/>
    <w:rsid w:val="00F97B01"/>
    <w:rsid w:val="00FA77A7"/>
    <w:rsid w:val="00FB0073"/>
    <w:rsid w:val="00FB20B8"/>
    <w:rsid w:val="00FB7707"/>
    <w:rsid w:val="00FC0F17"/>
    <w:rsid w:val="00FC5552"/>
    <w:rsid w:val="00FC5993"/>
    <w:rsid w:val="00FD2224"/>
    <w:rsid w:val="00FD396F"/>
    <w:rsid w:val="00FE0318"/>
    <w:rsid w:val="00FE27F5"/>
    <w:rsid w:val="00FE2A95"/>
    <w:rsid w:val="00FE2C1B"/>
    <w:rsid w:val="00FE4EEE"/>
    <w:rsid w:val="00FF13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1A1AAE"/>
  <w15:docId w15:val="{0E8CFEBA-FBE5-4459-86F0-BA30178A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uiPriority="10" w:qFormat="1"/>
    <w:lsdException w:name="Body Text" w:uiPriority="99"/>
    <w:lsdException w:name="Body Text Indent" w:uiPriority="99"/>
    <w:lsdException w:name="Subtitle" w:uiPriority="11" w:qFormat="1"/>
    <w:lsdException w:name="Strong" w:qFormat="1"/>
    <w:lsdException w:name="Emphasis" w:qFormat="1"/>
    <w:lsdException w:name="Document Map"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914BA9"/>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1"/>
    <w:qFormat/>
    <w:rsid w:val="006945AD"/>
    <w:pPr>
      <w:keepNext/>
      <w:tabs>
        <w:tab w:val="left" w:pos="0"/>
      </w:tabs>
      <w:jc w:val="center"/>
      <w:outlineLvl w:val="1"/>
    </w:pPr>
    <w:rPr>
      <w:szCs w:val="20"/>
      <w:lang w:eastAsia="zh-CN"/>
    </w:rPr>
  </w:style>
  <w:style w:type="paragraph" w:styleId="Nadpis3">
    <w:name w:val="heading 3"/>
    <w:basedOn w:val="Normln"/>
    <w:next w:val="Normln"/>
    <w:link w:val="Nadpis3Char"/>
    <w:unhideWhenUsed/>
    <w:qFormat/>
    <w:rsid w:val="00530164"/>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1"/>
    <w:qFormat/>
    <w:rsid w:val="006945AD"/>
    <w:pPr>
      <w:tabs>
        <w:tab w:val="left" w:pos="0"/>
      </w:tabs>
      <w:outlineLvl w:val="3"/>
    </w:pPr>
    <w:rPr>
      <w:rFonts w:ascii="Arial" w:hAnsi="Arial" w:cs="Arial"/>
      <w:lang w:eastAsia="zh-CN"/>
    </w:rPr>
  </w:style>
  <w:style w:type="paragraph" w:styleId="Nadpis5">
    <w:name w:val="heading 5"/>
    <w:basedOn w:val="Normln"/>
    <w:next w:val="Normln"/>
    <w:link w:val="Nadpis5Char1"/>
    <w:qFormat/>
    <w:rsid w:val="006945AD"/>
    <w:pPr>
      <w:tabs>
        <w:tab w:val="left" w:pos="0"/>
      </w:tabs>
      <w:outlineLvl w:val="4"/>
    </w:pPr>
    <w:rPr>
      <w:rFonts w:ascii="Arial" w:hAnsi="Arial" w:cs="Arial"/>
      <w:lang w:eastAsia="zh-CN"/>
    </w:rPr>
  </w:style>
  <w:style w:type="paragraph" w:styleId="Nadpis6">
    <w:name w:val="heading 6"/>
    <w:basedOn w:val="Normln"/>
    <w:next w:val="Normln"/>
    <w:link w:val="Nadpis6Char1"/>
    <w:qFormat/>
    <w:rsid w:val="006945AD"/>
    <w:pPr>
      <w:keepNext/>
      <w:spacing w:before="120" w:after="240" w:line="240" w:lineRule="atLeast"/>
      <w:jc w:val="both"/>
      <w:outlineLvl w:val="5"/>
    </w:pPr>
    <w:rPr>
      <w:b/>
      <w:szCs w:val="20"/>
      <w:lang w:eastAsia="zh-CN"/>
    </w:rPr>
  </w:style>
  <w:style w:type="paragraph" w:styleId="Nadpis7">
    <w:name w:val="heading 7"/>
    <w:basedOn w:val="Normln"/>
    <w:next w:val="Normln"/>
    <w:link w:val="Nadpis7Char1"/>
    <w:qFormat/>
    <w:rsid w:val="006945AD"/>
    <w:pPr>
      <w:spacing w:before="240" w:after="60"/>
      <w:outlineLvl w:val="6"/>
    </w:pPr>
    <w:rPr>
      <w:lang w:eastAsia="zh-CN"/>
    </w:rPr>
  </w:style>
  <w:style w:type="paragraph" w:styleId="Nadpis8">
    <w:name w:val="heading 8"/>
    <w:basedOn w:val="Normln"/>
    <w:next w:val="Normln"/>
    <w:link w:val="Nadpis8Char1"/>
    <w:uiPriority w:val="99"/>
    <w:qFormat/>
    <w:rsid w:val="006945AD"/>
    <w:pPr>
      <w:keepNext/>
      <w:tabs>
        <w:tab w:val="left" w:pos="0"/>
      </w:tabs>
      <w:jc w:val="center"/>
      <w:outlineLvl w:val="7"/>
    </w:pPr>
    <w:rPr>
      <w:b/>
      <w:sz w:val="28"/>
      <w:szCs w:val="20"/>
      <w:lang w:eastAsia="zh-CN"/>
    </w:rPr>
  </w:style>
  <w:style w:type="paragraph" w:styleId="Nadpis9">
    <w:name w:val="heading 9"/>
    <w:basedOn w:val="Normln"/>
    <w:next w:val="Normln"/>
    <w:link w:val="Nadpis9Char1"/>
    <w:qFormat/>
    <w:rsid w:val="006945AD"/>
    <w:pPr>
      <w:tabs>
        <w:tab w:val="left" w:pos="0"/>
      </w:tabs>
      <w:outlineLvl w:val="8"/>
    </w:pPr>
    <w:rPr>
      <w:rFonts w:ascii="Arial" w:hAnsi="Arial" w:cs="Arial"/>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lavicka">
    <w:name w:val="Hlavicka"/>
    <w:rPr>
      <w:i/>
    </w:rPr>
  </w:style>
  <w:style w:type="paragraph" w:customStyle="1" w:styleId="HlavickaZlutyText">
    <w:name w:val="HlavickaZlutyText"/>
    <w:rPr>
      <w:sz w:val="18"/>
    </w:rPr>
  </w:style>
  <w:style w:type="paragraph" w:customStyle="1" w:styleId="Variantastart">
    <w:name w:val="Varianta_start"/>
    <w:pPr>
      <w:pBdr>
        <w:top w:val="single" w:sz="8" w:space="0" w:color="800080"/>
      </w:pBdr>
      <w:spacing w:after="100"/>
    </w:pPr>
    <w:rPr>
      <w:b/>
      <w:i/>
      <w:color w:val="800080"/>
    </w:rPr>
  </w:style>
  <w:style w:type="paragraph" w:customStyle="1" w:styleId="Variantakonec">
    <w:name w:val="Varianta_konec"/>
    <w:pPr>
      <w:pBdr>
        <w:bottom w:val="single" w:sz="8" w:space="0" w:color="800080"/>
      </w:pBdr>
      <w:spacing w:after="100"/>
    </w:pPr>
    <w:rPr>
      <w:b/>
      <w:i/>
      <w:color w:val="800080"/>
    </w:rPr>
  </w:style>
  <w:style w:type="paragraph" w:customStyle="1" w:styleId="Ucinnoststart">
    <w:name w:val="Ucinnost_start"/>
    <w:pPr>
      <w:pBdr>
        <w:top w:val="single" w:sz="8" w:space="0" w:color="8B0000"/>
      </w:pBdr>
      <w:spacing w:after="100"/>
    </w:pPr>
    <w:rPr>
      <w:b/>
      <w:i/>
      <w:color w:val="8B0000"/>
    </w:rPr>
  </w:style>
  <w:style w:type="paragraph" w:customStyle="1" w:styleId="Ucinnostkonec">
    <w:name w:val="Ucinnost_konec"/>
    <w:pPr>
      <w:pBdr>
        <w:bottom w:val="single" w:sz="8" w:space="0" w:color="8B0000"/>
      </w:pBdr>
      <w:spacing w:after="100"/>
    </w:pPr>
    <w:rPr>
      <w:b/>
      <w:i/>
      <w:color w:val="8B0000"/>
    </w:rPr>
  </w:style>
  <w:style w:type="paragraph" w:customStyle="1" w:styleId="Celex">
    <w:name w:val="Celex"/>
    <w:pPr>
      <w:spacing w:before="120" w:after="120"/>
    </w:pPr>
    <w:rPr>
      <w:i/>
    </w:rPr>
  </w:style>
  <w:style w:type="paragraph" w:customStyle="1" w:styleId="1">
    <w:name w:val="1"/>
    <w:pPr>
      <w:spacing w:before="11"/>
    </w:pPr>
    <w:rPr>
      <w:sz w:val="0"/>
    </w:rPr>
  </w:style>
  <w:style w:type="paragraph" w:customStyle="1" w:styleId="2">
    <w:name w:val="2"/>
    <w:pPr>
      <w:spacing w:before="57" w:after="227"/>
      <w:jc w:val="center"/>
    </w:pPr>
    <w:rPr>
      <w:b/>
      <w:sz w:val="32"/>
    </w:rPr>
  </w:style>
  <w:style w:type="paragraph" w:customStyle="1" w:styleId="3">
    <w:name w:val="3"/>
    <w:pPr>
      <w:ind w:left="680" w:right="680"/>
      <w:jc w:val="center"/>
    </w:pPr>
    <w:rPr>
      <w:b/>
      <w:caps/>
      <w:sz w:val="32"/>
    </w:rPr>
  </w:style>
  <w:style w:type="paragraph" w:customStyle="1" w:styleId="4">
    <w:name w:val="4"/>
    <w:pPr>
      <w:spacing w:after="170"/>
      <w:ind w:left="850" w:right="850"/>
      <w:jc w:val="center"/>
    </w:pPr>
    <w:rPr>
      <w:b/>
      <w:sz w:val="28"/>
    </w:rPr>
  </w:style>
  <w:style w:type="paragraph" w:customStyle="1" w:styleId="5">
    <w:name w:val="5"/>
    <w:pPr>
      <w:spacing w:before="340" w:after="113"/>
      <w:ind w:left="850" w:right="850"/>
      <w:jc w:val="center"/>
    </w:pPr>
    <w:rPr>
      <w:b/>
      <w:sz w:val="34"/>
    </w:rPr>
  </w:style>
  <w:style w:type="paragraph" w:customStyle="1" w:styleId="6">
    <w:name w:val="6"/>
    <w:pPr>
      <w:spacing w:before="283" w:after="340"/>
    </w:pPr>
    <w:rPr>
      <w:sz w:val="30"/>
    </w:rPr>
  </w:style>
  <w:style w:type="paragraph" w:customStyle="1" w:styleId="7">
    <w:name w:val="7"/>
    <w:pPr>
      <w:spacing w:before="510" w:after="57"/>
      <w:ind w:left="850" w:right="850"/>
      <w:jc w:val="center"/>
    </w:pPr>
    <w:rPr>
      <w:b/>
      <w:caps/>
      <w:sz w:val="32"/>
    </w:rPr>
  </w:style>
  <w:style w:type="paragraph" w:customStyle="1" w:styleId="8">
    <w:name w:val="8"/>
    <w:pPr>
      <w:spacing w:before="57" w:after="170"/>
      <w:ind w:left="850" w:right="850"/>
      <w:jc w:val="center"/>
    </w:pPr>
    <w:rPr>
      <w:b/>
      <w:caps/>
      <w:sz w:val="26"/>
    </w:rPr>
  </w:style>
  <w:style w:type="paragraph" w:customStyle="1" w:styleId="9">
    <w:name w:val="9"/>
    <w:pPr>
      <w:spacing w:before="227" w:after="113"/>
      <w:jc w:val="center"/>
    </w:pPr>
    <w:rPr>
      <w:sz w:val="28"/>
    </w:rPr>
  </w:style>
  <w:style w:type="paragraph" w:customStyle="1" w:styleId="10">
    <w:name w:val="10"/>
    <w:pPr>
      <w:spacing w:after="57"/>
      <w:ind w:left="850" w:right="850"/>
      <w:jc w:val="center"/>
    </w:pPr>
    <w:rPr>
      <w:b/>
      <w:sz w:val="28"/>
    </w:rPr>
  </w:style>
  <w:style w:type="paragraph" w:customStyle="1" w:styleId="11">
    <w:name w:val="11"/>
    <w:pPr>
      <w:spacing w:after="57"/>
      <w:ind w:left="510" w:hanging="510"/>
      <w:jc w:val="both"/>
    </w:pPr>
    <w:rPr>
      <w:sz w:val="24"/>
    </w:rPr>
  </w:style>
  <w:style w:type="paragraph" w:customStyle="1" w:styleId="Varianta11start">
    <w:name w:val="Varianta_11_start"/>
    <w:pPr>
      <w:pBdr>
        <w:top w:val="single" w:sz="8" w:space="0" w:color="800080"/>
      </w:pBdr>
      <w:spacing w:after="100"/>
      <w:ind w:left="510"/>
    </w:pPr>
    <w:rPr>
      <w:b/>
      <w:i/>
      <w:color w:val="800080"/>
    </w:rPr>
  </w:style>
  <w:style w:type="paragraph" w:customStyle="1" w:styleId="Varianta11konec">
    <w:name w:val="Varianta_11_konec"/>
    <w:pPr>
      <w:pBdr>
        <w:bottom w:val="single" w:sz="8" w:space="0" w:color="800080"/>
      </w:pBdr>
      <w:spacing w:after="100"/>
      <w:ind w:left="510"/>
    </w:pPr>
    <w:rPr>
      <w:b/>
      <w:i/>
      <w:color w:val="800080"/>
    </w:rPr>
  </w:style>
  <w:style w:type="paragraph" w:customStyle="1" w:styleId="Ucinnost11start">
    <w:name w:val="Ucinnost_11_start"/>
    <w:pPr>
      <w:pBdr>
        <w:top w:val="single" w:sz="8" w:space="0" w:color="8B0000"/>
      </w:pBdr>
      <w:spacing w:after="100"/>
      <w:ind w:left="510"/>
    </w:pPr>
    <w:rPr>
      <w:b/>
      <w:i/>
      <w:color w:val="8B0000"/>
    </w:rPr>
  </w:style>
  <w:style w:type="paragraph" w:customStyle="1" w:styleId="Ucinnost11konec">
    <w:name w:val="Ucinnost_11_konec"/>
    <w:pPr>
      <w:pBdr>
        <w:bottom w:val="single" w:sz="8" w:space="0" w:color="8B0000"/>
      </w:pBdr>
      <w:spacing w:after="100"/>
      <w:ind w:left="510"/>
    </w:pPr>
    <w:rPr>
      <w:b/>
      <w:i/>
      <w:color w:val="8B0000"/>
    </w:rPr>
  </w:style>
  <w:style w:type="paragraph" w:customStyle="1" w:styleId="12">
    <w:name w:val="12"/>
    <w:pPr>
      <w:spacing w:after="57"/>
      <w:ind w:left="1190" w:hanging="340"/>
      <w:jc w:val="both"/>
    </w:pPr>
    <w:rPr>
      <w:sz w:val="24"/>
    </w:rPr>
  </w:style>
  <w:style w:type="paragraph" w:customStyle="1" w:styleId="Varianta12start">
    <w:name w:val="Varianta_12_start"/>
    <w:pPr>
      <w:pBdr>
        <w:top w:val="single" w:sz="8" w:space="0" w:color="800080"/>
      </w:pBdr>
      <w:spacing w:after="100"/>
      <w:ind w:left="1190"/>
    </w:pPr>
    <w:rPr>
      <w:b/>
      <w:i/>
      <w:color w:val="800080"/>
    </w:rPr>
  </w:style>
  <w:style w:type="paragraph" w:customStyle="1" w:styleId="Varianta12konec">
    <w:name w:val="Varianta_12_konec"/>
    <w:pPr>
      <w:pBdr>
        <w:bottom w:val="single" w:sz="8" w:space="0" w:color="800080"/>
      </w:pBdr>
      <w:spacing w:after="100"/>
      <w:ind w:left="1190"/>
    </w:pPr>
    <w:rPr>
      <w:b/>
      <w:i/>
      <w:color w:val="800080"/>
    </w:rPr>
  </w:style>
  <w:style w:type="paragraph" w:customStyle="1" w:styleId="Ucinnost12start">
    <w:name w:val="Ucinnost_12_start"/>
    <w:pPr>
      <w:pBdr>
        <w:top w:val="single" w:sz="8" w:space="0" w:color="8B0000"/>
      </w:pBdr>
      <w:spacing w:after="100"/>
      <w:ind w:left="1190"/>
    </w:pPr>
    <w:rPr>
      <w:b/>
      <w:i/>
      <w:color w:val="8B0000"/>
    </w:rPr>
  </w:style>
  <w:style w:type="paragraph" w:customStyle="1" w:styleId="Ucinnost12konec">
    <w:name w:val="Ucinnost_12_konec"/>
    <w:pPr>
      <w:pBdr>
        <w:bottom w:val="single" w:sz="8" w:space="0" w:color="8B0000"/>
      </w:pBdr>
      <w:spacing w:after="100"/>
      <w:ind w:left="1190"/>
    </w:pPr>
    <w:rPr>
      <w:b/>
      <w:i/>
      <w:color w:val="8B0000"/>
    </w:rPr>
  </w:style>
  <w:style w:type="paragraph" w:customStyle="1" w:styleId="13">
    <w:name w:val="13"/>
    <w:pPr>
      <w:spacing w:before="57" w:after="57"/>
      <w:ind w:left="1190" w:hanging="340"/>
      <w:jc w:val="both"/>
    </w:pPr>
    <w:rPr>
      <w:sz w:val="24"/>
    </w:rPr>
  </w:style>
  <w:style w:type="paragraph" w:customStyle="1" w:styleId="Varianta13start">
    <w:name w:val="Varianta_13_start"/>
    <w:pPr>
      <w:pBdr>
        <w:top w:val="single" w:sz="8" w:space="0" w:color="800080"/>
      </w:pBdr>
      <w:spacing w:after="100"/>
      <w:ind w:left="1190"/>
    </w:pPr>
    <w:rPr>
      <w:b/>
      <w:i/>
      <w:color w:val="800080"/>
    </w:rPr>
  </w:style>
  <w:style w:type="paragraph" w:customStyle="1" w:styleId="Varianta13konec">
    <w:name w:val="Varianta_13_konec"/>
    <w:pPr>
      <w:pBdr>
        <w:bottom w:val="single" w:sz="8" w:space="0" w:color="800080"/>
      </w:pBdr>
      <w:spacing w:after="100"/>
      <w:ind w:left="1190"/>
    </w:pPr>
    <w:rPr>
      <w:b/>
      <w:i/>
      <w:color w:val="800080"/>
    </w:rPr>
  </w:style>
  <w:style w:type="paragraph" w:customStyle="1" w:styleId="Ucinnost13start">
    <w:name w:val="Ucinnost_13_start"/>
    <w:pPr>
      <w:pBdr>
        <w:top w:val="single" w:sz="8" w:space="0" w:color="8B0000"/>
      </w:pBdr>
      <w:spacing w:after="100"/>
      <w:ind w:left="1190"/>
    </w:pPr>
    <w:rPr>
      <w:b/>
      <w:i/>
      <w:color w:val="8B0000"/>
    </w:rPr>
  </w:style>
  <w:style w:type="paragraph" w:customStyle="1" w:styleId="Ucinnost13konec">
    <w:name w:val="Ucinnost_13_konec"/>
    <w:pPr>
      <w:pBdr>
        <w:bottom w:val="single" w:sz="8" w:space="0" w:color="8B0000"/>
      </w:pBdr>
      <w:spacing w:after="100"/>
      <w:ind w:left="1190"/>
    </w:pPr>
    <w:rPr>
      <w:b/>
      <w:i/>
      <w:color w:val="8B0000"/>
    </w:rPr>
  </w:style>
  <w:style w:type="paragraph" w:customStyle="1" w:styleId="14">
    <w:name w:val="14"/>
    <w:pPr>
      <w:spacing w:before="57" w:after="227"/>
      <w:ind w:left="1190" w:hanging="340"/>
      <w:jc w:val="both"/>
    </w:pPr>
    <w:rPr>
      <w:sz w:val="24"/>
    </w:rPr>
  </w:style>
  <w:style w:type="paragraph" w:customStyle="1" w:styleId="Varianta14start">
    <w:name w:val="Varianta_14_start"/>
    <w:pPr>
      <w:pBdr>
        <w:top w:val="single" w:sz="8" w:space="0" w:color="800080"/>
      </w:pBdr>
      <w:spacing w:after="100"/>
      <w:ind w:left="1190"/>
    </w:pPr>
    <w:rPr>
      <w:b/>
      <w:i/>
      <w:color w:val="800080"/>
    </w:rPr>
  </w:style>
  <w:style w:type="paragraph" w:customStyle="1" w:styleId="Varianta14konec">
    <w:name w:val="Varianta_14_konec"/>
    <w:pPr>
      <w:pBdr>
        <w:bottom w:val="single" w:sz="8" w:space="0" w:color="800080"/>
      </w:pBdr>
      <w:spacing w:after="100"/>
      <w:ind w:left="1190"/>
    </w:pPr>
    <w:rPr>
      <w:b/>
      <w:i/>
      <w:color w:val="800080"/>
    </w:rPr>
  </w:style>
  <w:style w:type="paragraph" w:customStyle="1" w:styleId="Ucinnost14start">
    <w:name w:val="Ucinnost_14_start"/>
    <w:pPr>
      <w:pBdr>
        <w:top w:val="single" w:sz="8" w:space="0" w:color="8B0000"/>
      </w:pBdr>
      <w:spacing w:after="100"/>
      <w:ind w:left="1190"/>
    </w:pPr>
    <w:rPr>
      <w:b/>
      <w:i/>
      <w:color w:val="8B0000"/>
    </w:rPr>
  </w:style>
  <w:style w:type="paragraph" w:customStyle="1" w:styleId="Ucinnost14konec">
    <w:name w:val="Ucinnost_14_konec"/>
    <w:pPr>
      <w:pBdr>
        <w:bottom w:val="single" w:sz="8" w:space="0" w:color="8B0000"/>
      </w:pBdr>
      <w:spacing w:after="100"/>
      <w:ind w:left="1190"/>
    </w:pPr>
    <w:rPr>
      <w:b/>
      <w:i/>
      <w:color w:val="8B0000"/>
    </w:rPr>
  </w:style>
  <w:style w:type="paragraph" w:customStyle="1" w:styleId="15">
    <w:name w:val="15"/>
    <w:pPr>
      <w:spacing w:before="227" w:after="113"/>
      <w:jc w:val="center"/>
    </w:pPr>
    <w:rPr>
      <w:sz w:val="28"/>
    </w:rPr>
  </w:style>
  <w:style w:type="paragraph" w:customStyle="1" w:styleId="16">
    <w:name w:val="16"/>
    <w:pPr>
      <w:spacing w:after="57"/>
      <w:jc w:val="both"/>
    </w:pPr>
    <w:rPr>
      <w:sz w:val="24"/>
    </w:rPr>
  </w:style>
  <w:style w:type="paragraph" w:customStyle="1" w:styleId="17">
    <w:name w:val="17"/>
    <w:pPr>
      <w:spacing w:after="227"/>
      <w:ind w:left="680" w:hanging="340"/>
      <w:jc w:val="both"/>
    </w:pPr>
    <w:rPr>
      <w:sz w:val="24"/>
    </w:rPr>
  </w:style>
  <w:style w:type="paragraph" w:customStyle="1" w:styleId="Varianta17start">
    <w:name w:val="Varianta_17_start"/>
    <w:pPr>
      <w:pBdr>
        <w:top w:val="single" w:sz="8" w:space="0" w:color="800080"/>
      </w:pBdr>
      <w:spacing w:after="100"/>
      <w:ind w:left="680"/>
    </w:pPr>
    <w:rPr>
      <w:b/>
      <w:i/>
      <w:color w:val="800080"/>
    </w:rPr>
  </w:style>
  <w:style w:type="paragraph" w:customStyle="1" w:styleId="Varianta17konec">
    <w:name w:val="Varianta_17_konec"/>
    <w:pPr>
      <w:pBdr>
        <w:bottom w:val="single" w:sz="8" w:space="0" w:color="800080"/>
      </w:pBdr>
      <w:spacing w:after="100"/>
      <w:ind w:left="680"/>
    </w:pPr>
    <w:rPr>
      <w:b/>
      <w:i/>
      <w:color w:val="800080"/>
    </w:rPr>
  </w:style>
  <w:style w:type="paragraph" w:customStyle="1" w:styleId="Ucinnost17start">
    <w:name w:val="Ucinnost_17_start"/>
    <w:pPr>
      <w:pBdr>
        <w:top w:val="single" w:sz="8" w:space="0" w:color="8B0000"/>
      </w:pBdr>
      <w:spacing w:after="100"/>
      <w:ind w:left="680"/>
    </w:pPr>
    <w:rPr>
      <w:b/>
      <w:i/>
      <w:color w:val="8B0000"/>
    </w:rPr>
  </w:style>
  <w:style w:type="paragraph" w:customStyle="1" w:styleId="Ucinnost17konec">
    <w:name w:val="Ucinnost_17_konec"/>
    <w:pPr>
      <w:pBdr>
        <w:bottom w:val="single" w:sz="8" w:space="0" w:color="8B0000"/>
      </w:pBdr>
      <w:spacing w:after="100"/>
      <w:ind w:left="680"/>
    </w:pPr>
    <w:rPr>
      <w:b/>
      <w:i/>
      <w:color w:val="8B0000"/>
    </w:rPr>
  </w:style>
  <w:style w:type="paragraph" w:customStyle="1" w:styleId="18">
    <w:name w:val="18"/>
    <w:pPr>
      <w:spacing w:after="28"/>
      <w:ind w:left="1304" w:hanging="340"/>
      <w:jc w:val="both"/>
    </w:pPr>
    <w:rPr>
      <w:sz w:val="22"/>
    </w:rPr>
  </w:style>
  <w:style w:type="paragraph" w:customStyle="1" w:styleId="Varianta18start">
    <w:name w:val="Varianta_18_start"/>
    <w:pPr>
      <w:pBdr>
        <w:top w:val="single" w:sz="8" w:space="0" w:color="800080"/>
      </w:pBdr>
      <w:spacing w:after="100"/>
      <w:ind w:left="1304"/>
    </w:pPr>
    <w:rPr>
      <w:b/>
      <w:i/>
      <w:color w:val="800080"/>
    </w:rPr>
  </w:style>
  <w:style w:type="paragraph" w:customStyle="1" w:styleId="Varianta18konec">
    <w:name w:val="Varianta_18_konec"/>
    <w:pPr>
      <w:pBdr>
        <w:bottom w:val="single" w:sz="8" w:space="0" w:color="800080"/>
      </w:pBdr>
      <w:spacing w:after="100"/>
      <w:ind w:left="1304"/>
    </w:pPr>
    <w:rPr>
      <w:b/>
      <w:i/>
      <w:color w:val="800080"/>
    </w:rPr>
  </w:style>
  <w:style w:type="paragraph" w:customStyle="1" w:styleId="Ucinnost18start">
    <w:name w:val="Ucinnost_18_start"/>
    <w:pPr>
      <w:pBdr>
        <w:top w:val="single" w:sz="8" w:space="0" w:color="8B0000"/>
      </w:pBdr>
      <w:spacing w:after="100"/>
      <w:ind w:left="1304"/>
    </w:pPr>
    <w:rPr>
      <w:b/>
      <w:i/>
      <w:color w:val="8B0000"/>
    </w:rPr>
  </w:style>
  <w:style w:type="paragraph" w:customStyle="1" w:styleId="Ucinnost18konec">
    <w:name w:val="Ucinnost_18_konec"/>
    <w:pPr>
      <w:pBdr>
        <w:bottom w:val="single" w:sz="8" w:space="0" w:color="8B0000"/>
      </w:pBdr>
      <w:spacing w:after="100"/>
      <w:ind w:left="1304"/>
    </w:pPr>
    <w:rPr>
      <w:b/>
      <w:i/>
      <w:color w:val="8B0000"/>
    </w:rPr>
  </w:style>
  <w:style w:type="paragraph" w:customStyle="1" w:styleId="19">
    <w:name w:val="19"/>
    <w:pPr>
      <w:spacing w:before="28" w:after="28"/>
      <w:ind w:left="1304" w:hanging="340"/>
      <w:jc w:val="both"/>
    </w:pPr>
    <w:rPr>
      <w:sz w:val="22"/>
    </w:rPr>
  </w:style>
  <w:style w:type="paragraph" w:customStyle="1" w:styleId="Varianta19start">
    <w:name w:val="Varianta_19_start"/>
    <w:pPr>
      <w:pBdr>
        <w:top w:val="single" w:sz="8" w:space="0" w:color="800080"/>
      </w:pBdr>
      <w:spacing w:after="100"/>
      <w:ind w:left="1304"/>
    </w:pPr>
    <w:rPr>
      <w:b/>
      <w:i/>
      <w:color w:val="800080"/>
    </w:rPr>
  </w:style>
  <w:style w:type="paragraph" w:customStyle="1" w:styleId="Varianta19konec">
    <w:name w:val="Varianta_19_konec"/>
    <w:pPr>
      <w:pBdr>
        <w:bottom w:val="single" w:sz="8" w:space="0" w:color="800080"/>
      </w:pBdr>
      <w:spacing w:after="100"/>
      <w:ind w:left="1304"/>
    </w:pPr>
    <w:rPr>
      <w:b/>
      <w:i/>
      <w:color w:val="800080"/>
    </w:rPr>
  </w:style>
  <w:style w:type="paragraph" w:customStyle="1" w:styleId="Ucinnost19start">
    <w:name w:val="Ucinnost_19_start"/>
    <w:pPr>
      <w:pBdr>
        <w:top w:val="single" w:sz="8" w:space="0" w:color="8B0000"/>
      </w:pBdr>
      <w:spacing w:after="100"/>
      <w:ind w:left="1304"/>
    </w:pPr>
    <w:rPr>
      <w:b/>
      <w:i/>
      <w:color w:val="8B0000"/>
    </w:rPr>
  </w:style>
  <w:style w:type="paragraph" w:customStyle="1" w:styleId="Ucinnost19konec">
    <w:name w:val="Ucinnost_19_konec"/>
    <w:pPr>
      <w:pBdr>
        <w:bottom w:val="single" w:sz="8" w:space="0" w:color="8B0000"/>
      </w:pBdr>
      <w:spacing w:after="100"/>
      <w:ind w:left="1304"/>
    </w:pPr>
    <w:rPr>
      <w:b/>
      <w:i/>
      <w:color w:val="8B0000"/>
    </w:rPr>
  </w:style>
  <w:style w:type="paragraph" w:customStyle="1" w:styleId="20">
    <w:name w:val="20"/>
    <w:pPr>
      <w:spacing w:before="28" w:after="113"/>
      <w:ind w:left="1304" w:hanging="340"/>
      <w:jc w:val="both"/>
    </w:pPr>
    <w:rPr>
      <w:sz w:val="22"/>
    </w:rPr>
  </w:style>
  <w:style w:type="paragraph" w:customStyle="1" w:styleId="Varianta20start">
    <w:name w:val="Varianta_20_start"/>
    <w:pPr>
      <w:pBdr>
        <w:top w:val="single" w:sz="8" w:space="0" w:color="800080"/>
      </w:pBdr>
      <w:spacing w:after="100"/>
      <w:ind w:left="1304"/>
    </w:pPr>
    <w:rPr>
      <w:b/>
      <w:i/>
      <w:color w:val="800080"/>
    </w:rPr>
  </w:style>
  <w:style w:type="paragraph" w:customStyle="1" w:styleId="Varianta20konec">
    <w:name w:val="Varianta_20_konec"/>
    <w:pPr>
      <w:pBdr>
        <w:bottom w:val="single" w:sz="8" w:space="0" w:color="800080"/>
      </w:pBdr>
      <w:spacing w:after="100"/>
      <w:ind w:left="1304"/>
    </w:pPr>
    <w:rPr>
      <w:b/>
      <w:i/>
      <w:color w:val="800080"/>
    </w:rPr>
  </w:style>
  <w:style w:type="paragraph" w:customStyle="1" w:styleId="Ucinnost20start">
    <w:name w:val="Ucinnost_20_start"/>
    <w:pPr>
      <w:pBdr>
        <w:top w:val="single" w:sz="8" w:space="0" w:color="8B0000"/>
      </w:pBdr>
      <w:spacing w:after="100"/>
      <w:ind w:left="1304"/>
    </w:pPr>
    <w:rPr>
      <w:b/>
      <w:i/>
      <w:color w:val="8B0000"/>
    </w:rPr>
  </w:style>
  <w:style w:type="paragraph" w:customStyle="1" w:styleId="Ucinnost20konec">
    <w:name w:val="Ucinnost_20_konec"/>
    <w:pPr>
      <w:pBdr>
        <w:bottom w:val="single" w:sz="8" w:space="0" w:color="8B0000"/>
      </w:pBdr>
      <w:spacing w:after="100"/>
      <w:ind w:left="1304"/>
    </w:pPr>
    <w:rPr>
      <w:b/>
      <w:i/>
      <w:color w:val="8B0000"/>
    </w:rPr>
  </w:style>
  <w:style w:type="paragraph" w:customStyle="1" w:styleId="21">
    <w:name w:val="21"/>
    <w:pPr>
      <w:spacing w:after="57"/>
      <w:ind w:left="680" w:hanging="340"/>
      <w:jc w:val="both"/>
    </w:pPr>
    <w:rPr>
      <w:sz w:val="24"/>
    </w:rPr>
  </w:style>
  <w:style w:type="paragraph" w:customStyle="1" w:styleId="Varianta21start">
    <w:name w:val="Varianta_21_start"/>
    <w:pPr>
      <w:pBdr>
        <w:top w:val="single" w:sz="8" w:space="0" w:color="800080"/>
      </w:pBdr>
      <w:spacing w:after="100"/>
      <w:ind w:left="680"/>
    </w:pPr>
    <w:rPr>
      <w:b/>
      <w:i/>
      <w:color w:val="800080"/>
    </w:rPr>
  </w:style>
  <w:style w:type="paragraph" w:customStyle="1" w:styleId="Varianta21konec">
    <w:name w:val="Varianta_21_konec"/>
    <w:pPr>
      <w:pBdr>
        <w:bottom w:val="single" w:sz="8" w:space="0" w:color="800080"/>
      </w:pBdr>
      <w:spacing w:after="100"/>
      <w:ind w:left="680"/>
    </w:pPr>
    <w:rPr>
      <w:b/>
      <w:i/>
      <w:color w:val="800080"/>
    </w:rPr>
  </w:style>
  <w:style w:type="paragraph" w:customStyle="1" w:styleId="Ucinnost21start">
    <w:name w:val="Ucinnost_21_start"/>
    <w:pPr>
      <w:pBdr>
        <w:top w:val="single" w:sz="8" w:space="0" w:color="8B0000"/>
      </w:pBdr>
      <w:spacing w:after="100"/>
      <w:ind w:left="680"/>
    </w:pPr>
    <w:rPr>
      <w:b/>
      <w:i/>
      <w:color w:val="8B0000"/>
    </w:rPr>
  </w:style>
  <w:style w:type="paragraph" w:customStyle="1" w:styleId="Ucinnost21konec">
    <w:name w:val="Ucinnost_21_konec"/>
    <w:pPr>
      <w:pBdr>
        <w:bottom w:val="single" w:sz="8" w:space="0" w:color="8B0000"/>
      </w:pBdr>
      <w:spacing w:after="100"/>
      <w:ind w:left="680"/>
    </w:pPr>
    <w:rPr>
      <w:b/>
      <w:i/>
      <w:color w:val="8B0000"/>
    </w:rPr>
  </w:style>
  <w:style w:type="paragraph" w:customStyle="1" w:styleId="22">
    <w:name w:val="22"/>
    <w:pPr>
      <w:spacing w:before="57" w:after="57"/>
      <w:ind w:left="680" w:hanging="340"/>
      <w:jc w:val="both"/>
    </w:pPr>
    <w:rPr>
      <w:sz w:val="24"/>
    </w:rPr>
  </w:style>
  <w:style w:type="paragraph" w:customStyle="1" w:styleId="Varianta22start">
    <w:name w:val="Varianta_22_start"/>
    <w:pPr>
      <w:pBdr>
        <w:top w:val="single" w:sz="8" w:space="0" w:color="800080"/>
      </w:pBdr>
      <w:spacing w:after="100"/>
      <w:ind w:left="680"/>
    </w:pPr>
    <w:rPr>
      <w:b/>
      <w:i/>
      <w:color w:val="800080"/>
    </w:rPr>
  </w:style>
  <w:style w:type="paragraph" w:customStyle="1" w:styleId="Varianta22konec">
    <w:name w:val="Varianta_22_konec"/>
    <w:pPr>
      <w:pBdr>
        <w:bottom w:val="single" w:sz="8" w:space="0" w:color="800080"/>
      </w:pBdr>
      <w:spacing w:after="100"/>
      <w:ind w:left="680"/>
    </w:pPr>
    <w:rPr>
      <w:b/>
      <w:i/>
      <w:color w:val="800080"/>
    </w:rPr>
  </w:style>
  <w:style w:type="paragraph" w:customStyle="1" w:styleId="Ucinnost22start">
    <w:name w:val="Ucinnost_22_start"/>
    <w:pPr>
      <w:pBdr>
        <w:top w:val="single" w:sz="8" w:space="0" w:color="8B0000"/>
      </w:pBdr>
      <w:spacing w:after="100"/>
      <w:ind w:left="680"/>
    </w:pPr>
    <w:rPr>
      <w:b/>
      <w:i/>
      <w:color w:val="8B0000"/>
    </w:rPr>
  </w:style>
  <w:style w:type="paragraph" w:customStyle="1" w:styleId="Ucinnost22konec">
    <w:name w:val="Ucinnost_22_konec"/>
    <w:pPr>
      <w:pBdr>
        <w:bottom w:val="single" w:sz="8" w:space="0" w:color="8B0000"/>
      </w:pBdr>
      <w:spacing w:after="100"/>
      <w:ind w:left="680"/>
    </w:pPr>
    <w:rPr>
      <w:b/>
      <w:i/>
      <w:color w:val="8B0000"/>
    </w:rPr>
  </w:style>
  <w:style w:type="paragraph" w:customStyle="1" w:styleId="23">
    <w:name w:val="23"/>
    <w:pPr>
      <w:spacing w:before="57" w:after="227"/>
      <w:ind w:left="680" w:hanging="340"/>
      <w:jc w:val="both"/>
    </w:pPr>
    <w:rPr>
      <w:sz w:val="24"/>
    </w:rPr>
  </w:style>
  <w:style w:type="paragraph" w:customStyle="1" w:styleId="Varianta23start">
    <w:name w:val="Varianta_23_start"/>
    <w:pPr>
      <w:pBdr>
        <w:top w:val="single" w:sz="8" w:space="0" w:color="800080"/>
      </w:pBdr>
      <w:spacing w:after="100"/>
      <w:ind w:left="680"/>
    </w:pPr>
    <w:rPr>
      <w:b/>
      <w:i/>
      <w:color w:val="800080"/>
    </w:rPr>
  </w:style>
  <w:style w:type="paragraph" w:customStyle="1" w:styleId="Varianta23konec">
    <w:name w:val="Varianta_23_konec"/>
    <w:pPr>
      <w:pBdr>
        <w:bottom w:val="single" w:sz="8" w:space="0" w:color="800080"/>
      </w:pBdr>
      <w:spacing w:after="100"/>
      <w:ind w:left="680"/>
    </w:pPr>
    <w:rPr>
      <w:b/>
      <w:i/>
      <w:color w:val="800080"/>
    </w:rPr>
  </w:style>
  <w:style w:type="paragraph" w:customStyle="1" w:styleId="Ucinnost23start">
    <w:name w:val="Ucinnost_23_start"/>
    <w:pPr>
      <w:pBdr>
        <w:top w:val="single" w:sz="8" w:space="0" w:color="8B0000"/>
      </w:pBdr>
      <w:spacing w:after="100"/>
      <w:ind w:left="680"/>
    </w:pPr>
    <w:rPr>
      <w:b/>
      <w:i/>
      <w:color w:val="8B0000"/>
    </w:rPr>
  </w:style>
  <w:style w:type="paragraph" w:customStyle="1" w:styleId="Ucinnost23konec">
    <w:name w:val="Ucinnost_23_konec"/>
    <w:pPr>
      <w:pBdr>
        <w:bottom w:val="single" w:sz="8" w:space="0" w:color="8B0000"/>
      </w:pBdr>
      <w:spacing w:after="100"/>
      <w:ind w:left="680"/>
    </w:pPr>
    <w:rPr>
      <w:b/>
      <w:i/>
      <w:color w:val="8B0000"/>
    </w:rPr>
  </w:style>
  <w:style w:type="paragraph" w:customStyle="1" w:styleId="24">
    <w:name w:val="24"/>
    <w:pPr>
      <w:spacing w:after="113"/>
      <w:ind w:left="510" w:hanging="510"/>
      <w:jc w:val="both"/>
    </w:pPr>
    <w:rPr>
      <w:sz w:val="24"/>
    </w:rPr>
  </w:style>
  <w:style w:type="paragraph" w:customStyle="1" w:styleId="Varianta24start">
    <w:name w:val="Varianta_24_start"/>
    <w:pPr>
      <w:pBdr>
        <w:top w:val="single" w:sz="8" w:space="0" w:color="800080"/>
      </w:pBdr>
      <w:spacing w:after="100"/>
      <w:ind w:left="510"/>
    </w:pPr>
    <w:rPr>
      <w:b/>
      <w:i/>
      <w:color w:val="800080"/>
    </w:rPr>
  </w:style>
  <w:style w:type="paragraph" w:customStyle="1" w:styleId="Varianta24konec">
    <w:name w:val="Varianta_24_konec"/>
    <w:pPr>
      <w:pBdr>
        <w:bottom w:val="single" w:sz="8" w:space="0" w:color="800080"/>
      </w:pBdr>
      <w:spacing w:after="100"/>
      <w:ind w:left="510"/>
    </w:pPr>
    <w:rPr>
      <w:b/>
      <w:i/>
      <w:color w:val="800080"/>
    </w:rPr>
  </w:style>
  <w:style w:type="paragraph" w:customStyle="1" w:styleId="Ucinnost24start">
    <w:name w:val="Ucinnost_24_start"/>
    <w:pPr>
      <w:pBdr>
        <w:top w:val="single" w:sz="8" w:space="0" w:color="8B0000"/>
      </w:pBdr>
      <w:spacing w:after="100"/>
      <w:ind w:left="510"/>
    </w:pPr>
    <w:rPr>
      <w:b/>
      <w:i/>
      <w:color w:val="8B0000"/>
    </w:rPr>
  </w:style>
  <w:style w:type="paragraph" w:customStyle="1" w:styleId="Ucinnost24konec">
    <w:name w:val="Ucinnost_24_konec"/>
    <w:pPr>
      <w:pBdr>
        <w:bottom w:val="single" w:sz="8" w:space="0" w:color="8B0000"/>
      </w:pBdr>
      <w:spacing w:after="100"/>
      <w:ind w:left="510"/>
    </w:pPr>
    <w:rPr>
      <w:b/>
      <w:i/>
      <w:color w:val="8B0000"/>
    </w:rPr>
  </w:style>
  <w:style w:type="paragraph" w:customStyle="1" w:styleId="25">
    <w:name w:val="25"/>
    <w:pPr>
      <w:spacing w:before="113" w:after="57"/>
      <w:ind w:left="510" w:hanging="510"/>
      <w:jc w:val="both"/>
    </w:pPr>
    <w:rPr>
      <w:sz w:val="24"/>
    </w:rPr>
  </w:style>
  <w:style w:type="paragraph" w:customStyle="1" w:styleId="Varianta25start">
    <w:name w:val="Varianta_25_start"/>
    <w:pPr>
      <w:pBdr>
        <w:top w:val="single" w:sz="8" w:space="0" w:color="800080"/>
      </w:pBdr>
      <w:spacing w:after="100"/>
      <w:ind w:left="510"/>
    </w:pPr>
    <w:rPr>
      <w:b/>
      <w:i/>
      <w:color w:val="800080"/>
    </w:rPr>
  </w:style>
  <w:style w:type="paragraph" w:customStyle="1" w:styleId="Varianta25konec">
    <w:name w:val="Varianta_25_konec"/>
    <w:pPr>
      <w:pBdr>
        <w:bottom w:val="single" w:sz="8" w:space="0" w:color="800080"/>
      </w:pBdr>
      <w:spacing w:after="100"/>
      <w:ind w:left="510"/>
    </w:pPr>
    <w:rPr>
      <w:b/>
      <w:i/>
      <w:color w:val="800080"/>
    </w:rPr>
  </w:style>
  <w:style w:type="paragraph" w:customStyle="1" w:styleId="Ucinnost25start">
    <w:name w:val="Ucinnost_25_start"/>
    <w:pPr>
      <w:pBdr>
        <w:top w:val="single" w:sz="8" w:space="0" w:color="8B0000"/>
      </w:pBdr>
      <w:spacing w:after="100"/>
      <w:ind w:left="510"/>
    </w:pPr>
    <w:rPr>
      <w:b/>
      <w:i/>
      <w:color w:val="8B0000"/>
    </w:rPr>
  </w:style>
  <w:style w:type="paragraph" w:customStyle="1" w:styleId="Ucinnost25konec">
    <w:name w:val="Ucinnost_25_konec"/>
    <w:pPr>
      <w:pBdr>
        <w:bottom w:val="single" w:sz="8" w:space="0" w:color="8B0000"/>
      </w:pBdr>
      <w:spacing w:after="100"/>
      <w:ind w:left="510"/>
    </w:pPr>
    <w:rPr>
      <w:b/>
      <w:i/>
      <w:color w:val="8B0000"/>
    </w:rPr>
  </w:style>
  <w:style w:type="paragraph" w:customStyle="1" w:styleId="26">
    <w:name w:val="26"/>
    <w:pPr>
      <w:spacing w:after="28"/>
      <w:ind w:left="1814" w:hanging="340"/>
      <w:jc w:val="both"/>
    </w:pPr>
    <w:rPr>
      <w:sz w:val="22"/>
    </w:rPr>
  </w:style>
  <w:style w:type="paragraph" w:customStyle="1" w:styleId="Varianta26start">
    <w:name w:val="Varianta_26_start"/>
    <w:pPr>
      <w:pBdr>
        <w:top w:val="single" w:sz="8" w:space="0" w:color="800080"/>
      </w:pBdr>
      <w:spacing w:after="100"/>
      <w:ind w:left="1814"/>
    </w:pPr>
    <w:rPr>
      <w:b/>
      <w:i/>
      <w:color w:val="800080"/>
    </w:rPr>
  </w:style>
  <w:style w:type="paragraph" w:customStyle="1" w:styleId="Varianta26konec">
    <w:name w:val="Varianta_26_konec"/>
    <w:pPr>
      <w:pBdr>
        <w:bottom w:val="single" w:sz="8" w:space="0" w:color="800080"/>
      </w:pBdr>
      <w:spacing w:after="100"/>
      <w:ind w:left="1814"/>
    </w:pPr>
    <w:rPr>
      <w:b/>
      <w:i/>
      <w:color w:val="800080"/>
    </w:rPr>
  </w:style>
  <w:style w:type="paragraph" w:customStyle="1" w:styleId="Ucinnost26start">
    <w:name w:val="Ucinnost_26_start"/>
    <w:pPr>
      <w:pBdr>
        <w:top w:val="single" w:sz="8" w:space="0" w:color="8B0000"/>
      </w:pBdr>
      <w:spacing w:after="100"/>
      <w:ind w:left="1814"/>
    </w:pPr>
    <w:rPr>
      <w:b/>
      <w:i/>
      <w:color w:val="8B0000"/>
    </w:rPr>
  </w:style>
  <w:style w:type="paragraph" w:customStyle="1" w:styleId="Ucinnost26konec">
    <w:name w:val="Ucinnost_26_konec"/>
    <w:pPr>
      <w:pBdr>
        <w:bottom w:val="single" w:sz="8" w:space="0" w:color="8B0000"/>
      </w:pBdr>
      <w:spacing w:after="100"/>
      <w:ind w:left="1814"/>
    </w:pPr>
    <w:rPr>
      <w:b/>
      <w:i/>
      <w:color w:val="8B0000"/>
    </w:rPr>
  </w:style>
  <w:style w:type="paragraph" w:customStyle="1" w:styleId="27">
    <w:name w:val="27"/>
    <w:pPr>
      <w:spacing w:before="28" w:after="28"/>
      <w:ind w:left="1814" w:hanging="340"/>
      <w:jc w:val="both"/>
    </w:pPr>
    <w:rPr>
      <w:sz w:val="22"/>
    </w:rPr>
  </w:style>
  <w:style w:type="paragraph" w:customStyle="1" w:styleId="Varianta27start">
    <w:name w:val="Varianta_27_start"/>
    <w:pPr>
      <w:pBdr>
        <w:top w:val="single" w:sz="8" w:space="0" w:color="800080"/>
      </w:pBdr>
      <w:spacing w:after="100"/>
      <w:ind w:left="1814"/>
    </w:pPr>
    <w:rPr>
      <w:b/>
      <w:i/>
      <w:color w:val="800080"/>
    </w:rPr>
  </w:style>
  <w:style w:type="paragraph" w:customStyle="1" w:styleId="Varianta27konec">
    <w:name w:val="Varianta_27_konec"/>
    <w:pPr>
      <w:pBdr>
        <w:bottom w:val="single" w:sz="8" w:space="0" w:color="800080"/>
      </w:pBdr>
      <w:spacing w:after="100"/>
      <w:ind w:left="1814"/>
    </w:pPr>
    <w:rPr>
      <w:b/>
      <w:i/>
      <w:color w:val="800080"/>
    </w:rPr>
  </w:style>
  <w:style w:type="paragraph" w:customStyle="1" w:styleId="Ucinnost27start">
    <w:name w:val="Ucinnost_27_start"/>
    <w:pPr>
      <w:pBdr>
        <w:top w:val="single" w:sz="8" w:space="0" w:color="8B0000"/>
      </w:pBdr>
      <w:spacing w:after="100"/>
      <w:ind w:left="1814"/>
    </w:pPr>
    <w:rPr>
      <w:b/>
      <w:i/>
      <w:color w:val="8B0000"/>
    </w:rPr>
  </w:style>
  <w:style w:type="paragraph" w:customStyle="1" w:styleId="Ucinnost27konec">
    <w:name w:val="Ucinnost_27_konec"/>
    <w:pPr>
      <w:pBdr>
        <w:bottom w:val="single" w:sz="8" w:space="0" w:color="8B0000"/>
      </w:pBdr>
      <w:spacing w:after="100"/>
      <w:ind w:left="1814"/>
    </w:pPr>
    <w:rPr>
      <w:b/>
      <w:i/>
      <w:color w:val="8B0000"/>
    </w:rPr>
  </w:style>
  <w:style w:type="paragraph" w:customStyle="1" w:styleId="28">
    <w:name w:val="28"/>
    <w:pPr>
      <w:spacing w:before="28" w:after="113"/>
      <w:ind w:left="1814" w:hanging="340"/>
      <w:jc w:val="both"/>
    </w:pPr>
    <w:rPr>
      <w:sz w:val="22"/>
    </w:rPr>
  </w:style>
  <w:style w:type="paragraph" w:customStyle="1" w:styleId="Varianta28start">
    <w:name w:val="Varianta_28_start"/>
    <w:pPr>
      <w:pBdr>
        <w:top w:val="single" w:sz="8" w:space="0" w:color="800080"/>
      </w:pBdr>
      <w:spacing w:after="100"/>
      <w:ind w:left="1814"/>
    </w:pPr>
    <w:rPr>
      <w:b/>
      <w:i/>
      <w:color w:val="800080"/>
    </w:rPr>
  </w:style>
  <w:style w:type="paragraph" w:customStyle="1" w:styleId="Varianta28konec">
    <w:name w:val="Varianta_28_konec"/>
    <w:pPr>
      <w:pBdr>
        <w:bottom w:val="single" w:sz="8" w:space="0" w:color="800080"/>
      </w:pBdr>
      <w:spacing w:after="100"/>
      <w:ind w:left="1814"/>
    </w:pPr>
    <w:rPr>
      <w:b/>
      <w:i/>
      <w:color w:val="800080"/>
    </w:rPr>
  </w:style>
  <w:style w:type="paragraph" w:customStyle="1" w:styleId="Ucinnost28start">
    <w:name w:val="Ucinnost_28_start"/>
    <w:pPr>
      <w:pBdr>
        <w:top w:val="single" w:sz="8" w:space="0" w:color="8B0000"/>
      </w:pBdr>
      <w:spacing w:after="100"/>
      <w:ind w:left="1814"/>
    </w:pPr>
    <w:rPr>
      <w:b/>
      <w:i/>
      <w:color w:val="8B0000"/>
    </w:rPr>
  </w:style>
  <w:style w:type="paragraph" w:customStyle="1" w:styleId="Ucinnost28konec">
    <w:name w:val="Ucinnost_28_konec"/>
    <w:pPr>
      <w:pBdr>
        <w:bottom w:val="single" w:sz="8" w:space="0" w:color="8B0000"/>
      </w:pBdr>
      <w:spacing w:after="100"/>
      <w:ind w:left="1814"/>
    </w:pPr>
    <w:rPr>
      <w:b/>
      <w:i/>
      <w:color w:val="8B0000"/>
    </w:rPr>
  </w:style>
  <w:style w:type="paragraph" w:customStyle="1" w:styleId="29">
    <w:name w:val="29"/>
    <w:pPr>
      <w:spacing w:after="227"/>
      <w:ind w:left="1190" w:hanging="340"/>
      <w:jc w:val="both"/>
    </w:pPr>
    <w:rPr>
      <w:sz w:val="24"/>
    </w:rPr>
  </w:style>
  <w:style w:type="paragraph" w:customStyle="1" w:styleId="Varianta29start">
    <w:name w:val="Varianta_29_start"/>
    <w:pPr>
      <w:pBdr>
        <w:top w:val="single" w:sz="8" w:space="0" w:color="800080"/>
      </w:pBdr>
      <w:spacing w:after="100"/>
      <w:ind w:left="1190"/>
    </w:pPr>
    <w:rPr>
      <w:b/>
      <w:i/>
      <w:color w:val="800080"/>
    </w:rPr>
  </w:style>
  <w:style w:type="paragraph" w:customStyle="1" w:styleId="Varianta29konec">
    <w:name w:val="Varianta_29_konec"/>
    <w:pPr>
      <w:pBdr>
        <w:bottom w:val="single" w:sz="8" w:space="0" w:color="800080"/>
      </w:pBdr>
      <w:spacing w:after="100"/>
      <w:ind w:left="1190"/>
    </w:pPr>
    <w:rPr>
      <w:b/>
      <w:i/>
      <w:color w:val="800080"/>
    </w:rPr>
  </w:style>
  <w:style w:type="paragraph" w:customStyle="1" w:styleId="Ucinnost29start">
    <w:name w:val="Ucinnost_29_start"/>
    <w:pPr>
      <w:pBdr>
        <w:top w:val="single" w:sz="8" w:space="0" w:color="8B0000"/>
      </w:pBdr>
      <w:spacing w:after="100"/>
      <w:ind w:left="1190"/>
    </w:pPr>
    <w:rPr>
      <w:b/>
      <w:i/>
      <w:color w:val="8B0000"/>
    </w:rPr>
  </w:style>
  <w:style w:type="paragraph" w:customStyle="1" w:styleId="Ucinnost29konec">
    <w:name w:val="Ucinnost_29_konec"/>
    <w:pPr>
      <w:pBdr>
        <w:bottom w:val="single" w:sz="8" w:space="0" w:color="8B0000"/>
      </w:pBdr>
      <w:spacing w:after="100"/>
      <w:ind w:left="1190"/>
    </w:pPr>
    <w:rPr>
      <w:b/>
      <w:i/>
      <w:color w:val="8B0000"/>
    </w:rPr>
  </w:style>
  <w:style w:type="paragraph" w:customStyle="1" w:styleId="30">
    <w:name w:val="30"/>
    <w:pPr>
      <w:spacing w:before="113" w:after="113"/>
      <w:ind w:left="510" w:hanging="510"/>
      <w:jc w:val="both"/>
    </w:pPr>
    <w:rPr>
      <w:sz w:val="24"/>
    </w:rPr>
  </w:style>
  <w:style w:type="paragraph" w:customStyle="1" w:styleId="Varianta30start">
    <w:name w:val="Varianta_30_start"/>
    <w:pPr>
      <w:pBdr>
        <w:top w:val="single" w:sz="8" w:space="0" w:color="800080"/>
      </w:pBdr>
      <w:spacing w:after="100"/>
      <w:ind w:left="510"/>
    </w:pPr>
    <w:rPr>
      <w:b/>
      <w:i/>
      <w:color w:val="800080"/>
    </w:rPr>
  </w:style>
  <w:style w:type="paragraph" w:customStyle="1" w:styleId="Varianta30konec">
    <w:name w:val="Varianta_30_konec"/>
    <w:pPr>
      <w:pBdr>
        <w:bottom w:val="single" w:sz="8" w:space="0" w:color="800080"/>
      </w:pBdr>
      <w:spacing w:after="100"/>
      <w:ind w:left="510"/>
    </w:pPr>
    <w:rPr>
      <w:b/>
      <w:i/>
      <w:color w:val="800080"/>
    </w:rPr>
  </w:style>
  <w:style w:type="paragraph" w:customStyle="1" w:styleId="Ucinnost30start">
    <w:name w:val="Ucinnost_30_start"/>
    <w:pPr>
      <w:pBdr>
        <w:top w:val="single" w:sz="8" w:space="0" w:color="8B0000"/>
      </w:pBdr>
      <w:spacing w:after="100"/>
      <w:ind w:left="510"/>
    </w:pPr>
    <w:rPr>
      <w:b/>
      <w:i/>
      <w:color w:val="8B0000"/>
    </w:rPr>
  </w:style>
  <w:style w:type="paragraph" w:customStyle="1" w:styleId="Ucinnost30konec">
    <w:name w:val="Ucinnost_30_konec"/>
    <w:pPr>
      <w:pBdr>
        <w:bottom w:val="single" w:sz="8" w:space="0" w:color="8B0000"/>
      </w:pBdr>
      <w:spacing w:after="100"/>
      <w:ind w:left="510"/>
    </w:pPr>
    <w:rPr>
      <w:b/>
      <w:i/>
      <w:color w:val="8B0000"/>
    </w:rPr>
  </w:style>
  <w:style w:type="paragraph" w:customStyle="1" w:styleId="31">
    <w:name w:val="31"/>
    <w:pPr>
      <w:spacing w:after="57"/>
      <w:ind w:left="510"/>
      <w:jc w:val="both"/>
    </w:pPr>
    <w:rPr>
      <w:sz w:val="24"/>
    </w:rPr>
  </w:style>
  <w:style w:type="paragraph" w:customStyle="1" w:styleId="32">
    <w:name w:val="32"/>
    <w:pPr>
      <w:spacing w:before="680"/>
      <w:ind w:left="850" w:right="850"/>
      <w:jc w:val="center"/>
    </w:pPr>
    <w:rPr>
      <w:b/>
      <w:sz w:val="30"/>
    </w:rPr>
  </w:style>
  <w:style w:type="paragraph" w:customStyle="1" w:styleId="33">
    <w:name w:val="33"/>
    <w:pPr>
      <w:spacing w:before="227" w:after="113"/>
      <w:jc w:val="center"/>
    </w:pPr>
    <w:rPr>
      <w:sz w:val="28"/>
    </w:rPr>
  </w:style>
  <w:style w:type="paragraph" w:customStyle="1" w:styleId="34">
    <w:name w:val="34"/>
    <w:pPr>
      <w:spacing w:after="113"/>
      <w:ind w:left="510" w:hanging="510"/>
      <w:jc w:val="both"/>
    </w:pPr>
    <w:rPr>
      <w:sz w:val="24"/>
    </w:rPr>
  </w:style>
  <w:style w:type="paragraph" w:customStyle="1" w:styleId="Varianta34start">
    <w:name w:val="Varianta_34_start"/>
    <w:pPr>
      <w:pBdr>
        <w:top w:val="single" w:sz="8" w:space="0" w:color="800080"/>
      </w:pBdr>
      <w:spacing w:after="100"/>
      <w:ind w:left="510"/>
    </w:pPr>
    <w:rPr>
      <w:b/>
      <w:i/>
      <w:color w:val="800080"/>
    </w:rPr>
  </w:style>
  <w:style w:type="paragraph" w:customStyle="1" w:styleId="Varianta34konec">
    <w:name w:val="Varianta_34_konec"/>
    <w:pPr>
      <w:pBdr>
        <w:bottom w:val="single" w:sz="8" w:space="0" w:color="800080"/>
      </w:pBdr>
      <w:spacing w:after="100"/>
      <w:ind w:left="510"/>
    </w:pPr>
    <w:rPr>
      <w:b/>
      <w:i/>
      <w:color w:val="800080"/>
    </w:rPr>
  </w:style>
  <w:style w:type="paragraph" w:customStyle="1" w:styleId="Ucinnost34start">
    <w:name w:val="Ucinnost_34_start"/>
    <w:pPr>
      <w:pBdr>
        <w:top w:val="single" w:sz="8" w:space="0" w:color="8B0000"/>
      </w:pBdr>
      <w:spacing w:after="100"/>
      <w:ind w:left="510"/>
    </w:pPr>
    <w:rPr>
      <w:b/>
      <w:i/>
      <w:color w:val="8B0000"/>
    </w:rPr>
  </w:style>
  <w:style w:type="paragraph" w:customStyle="1" w:styleId="Ucinnost34konec">
    <w:name w:val="Ucinnost_34_konec"/>
    <w:pPr>
      <w:pBdr>
        <w:bottom w:val="single" w:sz="8" w:space="0" w:color="8B0000"/>
      </w:pBdr>
      <w:spacing w:after="100"/>
      <w:ind w:left="510"/>
    </w:pPr>
    <w:rPr>
      <w:b/>
      <w:i/>
      <w:color w:val="8B0000"/>
    </w:rPr>
  </w:style>
  <w:style w:type="paragraph" w:customStyle="1" w:styleId="35">
    <w:name w:val="35"/>
    <w:pPr>
      <w:spacing w:before="113" w:after="113"/>
      <w:ind w:left="510" w:hanging="510"/>
      <w:jc w:val="both"/>
    </w:pPr>
    <w:rPr>
      <w:sz w:val="24"/>
    </w:rPr>
  </w:style>
  <w:style w:type="paragraph" w:customStyle="1" w:styleId="Varianta35start">
    <w:name w:val="Varianta_35_start"/>
    <w:pPr>
      <w:pBdr>
        <w:top w:val="single" w:sz="8" w:space="0" w:color="800080"/>
      </w:pBdr>
      <w:spacing w:after="100"/>
      <w:ind w:left="510"/>
    </w:pPr>
    <w:rPr>
      <w:b/>
      <w:i/>
      <w:color w:val="800080"/>
    </w:rPr>
  </w:style>
  <w:style w:type="paragraph" w:customStyle="1" w:styleId="Varianta35konec">
    <w:name w:val="Varianta_35_konec"/>
    <w:pPr>
      <w:pBdr>
        <w:bottom w:val="single" w:sz="8" w:space="0" w:color="800080"/>
      </w:pBdr>
      <w:spacing w:after="100"/>
      <w:ind w:left="510"/>
    </w:pPr>
    <w:rPr>
      <w:b/>
      <w:i/>
      <w:color w:val="800080"/>
    </w:rPr>
  </w:style>
  <w:style w:type="paragraph" w:customStyle="1" w:styleId="Ucinnost35start">
    <w:name w:val="Ucinnost_35_start"/>
    <w:pPr>
      <w:pBdr>
        <w:top w:val="single" w:sz="8" w:space="0" w:color="8B0000"/>
      </w:pBdr>
      <w:spacing w:after="100"/>
      <w:ind w:left="510"/>
    </w:pPr>
    <w:rPr>
      <w:b/>
      <w:i/>
      <w:color w:val="8B0000"/>
    </w:rPr>
  </w:style>
  <w:style w:type="paragraph" w:customStyle="1" w:styleId="Ucinnost35konec">
    <w:name w:val="Ucinnost_35_konec"/>
    <w:pPr>
      <w:pBdr>
        <w:bottom w:val="single" w:sz="8" w:space="0" w:color="8B0000"/>
      </w:pBdr>
      <w:spacing w:after="100"/>
      <w:ind w:left="510"/>
    </w:pPr>
    <w:rPr>
      <w:b/>
      <w:i/>
      <w:color w:val="8B0000"/>
    </w:rPr>
  </w:style>
  <w:style w:type="paragraph" w:customStyle="1" w:styleId="36">
    <w:name w:val="36"/>
    <w:pPr>
      <w:spacing w:before="113" w:after="57"/>
      <w:ind w:left="510" w:hanging="510"/>
      <w:jc w:val="both"/>
    </w:pPr>
    <w:rPr>
      <w:sz w:val="24"/>
    </w:rPr>
  </w:style>
  <w:style w:type="paragraph" w:customStyle="1" w:styleId="Varianta36start">
    <w:name w:val="Varianta_36_start"/>
    <w:pPr>
      <w:pBdr>
        <w:top w:val="single" w:sz="8" w:space="0" w:color="800080"/>
      </w:pBdr>
      <w:spacing w:after="100"/>
      <w:ind w:left="510"/>
    </w:pPr>
    <w:rPr>
      <w:b/>
      <w:i/>
      <w:color w:val="800080"/>
    </w:rPr>
  </w:style>
  <w:style w:type="paragraph" w:customStyle="1" w:styleId="Varianta36konec">
    <w:name w:val="Varianta_36_konec"/>
    <w:pPr>
      <w:pBdr>
        <w:bottom w:val="single" w:sz="8" w:space="0" w:color="800080"/>
      </w:pBdr>
      <w:spacing w:after="100"/>
      <w:ind w:left="510"/>
    </w:pPr>
    <w:rPr>
      <w:b/>
      <w:i/>
      <w:color w:val="800080"/>
    </w:rPr>
  </w:style>
  <w:style w:type="paragraph" w:customStyle="1" w:styleId="Ucinnost36start">
    <w:name w:val="Ucinnost_36_start"/>
    <w:pPr>
      <w:pBdr>
        <w:top w:val="single" w:sz="8" w:space="0" w:color="8B0000"/>
      </w:pBdr>
      <w:spacing w:after="100"/>
      <w:ind w:left="510"/>
    </w:pPr>
    <w:rPr>
      <w:b/>
      <w:i/>
      <w:color w:val="8B0000"/>
    </w:rPr>
  </w:style>
  <w:style w:type="paragraph" w:customStyle="1" w:styleId="Ucinnost36konec">
    <w:name w:val="Ucinnost_36_konec"/>
    <w:pPr>
      <w:pBdr>
        <w:bottom w:val="single" w:sz="8" w:space="0" w:color="8B0000"/>
      </w:pBdr>
      <w:spacing w:after="100"/>
      <w:ind w:left="510"/>
    </w:pPr>
    <w:rPr>
      <w:b/>
      <w:i/>
      <w:color w:val="8B0000"/>
    </w:rPr>
  </w:style>
  <w:style w:type="paragraph" w:customStyle="1" w:styleId="37">
    <w:name w:val="37"/>
    <w:pPr>
      <w:spacing w:before="227" w:after="113"/>
      <w:jc w:val="center"/>
    </w:pPr>
    <w:rPr>
      <w:sz w:val="28"/>
    </w:rPr>
  </w:style>
  <w:style w:type="paragraph" w:customStyle="1" w:styleId="38">
    <w:name w:val="38"/>
    <w:pPr>
      <w:spacing w:before="11"/>
    </w:pPr>
    <w:rPr>
      <w:sz w:val="0"/>
    </w:rPr>
  </w:style>
  <w:style w:type="paragraph" w:customStyle="1" w:styleId="39">
    <w:name w:val="39"/>
    <w:pPr>
      <w:spacing w:after="57"/>
      <w:jc w:val="both"/>
    </w:pPr>
    <w:rPr>
      <w:sz w:val="24"/>
    </w:rPr>
  </w:style>
  <w:style w:type="paragraph" w:customStyle="1" w:styleId="40">
    <w:name w:val="40"/>
    <w:pPr>
      <w:spacing w:before="57" w:after="57"/>
      <w:ind w:left="510"/>
    </w:pPr>
    <w:rPr>
      <w:sz w:val="24"/>
    </w:rPr>
  </w:style>
  <w:style w:type="paragraph" w:customStyle="1" w:styleId="41">
    <w:name w:val="41"/>
    <w:pPr>
      <w:spacing w:before="57" w:after="283"/>
      <w:ind w:left="510"/>
    </w:pPr>
    <w:rPr>
      <w:sz w:val="24"/>
    </w:rPr>
  </w:style>
  <w:style w:type="paragraph" w:customStyle="1" w:styleId="42">
    <w:name w:val="42"/>
    <w:pPr>
      <w:spacing w:before="737" w:after="57"/>
      <w:jc w:val="right"/>
    </w:pPr>
    <w:rPr>
      <w:b/>
      <w:sz w:val="26"/>
    </w:rPr>
  </w:style>
  <w:style w:type="paragraph" w:customStyle="1" w:styleId="43">
    <w:name w:val="43"/>
    <w:pPr>
      <w:spacing w:after="113"/>
      <w:ind w:left="850" w:right="850"/>
      <w:jc w:val="center"/>
    </w:pPr>
    <w:rPr>
      <w:b/>
      <w:sz w:val="28"/>
    </w:rPr>
  </w:style>
  <w:style w:type="paragraph" w:customStyle="1" w:styleId="44">
    <w:name w:val="44"/>
    <w:pPr>
      <w:spacing w:before="510" w:after="57"/>
      <w:ind w:left="850" w:right="850"/>
      <w:jc w:val="center"/>
    </w:pPr>
    <w:rPr>
      <w:b/>
      <w:caps/>
      <w:sz w:val="32"/>
    </w:rPr>
  </w:style>
  <w:style w:type="table" w:customStyle="1" w:styleId="TABLE1">
    <w:name w:val="TABLE1"/>
    <w:basedOn w:val="Normlntabulka"/>
    <w:tblPr/>
  </w:style>
  <w:style w:type="paragraph" w:customStyle="1" w:styleId="45">
    <w:name w:val="45"/>
    <w:pPr>
      <w:spacing w:after="57"/>
      <w:jc w:val="both"/>
    </w:pPr>
    <w:rPr>
      <w:sz w:val="24"/>
    </w:rPr>
  </w:style>
  <w:style w:type="paragraph" w:customStyle="1" w:styleId="46">
    <w:name w:val="46"/>
    <w:pPr>
      <w:spacing w:after="113"/>
      <w:ind w:left="623" w:hanging="340"/>
      <w:jc w:val="both"/>
    </w:pPr>
    <w:rPr>
      <w:sz w:val="22"/>
    </w:rPr>
  </w:style>
  <w:style w:type="paragraph" w:customStyle="1" w:styleId="Varianta46start">
    <w:name w:val="Varianta_46_start"/>
    <w:pPr>
      <w:pBdr>
        <w:top w:val="single" w:sz="8" w:space="0" w:color="800080"/>
      </w:pBdr>
      <w:spacing w:after="100"/>
      <w:ind w:left="623"/>
    </w:pPr>
    <w:rPr>
      <w:b/>
      <w:i/>
      <w:color w:val="800080"/>
    </w:rPr>
  </w:style>
  <w:style w:type="paragraph" w:customStyle="1" w:styleId="Varianta46konec">
    <w:name w:val="Varianta_46_konec"/>
    <w:pPr>
      <w:pBdr>
        <w:bottom w:val="single" w:sz="8" w:space="0" w:color="800080"/>
      </w:pBdr>
      <w:spacing w:after="100"/>
      <w:ind w:left="623"/>
    </w:pPr>
    <w:rPr>
      <w:b/>
      <w:i/>
      <w:color w:val="800080"/>
    </w:rPr>
  </w:style>
  <w:style w:type="paragraph" w:customStyle="1" w:styleId="Ucinnost46start">
    <w:name w:val="Ucinnost_46_start"/>
    <w:pPr>
      <w:pBdr>
        <w:top w:val="single" w:sz="8" w:space="0" w:color="8B0000"/>
      </w:pBdr>
      <w:spacing w:after="100"/>
      <w:ind w:left="623"/>
    </w:pPr>
    <w:rPr>
      <w:b/>
      <w:i/>
      <w:color w:val="8B0000"/>
    </w:rPr>
  </w:style>
  <w:style w:type="paragraph" w:customStyle="1" w:styleId="Ucinnost46konec">
    <w:name w:val="Ucinnost_46_konec"/>
    <w:pPr>
      <w:pBdr>
        <w:bottom w:val="single" w:sz="8" w:space="0" w:color="8B0000"/>
      </w:pBdr>
      <w:spacing w:after="100"/>
      <w:ind w:left="623"/>
    </w:pPr>
    <w:rPr>
      <w:b/>
      <w:i/>
      <w:color w:val="8B0000"/>
    </w:rPr>
  </w:style>
  <w:style w:type="paragraph" w:customStyle="1" w:styleId="47">
    <w:name w:val="47"/>
    <w:pPr>
      <w:spacing w:after="57"/>
      <w:ind w:left="624"/>
      <w:jc w:val="both"/>
    </w:pPr>
    <w:rPr>
      <w:sz w:val="24"/>
    </w:rPr>
  </w:style>
  <w:style w:type="paragraph" w:customStyle="1" w:styleId="48">
    <w:name w:val="48"/>
    <w:pPr>
      <w:spacing w:after="113"/>
      <w:jc w:val="both"/>
    </w:pPr>
    <w:rPr>
      <w:sz w:val="24"/>
    </w:rPr>
  </w:style>
  <w:style w:type="paragraph" w:customStyle="1" w:styleId="49">
    <w:name w:val="49"/>
    <w:pPr>
      <w:spacing w:before="113" w:after="57"/>
      <w:jc w:val="both"/>
    </w:pPr>
    <w:rPr>
      <w:sz w:val="24"/>
    </w:rPr>
  </w:style>
  <w:style w:type="paragraph" w:customStyle="1" w:styleId="50">
    <w:name w:val="50"/>
    <w:pPr>
      <w:spacing w:after="113"/>
      <w:jc w:val="both"/>
    </w:pPr>
    <w:rPr>
      <w:sz w:val="24"/>
    </w:rPr>
  </w:style>
  <w:style w:type="paragraph" w:customStyle="1" w:styleId="51">
    <w:name w:val="51"/>
    <w:pPr>
      <w:spacing w:before="113" w:after="113"/>
      <w:jc w:val="both"/>
    </w:pPr>
    <w:rPr>
      <w:sz w:val="24"/>
    </w:rPr>
  </w:style>
  <w:style w:type="paragraph" w:customStyle="1" w:styleId="52">
    <w:name w:val="52"/>
    <w:pPr>
      <w:spacing w:before="113" w:after="113"/>
      <w:jc w:val="both"/>
    </w:pPr>
    <w:rPr>
      <w:sz w:val="24"/>
    </w:rPr>
  </w:style>
  <w:style w:type="paragraph" w:customStyle="1" w:styleId="53">
    <w:name w:val="53"/>
    <w:pPr>
      <w:spacing w:before="113" w:after="57"/>
      <w:jc w:val="both"/>
    </w:pPr>
    <w:rPr>
      <w:sz w:val="24"/>
    </w:rPr>
  </w:style>
  <w:style w:type="paragraph" w:customStyle="1" w:styleId="54">
    <w:name w:val="54"/>
    <w:pPr>
      <w:spacing w:after="113"/>
      <w:ind w:left="624"/>
      <w:jc w:val="both"/>
    </w:pPr>
    <w:rPr>
      <w:sz w:val="24"/>
    </w:rPr>
  </w:style>
  <w:style w:type="paragraph" w:customStyle="1" w:styleId="55">
    <w:name w:val="55"/>
    <w:pPr>
      <w:spacing w:before="113" w:after="113"/>
      <w:ind w:left="624"/>
      <w:jc w:val="both"/>
    </w:pPr>
    <w:rPr>
      <w:sz w:val="24"/>
    </w:rPr>
  </w:style>
  <w:style w:type="paragraph" w:customStyle="1" w:styleId="56">
    <w:name w:val="56"/>
    <w:pPr>
      <w:spacing w:before="113" w:after="57"/>
      <w:ind w:left="624"/>
      <w:jc w:val="both"/>
    </w:pPr>
    <w:rPr>
      <w:sz w:val="24"/>
    </w:rPr>
  </w:style>
  <w:style w:type="paragraph" w:customStyle="1" w:styleId="57">
    <w:name w:val="57"/>
    <w:pPr>
      <w:spacing w:after="113"/>
      <w:ind w:left="1247" w:hanging="340"/>
      <w:jc w:val="both"/>
    </w:pPr>
    <w:rPr>
      <w:sz w:val="22"/>
    </w:rPr>
  </w:style>
  <w:style w:type="paragraph" w:customStyle="1" w:styleId="Varianta57start">
    <w:name w:val="Varianta_57_start"/>
    <w:pPr>
      <w:pBdr>
        <w:top w:val="single" w:sz="8" w:space="0" w:color="800080"/>
      </w:pBdr>
      <w:spacing w:after="100"/>
      <w:ind w:left="1247"/>
    </w:pPr>
    <w:rPr>
      <w:b/>
      <w:i/>
      <w:color w:val="800080"/>
    </w:rPr>
  </w:style>
  <w:style w:type="paragraph" w:customStyle="1" w:styleId="Varianta57konec">
    <w:name w:val="Varianta_57_konec"/>
    <w:pPr>
      <w:pBdr>
        <w:bottom w:val="single" w:sz="8" w:space="0" w:color="800080"/>
      </w:pBdr>
      <w:spacing w:after="100"/>
      <w:ind w:left="1247"/>
    </w:pPr>
    <w:rPr>
      <w:b/>
      <w:i/>
      <w:color w:val="800080"/>
    </w:rPr>
  </w:style>
  <w:style w:type="paragraph" w:customStyle="1" w:styleId="Ucinnost57start">
    <w:name w:val="Ucinnost_57_start"/>
    <w:pPr>
      <w:pBdr>
        <w:top w:val="single" w:sz="8" w:space="0" w:color="8B0000"/>
      </w:pBdr>
      <w:spacing w:after="100"/>
      <w:ind w:left="1247"/>
    </w:pPr>
    <w:rPr>
      <w:b/>
      <w:i/>
      <w:color w:val="8B0000"/>
    </w:rPr>
  </w:style>
  <w:style w:type="paragraph" w:customStyle="1" w:styleId="Ucinnost57konec">
    <w:name w:val="Ucinnost_57_konec"/>
    <w:pPr>
      <w:pBdr>
        <w:bottom w:val="single" w:sz="8" w:space="0" w:color="8B0000"/>
      </w:pBdr>
      <w:spacing w:after="100"/>
      <w:ind w:left="1247"/>
    </w:pPr>
    <w:rPr>
      <w:b/>
      <w:i/>
      <w:color w:val="8B0000"/>
    </w:rPr>
  </w:style>
  <w:style w:type="paragraph" w:customStyle="1" w:styleId="58">
    <w:name w:val="58"/>
    <w:pPr>
      <w:spacing w:after="113"/>
      <w:ind w:left="2098" w:right="850"/>
      <w:jc w:val="center"/>
    </w:pPr>
    <w:rPr>
      <w:b/>
      <w:sz w:val="28"/>
    </w:rPr>
  </w:style>
  <w:style w:type="paragraph" w:customStyle="1" w:styleId="59">
    <w:name w:val="59"/>
    <w:pPr>
      <w:spacing w:after="57"/>
      <w:ind w:left="1247"/>
      <w:jc w:val="both"/>
    </w:pPr>
    <w:rPr>
      <w:sz w:val="24"/>
    </w:rPr>
  </w:style>
  <w:style w:type="table" w:customStyle="1" w:styleId="data-tisk-na-sirku">
    <w:name w:val="data-tisk-na-sirku"/>
    <w:basedOn w:val="Normlntabulka"/>
    <w:tblPr/>
  </w:style>
  <w:style w:type="paragraph" w:customStyle="1" w:styleId="60">
    <w:name w:val="60"/>
    <w:pPr>
      <w:spacing w:after="113"/>
      <w:ind w:left="1247"/>
      <w:jc w:val="both"/>
    </w:pPr>
    <w:rPr>
      <w:sz w:val="24"/>
    </w:rPr>
  </w:style>
  <w:style w:type="paragraph" w:customStyle="1" w:styleId="61">
    <w:name w:val="61"/>
    <w:pPr>
      <w:spacing w:before="113" w:after="113"/>
      <w:ind w:left="1247"/>
      <w:jc w:val="both"/>
    </w:pPr>
    <w:rPr>
      <w:sz w:val="24"/>
    </w:rPr>
  </w:style>
  <w:style w:type="paragraph" w:customStyle="1" w:styleId="62">
    <w:name w:val="62"/>
    <w:pPr>
      <w:spacing w:before="113" w:after="57"/>
      <w:ind w:left="1247"/>
      <w:jc w:val="both"/>
    </w:pPr>
    <w:rPr>
      <w:sz w:val="24"/>
    </w:rPr>
  </w:style>
  <w:style w:type="paragraph" w:customStyle="1" w:styleId="63">
    <w:name w:val="63"/>
    <w:pPr>
      <w:spacing w:after="57"/>
      <w:ind w:left="1304" w:hanging="340"/>
      <w:jc w:val="both"/>
    </w:pPr>
    <w:rPr>
      <w:sz w:val="24"/>
    </w:rPr>
  </w:style>
  <w:style w:type="paragraph" w:customStyle="1" w:styleId="Varianta63start">
    <w:name w:val="Varianta_63_start"/>
    <w:pPr>
      <w:pBdr>
        <w:top w:val="single" w:sz="8" w:space="0" w:color="800080"/>
      </w:pBdr>
      <w:spacing w:after="100"/>
      <w:ind w:left="1304"/>
    </w:pPr>
    <w:rPr>
      <w:b/>
      <w:i/>
      <w:color w:val="800080"/>
    </w:rPr>
  </w:style>
  <w:style w:type="paragraph" w:customStyle="1" w:styleId="Varianta63konec">
    <w:name w:val="Varianta_63_konec"/>
    <w:pPr>
      <w:pBdr>
        <w:bottom w:val="single" w:sz="8" w:space="0" w:color="800080"/>
      </w:pBdr>
      <w:spacing w:after="100"/>
      <w:ind w:left="1304"/>
    </w:pPr>
    <w:rPr>
      <w:b/>
      <w:i/>
      <w:color w:val="800080"/>
    </w:rPr>
  </w:style>
  <w:style w:type="paragraph" w:customStyle="1" w:styleId="Ucinnost63start">
    <w:name w:val="Ucinnost_63_start"/>
    <w:pPr>
      <w:pBdr>
        <w:top w:val="single" w:sz="8" w:space="0" w:color="8B0000"/>
      </w:pBdr>
      <w:spacing w:after="100"/>
      <w:ind w:left="1304"/>
    </w:pPr>
    <w:rPr>
      <w:b/>
      <w:i/>
      <w:color w:val="8B0000"/>
    </w:rPr>
  </w:style>
  <w:style w:type="paragraph" w:customStyle="1" w:styleId="Ucinnost63konec">
    <w:name w:val="Ucinnost_63_konec"/>
    <w:pPr>
      <w:pBdr>
        <w:bottom w:val="single" w:sz="8" w:space="0" w:color="8B0000"/>
      </w:pBdr>
      <w:spacing w:after="100"/>
      <w:ind w:left="1304"/>
    </w:pPr>
    <w:rPr>
      <w:b/>
      <w:i/>
      <w:color w:val="8B0000"/>
    </w:rPr>
  </w:style>
  <w:style w:type="paragraph" w:customStyle="1" w:styleId="64">
    <w:name w:val="64"/>
    <w:pPr>
      <w:spacing w:before="57" w:after="57"/>
      <w:ind w:left="1304" w:hanging="340"/>
      <w:jc w:val="both"/>
    </w:pPr>
    <w:rPr>
      <w:sz w:val="24"/>
    </w:rPr>
  </w:style>
  <w:style w:type="paragraph" w:customStyle="1" w:styleId="Varianta64start">
    <w:name w:val="Varianta_64_start"/>
    <w:pPr>
      <w:pBdr>
        <w:top w:val="single" w:sz="8" w:space="0" w:color="800080"/>
      </w:pBdr>
      <w:spacing w:after="100"/>
      <w:ind w:left="1304"/>
    </w:pPr>
    <w:rPr>
      <w:b/>
      <w:i/>
      <w:color w:val="800080"/>
    </w:rPr>
  </w:style>
  <w:style w:type="paragraph" w:customStyle="1" w:styleId="Varianta64konec">
    <w:name w:val="Varianta_64_konec"/>
    <w:pPr>
      <w:pBdr>
        <w:bottom w:val="single" w:sz="8" w:space="0" w:color="800080"/>
      </w:pBdr>
      <w:spacing w:after="100"/>
      <w:ind w:left="1304"/>
    </w:pPr>
    <w:rPr>
      <w:b/>
      <w:i/>
      <w:color w:val="800080"/>
    </w:rPr>
  </w:style>
  <w:style w:type="paragraph" w:customStyle="1" w:styleId="Ucinnost64start">
    <w:name w:val="Ucinnost_64_start"/>
    <w:pPr>
      <w:pBdr>
        <w:top w:val="single" w:sz="8" w:space="0" w:color="8B0000"/>
      </w:pBdr>
      <w:spacing w:after="100"/>
      <w:ind w:left="1304"/>
    </w:pPr>
    <w:rPr>
      <w:b/>
      <w:i/>
      <w:color w:val="8B0000"/>
    </w:rPr>
  </w:style>
  <w:style w:type="paragraph" w:customStyle="1" w:styleId="Ucinnost64konec">
    <w:name w:val="Ucinnost_64_konec"/>
    <w:pPr>
      <w:pBdr>
        <w:bottom w:val="single" w:sz="8" w:space="0" w:color="8B0000"/>
      </w:pBdr>
      <w:spacing w:after="100"/>
      <w:ind w:left="1304"/>
    </w:pPr>
    <w:rPr>
      <w:b/>
      <w:i/>
      <w:color w:val="8B0000"/>
    </w:rPr>
  </w:style>
  <w:style w:type="paragraph" w:customStyle="1" w:styleId="65">
    <w:name w:val="65"/>
    <w:pPr>
      <w:spacing w:before="57" w:after="227"/>
      <w:ind w:left="1304" w:hanging="340"/>
      <w:jc w:val="both"/>
    </w:pPr>
    <w:rPr>
      <w:sz w:val="24"/>
    </w:rPr>
  </w:style>
  <w:style w:type="paragraph" w:customStyle="1" w:styleId="Varianta65start">
    <w:name w:val="Varianta_65_start"/>
    <w:pPr>
      <w:pBdr>
        <w:top w:val="single" w:sz="8" w:space="0" w:color="800080"/>
      </w:pBdr>
      <w:spacing w:after="100"/>
      <w:ind w:left="1304"/>
    </w:pPr>
    <w:rPr>
      <w:b/>
      <w:i/>
      <w:color w:val="800080"/>
    </w:rPr>
  </w:style>
  <w:style w:type="paragraph" w:customStyle="1" w:styleId="Varianta65konec">
    <w:name w:val="Varianta_65_konec"/>
    <w:pPr>
      <w:pBdr>
        <w:bottom w:val="single" w:sz="8" w:space="0" w:color="800080"/>
      </w:pBdr>
      <w:spacing w:after="100"/>
      <w:ind w:left="1304"/>
    </w:pPr>
    <w:rPr>
      <w:b/>
      <w:i/>
      <w:color w:val="800080"/>
    </w:rPr>
  </w:style>
  <w:style w:type="paragraph" w:customStyle="1" w:styleId="Ucinnost65start">
    <w:name w:val="Ucinnost_65_start"/>
    <w:pPr>
      <w:pBdr>
        <w:top w:val="single" w:sz="8" w:space="0" w:color="8B0000"/>
      </w:pBdr>
      <w:spacing w:after="100"/>
      <w:ind w:left="1304"/>
    </w:pPr>
    <w:rPr>
      <w:b/>
      <w:i/>
      <w:color w:val="8B0000"/>
    </w:rPr>
  </w:style>
  <w:style w:type="paragraph" w:customStyle="1" w:styleId="Ucinnost65konec">
    <w:name w:val="Ucinnost_65_konec"/>
    <w:pPr>
      <w:pBdr>
        <w:bottom w:val="single" w:sz="8" w:space="0" w:color="8B0000"/>
      </w:pBdr>
      <w:spacing w:after="100"/>
      <w:ind w:left="1304"/>
    </w:pPr>
    <w:rPr>
      <w:b/>
      <w:i/>
      <w:color w:val="8B0000"/>
    </w:rPr>
  </w:style>
  <w:style w:type="paragraph" w:customStyle="1" w:styleId="66">
    <w:name w:val="66"/>
    <w:pPr>
      <w:spacing w:after="28"/>
      <w:ind w:left="623" w:hanging="340"/>
      <w:jc w:val="both"/>
    </w:pPr>
    <w:rPr>
      <w:sz w:val="22"/>
    </w:rPr>
  </w:style>
  <w:style w:type="paragraph" w:customStyle="1" w:styleId="Varianta66start">
    <w:name w:val="Varianta_66_start"/>
    <w:pPr>
      <w:pBdr>
        <w:top w:val="single" w:sz="8" w:space="0" w:color="800080"/>
      </w:pBdr>
      <w:spacing w:after="100"/>
      <w:ind w:left="623"/>
    </w:pPr>
    <w:rPr>
      <w:b/>
      <w:i/>
      <w:color w:val="800080"/>
    </w:rPr>
  </w:style>
  <w:style w:type="paragraph" w:customStyle="1" w:styleId="Varianta66konec">
    <w:name w:val="Varianta_66_konec"/>
    <w:pPr>
      <w:pBdr>
        <w:bottom w:val="single" w:sz="8" w:space="0" w:color="800080"/>
      </w:pBdr>
      <w:spacing w:after="100"/>
      <w:ind w:left="623"/>
    </w:pPr>
    <w:rPr>
      <w:b/>
      <w:i/>
      <w:color w:val="800080"/>
    </w:rPr>
  </w:style>
  <w:style w:type="paragraph" w:customStyle="1" w:styleId="Ucinnost66start">
    <w:name w:val="Ucinnost_66_start"/>
    <w:pPr>
      <w:pBdr>
        <w:top w:val="single" w:sz="8" w:space="0" w:color="8B0000"/>
      </w:pBdr>
      <w:spacing w:after="100"/>
      <w:ind w:left="623"/>
    </w:pPr>
    <w:rPr>
      <w:b/>
      <w:i/>
      <w:color w:val="8B0000"/>
    </w:rPr>
  </w:style>
  <w:style w:type="paragraph" w:customStyle="1" w:styleId="Ucinnost66konec">
    <w:name w:val="Ucinnost_66_konec"/>
    <w:pPr>
      <w:pBdr>
        <w:bottom w:val="single" w:sz="8" w:space="0" w:color="8B0000"/>
      </w:pBdr>
      <w:spacing w:after="100"/>
      <w:ind w:left="623"/>
    </w:pPr>
    <w:rPr>
      <w:b/>
      <w:i/>
      <w:color w:val="8B0000"/>
    </w:rPr>
  </w:style>
  <w:style w:type="paragraph" w:customStyle="1" w:styleId="67">
    <w:name w:val="67"/>
    <w:pPr>
      <w:spacing w:before="28" w:after="113"/>
      <w:ind w:left="1247" w:hanging="340"/>
      <w:jc w:val="both"/>
    </w:pPr>
    <w:rPr>
      <w:sz w:val="22"/>
    </w:rPr>
  </w:style>
  <w:style w:type="paragraph" w:customStyle="1" w:styleId="Varianta67start">
    <w:name w:val="Varianta_67_start"/>
    <w:pPr>
      <w:pBdr>
        <w:top w:val="single" w:sz="8" w:space="0" w:color="800080"/>
      </w:pBdr>
      <w:spacing w:after="100"/>
      <w:ind w:left="1247"/>
    </w:pPr>
    <w:rPr>
      <w:b/>
      <w:i/>
      <w:color w:val="800080"/>
    </w:rPr>
  </w:style>
  <w:style w:type="paragraph" w:customStyle="1" w:styleId="Varianta67konec">
    <w:name w:val="Varianta_67_konec"/>
    <w:pPr>
      <w:pBdr>
        <w:bottom w:val="single" w:sz="8" w:space="0" w:color="800080"/>
      </w:pBdr>
      <w:spacing w:after="100"/>
      <w:ind w:left="1247"/>
    </w:pPr>
    <w:rPr>
      <w:b/>
      <w:i/>
      <w:color w:val="800080"/>
    </w:rPr>
  </w:style>
  <w:style w:type="paragraph" w:customStyle="1" w:styleId="Ucinnost67start">
    <w:name w:val="Ucinnost_67_start"/>
    <w:pPr>
      <w:pBdr>
        <w:top w:val="single" w:sz="8" w:space="0" w:color="8B0000"/>
      </w:pBdr>
      <w:spacing w:after="100"/>
      <w:ind w:left="1247"/>
    </w:pPr>
    <w:rPr>
      <w:b/>
      <w:i/>
      <w:color w:val="8B0000"/>
    </w:rPr>
  </w:style>
  <w:style w:type="paragraph" w:customStyle="1" w:styleId="Ucinnost67konec">
    <w:name w:val="Ucinnost_67_konec"/>
    <w:pPr>
      <w:pBdr>
        <w:bottom w:val="single" w:sz="8" w:space="0" w:color="8B0000"/>
      </w:pBdr>
      <w:spacing w:after="100"/>
      <w:ind w:left="1247"/>
    </w:pPr>
    <w:rPr>
      <w:b/>
      <w:i/>
      <w:color w:val="8B0000"/>
    </w:rPr>
  </w:style>
  <w:style w:type="paragraph" w:customStyle="1" w:styleId="68">
    <w:name w:val="68"/>
    <w:pPr>
      <w:spacing w:after="113"/>
      <w:ind w:left="624"/>
      <w:jc w:val="both"/>
    </w:pPr>
    <w:rPr>
      <w:sz w:val="24"/>
    </w:rPr>
  </w:style>
  <w:style w:type="paragraph" w:customStyle="1" w:styleId="69">
    <w:name w:val="69"/>
    <w:pPr>
      <w:spacing w:before="113" w:after="57"/>
      <w:ind w:left="624"/>
      <w:jc w:val="both"/>
    </w:pPr>
    <w:rPr>
      <w:sz w:val="24"/>
    </w:rPr>
  </w:style>
  <w:style w:type="paragraph" w:customStyle="1" w:styleId="70">
    <w:name w:val="70"/>
    <w:pPr>
      <w:spacing w:after="57"/>
      <w:jc w:val="both"/>
    </w:pPr>
    <w:rPr>
      <w:sz w:val="24"/>
    </w:rPr>
  </w:style>
  <w:style w:type="paragraph" w:customStyle="1" w:styleId="71">
    <w:name w:val="71"/>
    <w:pPr>
      <w:spacing w:after="113"/>
      <w:ind w:left="1247"/>
      <w:jc w:val="both"/>
    </w:pPr>
    <w:rPr>
      <w:sz w:val="24"/>
    </w:rPr>
  </w:style>
  <w:style w:type="paragraph" w:customStyle="1" w:styleId="72">
    <w:name w:val="72"/>
    <w:pPr>
      <w:spacing w:before="113" w:after="57"/>
      <w:ind w:left="1247"/>
      <w:jc w:val="both"/>
    </w:pPr>
    <w:rPr>
      <w:sz w:val="24"/>
    </w:rPr>
  </w:style>
  <w:style w:type="paragraph" w:customStyle="1" w:styleId="73">
    <w:name w:val="73"/>
    <w:pPr>
      <w:spacing w:after="113"/>
      <w:ind w:left="1871" w:hanging="340"/>
      <w:jc w:val="both"/>
    </w:pPr>
    <w:rPr>
      <w:sz w:val="22"/>
    </w:rPr>
  </w:style>
  <w:style w:type="paragraph" w:customStyle="1" w:styleId="Varianta73start">
    <w:name w:val="Varianta_73_start"/>
    <w:pPr>
      <w:pBdr>
        <w:top w:val="single" w:sz="8" w:space="0" w:color="800080"/>
      </w:pBdr>
      <w:spacing w:after="100"/>
      <w:ind w:left="1871"/>
    </w:pPr>
    <w:rPr>
      <w:b/>
      <w:i/>
      <w:color w:val="800080"/>
    </w:rPr>
  </w:style>
  <w:style w:type="paragraph" w:customStyle="1" w:styleId="Varianta73konec">
    <w:name w:val="Varianta_73_konec"/>
    <w:pPr>
      <w:pBdr>
        <w:bottom w:val="single" w:sz="8" w:space="0" w:color="800080"/>
      </w:pBdr>
      <w:spacing w:after="100"/>
      <w:ind w:left="1871"/>
    </w:pPr>
    <w:rPr>
      <w:b/>
      <w:i/>
      <w:color w:val="800080"/>
    </w:rPr>
  </w:style>
  <w:style w:type="paragraph" w:customStyle="1" w:styleId="Ucinnost73start">
    <w:name w:val="Ucinnost_73_start"/>
    <w:pPr>
      <w:pBdr>
        <w:top w:val="single" w:sz="8" w:space="0" w:color="8B0000"/>
      </w:pBdr>
      <w:spacing w:after="100"/>
      <w:ind w:left="1871"/>
    </w:pPr>
    <w:rPr>
      <w:b/>
      <w:i/>
      <w:color w:val="8B0000"/>
    </w:rPr>
  </w:style>
  <w:style w:type="paragraph" w:customStyle="1" w:styleId="Ucinnost73konec">
    <w:name w:val="Ucinnost_73_konec"/>
    <w:pPr>
      <w:pBdr>
        <w:bottom w:val="single" w:sz="8" w:space="0" w:color="8B0000"/>
      </w:pBdr>
      <w:spacing w:after="100"/>
      <w:ind w:left="1871"/>
    </w:pPr>
    <w:rPr>
      <w:b/>
      <w:i/>
      <w:color w:val="8B0000"/>
    </w:rPr>
  </w:style>
  <w:style w:type="paragraph" w:customStyle="1" w:styleId="74">
    <w:name w:val="74"/>
    <w:pPr>
      <w:spacing w:after="57"/>
      <w:ind w:left="1871"/>
      <w:jc w:val="both"/>
    </w:pPr>
    <w:rPr>
      <w:sz w:val="24"/>
    </w:rPr>
  </w:style>
  <w:style w:type="paragraph" w:customStyle="1" w:styleId="75">
    <w:name w:val="75"/>
    <w:pPr>
      <w:spacing w:after="113"/>
      <w:ind w:left="1871"/>
      <w:jc w:val="both"/>
    </w:pPr>
    <w:rPr>
      <w:sz w:val="24"/>
    </w:rPr>
  </w:style>
  <w:style w:type="paragraph" w:customStyle="1" w:styleId="76">
    <w:name w:val="76"/>
    <w:pPr>
      <w:spacing w:before="113" w:after="57"/>
      <w:ind w:left="1871"/>
      <w:jc w:val="both"/>
    </w:pPr>
    <w:rPr>
      <w:sz w:val="24"/>
    </w:rPr>
  </w:style>
  <w:style w:type="paragraph" w:customStyle="1" w:styleId="77">
    <w:name w:val="77"/>
    <w:pPr>
      <w:spacing w:after="113"/>
      <w:ind w:left="2494" w:hanging="340"/>
      <w:jc w:val="both"/>
    </w:pPr>
    <w:rPr>
      <w:sz w:val="22"/>
    </w:rPr>
  </w:style>
  <w:style w:type="paragraph" w:customStyle="1" w:styleId="Varianta77start">
    <w:name w:val="Varianta_77_start"/>
    <w:pPr>
      <w:pBdr>
        <w:top w:val="single" w:sz="8" w:space="0" w:color="800080"/>
      </w:pBdr>
      <w:spacing w:after="100"/>
      <w:ind w:left="2494"/>
    </w:pPr>
    <w:rPr>
      <w:b/>
      <w:i/>
      <w:color w:val="800080"/>
    </w:rPr>
  </w:style>
  <w:style w:type="paragraph" w:customStyle="1" w:styleId="Varianta77konec">
    <w:name w:val="Varianta_77_konec"/>
    <w:pPr>
      <w:pBdr>
        <w:bottom w:val="single" w:sz="8" w:space="0" w:color="800080"/>
      </w:pBdr>
      <w:spacing w:after="100"/>
      <w:ind w:left="2494"/>
    </w:pPr>
    <w:rPr>
      <w:b/>
      <w:i/>
      <w:color w:val="800080"/>
    </w:rPr>
  </w:style>
  <w:style w:type="paragraph" w:customStyle="1" w:styleId="Ucinnost77start">
    <w:name w:val="Ucinnost_77_start"/>
    <w:pPr>
      <w:pBdr>
        <w:top w:val="single" w:sz="8" w:space="0" w:color="8B0000"/>
      </w:pBdr>
      <w:spacing w:after="100"/>
      <w:ind w:left="2494"/>
    </w:pPr>
    <w:rPr>
      <w:b/>
      <w:i/>
      <w:color w:val="8B0000"/>
    </w:rPr>
  </w:style>
  <w:style w:type="paragraph" w:customStyle="1" w:styleId="Ucinnost77konec">
    <w:name w:val="Ucinnost_77_konec"/>
    <w:pPr>
      <w:pBdr>
        <w:bottom w:val="single" w:sz="8" w:space="0" w:color="8B0000"/>
      </w:pBdr>
      <w:spacing w:after="100"/>
      <w:ind w:left="2494"/>
    </w:pPr>
    <w:rPr>
      <w:b/>
      <w:i/>
      <w:color w:val="8B0000"/>
    </w:rPr>
  </w:style>
  <w:style w:type="paragraph" w:customStyle="1" w:styleId="78">
    <w:name w:val="78"/>
    <w:pPr>
      <w:spacing w:after="57"/>
      <w:ind w:left="2494"/>
      <w:jc w:val="both"/>
    </w:pPr>
    <w:rPr>
      <w:sz w:val="24"/>
    </w:rPr>
  </w:style>
  <w:style w:type="paragraph" w:customStyle="1" w:styleId="79">
    <w:name w:val="79"/>
    <w:pPr>
      <w:spacing w:after="113"/>
      <w:ind w:left="2494"/>
      <w:jc w:val="both"/>
    </w:pPr>
    <w:rPr>
      <w:sz w:val="24"/>
    </w:rPr>
  </w:style>
  <w:style w:type="paragraph" w:customStyle="1" w:styleId="80">
    <w:name w:val="80"/>
    <w:pPr>
      <w:spacing w:before="113" w:after="113"/>
      <w:ind w:left="2494"/>
      <w:jc w:val="both"/>
    </w:pPr>
    <w:rPr>
      <w:sz w:val="24"/>
    </w:rPr>
  </w:style>
  <w:style w:type="paragraph" w:customStyle="1" w:styleId="81">
    <w:name w:val="81"/>
    <w:pPr>
      <w:spacing w:before="113" w:after="57"/>
      <w:ind w:left="2494"/>
      <w:jc w:val="both"/>
    </w:pPr>
    <w:rPr>
      <w:sz w:val="24"/>
    </w:rPr>
  </w:style>
  <w:style w:type="paragraph" w:customStyle="1" w:styleId="82">
    <w:name w:val="82"/>
    <w:pPr>
      <w:spacing w:after="28"/>
      <w:ind w:left="1927" w:hanging="340"/>
      <w:jc w:val="both"/>
    </w:pPr>
    <w:rPr>
      <w:sz w:val="22"/>
    </w:rPr>
  </w:style>
  <w:style w:type="paragraph" w:customStyle="1" w:styleId="Varianta82start">
    <w:name w:val="Varianta_82_start"/>
    <w:pPr>
      <w:pBdr>
        <w:top w:val="single" w:sz="8" w:space="0" w:color="800080"/>
      </w:pBdr>
      <w:spacing w:after="100"/>
      <w:ind w:left="1927"/>
    </w:pPr>
    <w:rPr>
      <w:b/>
      <w:i/>
      <w:color w:val="800080"/>
    </w:rPr>
  </w:style>
  <w:style w:type="paragraph" w:customStyle="1" w:styleId="Varianta82konec">
    <w:name w:val="Varianta_82_konec"/>
    <w:pPr>
      <w:pBdr>
        <w:bottom w:val="single" w:sz="8" w:space="0" w:color="800080"/>
      </w:pBdr>
      <w:spacing w:after="100"/>
      <w:ind w:left="1927"/>
    </w:pPr>
    <w:rPr>
      <w:b/>
      <w:i/>
      <w:color w:val="800080"/>
    </w:rPr>
  </w:style>
  <w:style w:type="paragraph" w:customStyle="1" w:styleId="Ucinnost82start">
    <w:name w:val="Ucinnost_82_start"/>
    <w:pPr>
      <w:pBdr>
        <w:top w:val="single" w:sz="8" w:space="0" w:color="8B0000"/>
      </w:pBdr>
      <w:spacing w:after="100"/>
      <w:ind w:left="1927"/>
    </w:pPr>
    <w:rPr>
      <w:b/>
      <w:i/>
      <w:color w:val="8B0000"/>
    </w:rPr>
  </w:style>
  <w:style w:type="paragraph" w:customStyle="1" w:styleId="Ucinnost82konec">
    <w:name w:val="Ucinnost_82_konec"/>
    <w:pPr>
      <w:pBdr>
        <w:bottom w:val="single" w:sz="8" w:space="0" w:color="8B0000"/>
      </w:pBdr>
      <w:spacing w:after="100"/>
      <w:ind w:left="1927"/>
    </w:pPr>
    <w:rPr>
      <w:b/>
      <w:i/>
      <w:color w:val="8B0000"/>
    </w:rPr>
  </w:style>
  <w:style w:type="paragraph" w:customStyle="1" w:styleId="83">
    <w:name w:val="83"/>
    <w:pPr>
      <w:spacing w:before="28" w:after="28"/>
      <w:ind w:left="1927" w:hanging="340"/>
      <w:jc w:val="both"/>
    </w:pPr>
    <w:rPr>
      <w:sz w:val="22"/>
    </w:rPr>
  </w:style>
  <w:style w:type="paragraph" w:customStyle="1" w:styleId="Varianta83start">
    <w:name w:val="Varianta_83_start"/>
    <w:pPr>
      <w:pBdr>
        <w:top w:val="single" w:sz="8" w:space="0" w:color="800080"/>
      </w:pBdr>
      <w:spacing w:after="100"/>
      <w:ind w:left="1927"/>
    </w:pPr>
    <w:rPr>
      <w:b/>
      <w:i/>
      <w:color w:val="800080"/>
    </w:rPr>
  </w:style>
  <w:style w:type="paragraph" w:customStyle="1" w:styleId="Varianta83konec">
    <w:name w:val="Varianta_83_konec"/>
    <w:pPr>
      <w:pBdr>
        <w:bottom w:val="single" w:sz="8" w:space="0" w:color="800080"/>
      </w:pBdr>
      <w:spacing w:after="100"/>
      <w:ind w:left="1927"/>
    </w:pPr>
    <w:rPr>
      <w:b/>
      <w:i/>
      <w:color w:val="800080"/>
    </w:rPr>
  </w:style>
  <w:style w:type="paragraph" w:customStyle="1" w:styleId="Ucinnost83start">
    <w:name w:val="Ucinnost_83_start"/>
    <w:pPr>
      <w:pBdr>
        <w:top w:val="single" w:sz="8" w:space="0" w:color="8B0000"/>
      </w:pBdr>
      <w:spacing w:after="100"/>
      <w:ind w:left="1927"/>
    </w:pPr>
    <w:rPr>
      <w:b/>
      <w:i/>
      <w:color w:val="8B0000"/>
    </w:rPr>
  </w:style>
  <w:style w:type="paragraph" w:customStyle="1" w:styleId="Ucinnost83konec">
    <w:name w:val="Ucinnost_83_konec"/>
    <w:pPr>
      <w:pBdr>
        <w:bottom w:val="single" w:sz="8" w:space="0" w:color="8B0000"/>
      </w:pBdr>
      <w:spacing w:after="100"/>
      <w:ind w:left="1927"/>
    </w:pPr>
    <w:rPr>
      <w:b/>
      <w:i/>
      <w:color w:val="8B0000"/>
    </w:rPr>
  </w:style>
  <w:style w:type="paragraph" w:customStyle="1" w:styleId="84">
    <w:name w:val="84"/>
    <w:pPr>
      <w:spacing w:before="28" w:after="113"/>
      <w:ind w:left="1927" w:hanging="340"/>
      <w:jc w:val="both"/>
    </w:pPr>
    <w:rPr>
      <w:sz w:val="22"/>
    </w:rPr>
  </w:style>
  <w:style w:type="paragraph" w:customStyle="1" w:styleId="Varianta84start">
    <w:name w:val="Varianta_84_start"/>
    <w:pPr>
      <w:pBdr>
        <w:top w:val="single" w:sz="8" w:space="0" w:color="800080"/>
      </w:pBdr>
      <w:spacing w:after="100"/>
      <w:ind w:left="1927"/>
    </w:pPr>
    <w:rPr>
      <w:b/>
      <w:i/>
      <w:color w:val="800080"/>
    </w:rPr>
  </w:style>
  <w:style w:type="paragraph" w:customStyle="1" w:styleId="Varianta84konec">
    <w:name w:val="Varianta_84_konec"/>
    <w:pPr>
      <w:pBdr>
        <w:bottom w:val="single" w:sz="8" w:space="0" w:color="800080"/>
      </w:pBdr>
      <w:spacing w:after="100"/>
      <w:ind w:left="1927"/>
    </w:pPr>
    <w:rPr>
      <w:b/>
      <w:i/>
      <w:color w:val="800080"/>
    </w:rPr>
  </w:style>
  <w:style w:type="paragraph" w:customStyle="1" w:styleId="Ucinnost84start">
    <w:name w:val="Ucinnost_84_start"/>
    <w:pPr>
      <w:pBdr>
        <w:top w:val="single" w:sz="8" w:space="0" w:color="8B0000"/>
      </w:pBdr>
      <w:spacing w:after="100"/>
      <w:ind w:left="1927"/>
    </w:pPr>
    <w:rPr>
      <w:b/>
      <w:i/>
      <w:color w:val="8B0000"/>
    </w:rPr>
  </w:style>
  <w:style w:type="paragraph" w:customStyle="1" w:styleId="Ucinnost84konec">
    <w:name w:val="Ucinnost_84_konec"/>
    <w:pPr>
      <w:pBdr>
        <w:bottom w:val="single" w:sz="8" w:space="0" w:color="8B0000"/>
      </w:pBdr>
      <w:spacing w:after="100"/>
      <w:ind w:left="1927"/>
    </w:pPr>
    <w:rPr>
      <w:b/>
      <w:i/>
      <w:color w:val="8B0000"/>
    </w:rPr>
  </w:style>
  <w:style w:type="paragraph" w:customStyle="1" w:styleId="85">
    <w:name w:val="85"/>
    <w:pPr>
      <w:spacing w:after="57"/>
      <w:ind w:left="1927" w:hanging="340"/>
      <w:jc w:val="both"/>
    </w:pPr>
    <w:rPr>
      <w:sz w:val="24"/>
    </w:rPr>
  </w:style>
  <w:style w:type="paragraph" w:customStyle="1" w:styleId="Varianta85start">
    <w:name w:val="Varianta_85_start"/>
    <w:pPr>
      <w:pBdr>
        <w:top w:val="single" w:sz="8" w:space="0" w:color="800080"/>
      </w:pBdr>
      <w:spacing w:after="100"/>
      <w:ind w:left="1927"/>
    </w:pPr>
    <w:rPr>
      <w:b/>
      <w:i/>
      <w:color w:val="800080"/>
    </w:rPr>
  </w:style>
  <w:style w:type="paragraph" w:customStyle="1" w:styleId="Varianta85konec">
    <w:name w:val="Varianta_85_konec"/>
    <w:pPr>
      <w:pBdr>
        <w:bottom w:val="single" w:sz="8" w:space="0" w:color="800080"/>
      </w:pBdr>
      <w:spacing w:after="100"/>
      <w:ind w:left="1927"/>
    </w:pPr>
    <w:rPr>
      <w:b/>
      <w:i/>
      <w:color w:val="800080"/>
    </w:rPr>
  </w:style>
  <w:style w:type="paragraph" w:customStyle="1" w:styleId="Ucinnost85start">
    <w:name w:val="Ucinnost_85_start"/>
    <w:pPr>
      <w:pBdr>
        <w:top w:val="single" w:sz="8" w:space="0" w:color="8B0000"/>
      </w:pBdr>
      <w:spacing w:after="100"/>
      <w:ind w:left="1927"/>
    </w:pPr>
    <w:rPr>
      <w:b/>
      <w:i/>
      <w:color w:val="8B0000"/>
    </w:rPr>
  </w:style>
  <w:style w:type="paragraph" w:customStyle="1" w:styleId="Ucinnost85konec">
    <w:name w:val="Ucinnost_85_konec"/>
    <w:pPr>
      <w:pBdr>
        <w:bottom w:val="single" w:sz="8" w:space="0" w:color="8B0000"/>
      </w:pBdr>
      <w:spacing w:after="100"/>
      <w:ind w:left="1927"/>
    </w:pPr>
    <w:rPr>
      <w:b/>
      <w:i/>
      <w:color w:val="8B0000"/>
    </w:rPr>
  </w:style>
  <w:style w:type="paragraph" w:customStyle="1" w:styleId="86">
    <w:name w:val="86"/>
    <w:pPr>
      <w:spacing w:before="57" w:after="57"/>
      <w:ind w:left="1927" w:hanging="340"/>
      <w:jc w:val="both"/>
    </w:pPr>
    <w:rPr>
      <w:sz w:val="24"/>
    </w:rPr>
  </w:style>
  <w:style w:type="paragraph" w:customStyle="1" w:styleId="Varianta86start">
    <w:name w:val="Varianta_86_start"/>
    <w:pPr>
      <w:pBdr>
        <w:top w:val="single" w:sz="8" w:space="0" w:color="800080"/>
      </w:pBdr>
      <w:spacing w:after="100"/>
      <w:ind w:left="1927"/>
    </w:pPr>
    <w:rPr>
      <w:b/>
      <w:i/>
      <w:color w:val="800080"/>
    </w:rPr>
  </w:style>
  <w:style w:type="paragraph" w:customStyle="1" w:styleId="Varianta86konec">
    <w:name w:val="Varianta_86_konec"/>
    <w:pPr>
      <w:pBdr>
        <w:bottom w:val="single" w:sz="8" w:space="0" w:color="800080"/>
      </w:pBdr>
      <w:spacing w:after="100"/>
      <w:ind w:left="1927"/>
    </w:pPr>
    <w:rPr>
      <w:b/>
      <w:i/>
      <w:color w:val="800080"/>
    </w:rPr>
  </w:style>
  <w:style w:type="paragraph" w:customStyle="1" w:styleId="Ucinnost86start">
    <w:name w:val="Ucinnost_86_start"/>
    <w:pPr>
      <w:pBdr>
        <w:top w:val="single" w:sz="8" w:space="0" w:color="8B0000"/>
      </w:pBdr>
      <w:spacing w:after="100"/>
      <w:ind w:left="1927"/>
    </w:pPr>
    <w:rPr>
      <w:b/>
      <w:i/>
      <w:color w:val="8B0000"/>
    </w:rPr>
  </w:style>
  <w:style w:type="paragraph" w:customStyle="1" w:styleId="Ucinnost86konec">
    <w:name w:val="Ucinnost_86_konec"/>
    <w:pPr>
      <w:pBdr>
        <w:bottom w:val="single" w:sz="8" w:space="0" w:color="8B0000"/>
      </w:pBdr>
      <w:spacing w:after="100"/>
      <w:ind w:left="1927"/>
    </w:pPr>
    <w:rPr>
      <w:b/>
      <w:i/>
      <w:color w:val="8B0000"/>
    </w:rPr>
  </w:style>
  <w:style w:type="paragraph" w:customStyle="1" w:styleId="87">
    <w:name w:val="87"/>
    <w:pPr>
      <w:spacing w:before="57" w:after="227"/>
      <w:ind w:left="1927" w:hanging="340"/>
      <w:jc w:val="both"/>
    </w:pPr>
    <w:rPr>
      <w:sz w:val="24"/>
    </w:rPr>
  </w:style>
  <w:style w:type="paragraph" w:customStyle="1" w:styleId="Varianta87start">
    <w:name w:val="Varianta_87_start"/>
    <w:pPr>
      <w:pBdr>
        <w:top w:val="single" w:sz="8" w:space="0" w:color="800080"/>
      </w:pBdr>
      <w:spacing w:after="100"/>
      <w:ind w:left="1927"/>
    </w:pPr>
    <w:rPr>
      <w:b/>
      <w:i/>
      <w:color w:val="800080"/>
    </w:rPr>
  </w:style>
  <w:style w:type="paragraph" w:customStyle="1" w:styleId="Varianta87konec">
    <w:name w:val="Varianta_87_konec"/>
    <w:pPr>
      <w:pBdr>
        <w:bottom w:val="single" w:sz="8" w:space="0" w:color="800080"/>
      </w:pBdr>
      <w:spacing w:after="100"/>
      <w:ind w:left="1927"/>
    </w:pPr>
    <w:rPr>
      <w:b/>
      <w:i/>
      <w:color w:val="800080"/>
    </w:rPr>
  </w:style>
  <w:style w:type="paragraph" w:customStyle="1" w:styleId="Ucinnost87start">
    <w:name w:val="Ucinnost_87_start"/>
    <w:pPr>
      <w:pBdr>
        <w:top w:val="single" w:sz="8" w:space="0" w:color="8B0000"/>
      </w:pBdr>
      <w:spacing w:after="100"/>
      <w:ind w:left="1927"/>
    </w:pPr>
    <w:rPr>
      <w:b/>
      <w:i/>
      <w:color w:val="8B0000"/>
    </w:rPr>
  </w:style>
  <w:style w:type="paragraph" w:customStyle="1" w:styleId="Ucinnost87konec">
    <w:name w:val="Ucinnost_87_konec"/>
    <w:pPr>
      <w:pBdr>
        <w:bottom w:val="single" w:sz="8" w:space="0" w:color="8B0000"/>
      </w:pBdr>
      <w:spacing w:after="100"/>
      <w:ind w:left="1927"/>
    </w:pPr>
    <w:rPr>
      <w:b/>
      <w:i/>
      <w:color w:val="8B0000"/>
    </w:rPr>
  </w:style>
  <w:style w:type="paragraph" w:customStyle="1" w:styleId="88">
    <w:name w:val="88"/>
    <w:pPr>
      <w:spacing w:before="113" w:after="113"/>
      <w:ind w:left="1247"/>
      <w:jc w:val="both"/>
    </w:pPr>
    <w:rPr>
      <w:sz w:val="24"/>
    </w:rPr>
  </w:style>
  <w:style w:type="paragraph" w:customStyle="1" w:styleId="89">
    <w:name w:val="89"/>
    <w:pPr>
      <w:spacing w:before="113" w:after="113"/>
      <w:ind w:left="624"/>
      <w:jc w:val="both"/>
    </w:pPr>
    <w:rPr>
      <w:sz w:val="24"/>
    </w:rPr>
  </w:style>
  <w:style w:type="table" w:customStyle="1" w:styleId="TABLEX">
    <w:name w:val="TABLEX"/>
    <w:basedOn w:val="Normlntabulka"/>
    <w:tblPr/>
  </w:style>
  <w:style w:type="paragraph" w:customStyle="1" w:styleId="90">
    <w:name w:val="90"/>
    <w:pPr>
      <w:spacing w:after="113"/>
      <w:ind w:left="510"/>
      <w:jc w:val="both"/>
    </w:pPr>
    <w:rPr>
      <w:sz w:val="24"/>
    </w:rPr>
  </w:style>
  <w:style w:type="paragraph" w:customStyle="1" w:styleId="91">
    <w:name w:val="91"/>
    <w:pPr>
      <w:spacing w:before="113" w:after="57"/>
      <w:ind w:left="510"/>
      <w:jc w:val="both"/>
    </w:pPr>
    <w:rPr>
      <w:sz w:val="24"/>
    </w:rPr>
  </w:style>
  <w:style w:type="paragraph" w:customStyle="1" w:styleId="92">
    <w:name w:val="92"/>
    <w:pPr>
      <w:spacing w:after="227"/>
      <w:ind w:left="1304" w:hanging="340"/>
      <w:jc w:val="both"/>
    </w:pPr>
    <w:rPr>
      <w:sz w:val="24"/>
    </w:rPr>
  </w:style>
  <w:style w:type="paragraph" w:customStyle="1" w:styleId="Varianta92start">
    <w:name w:val="Varianta_92_start"/>
    <w:pPr>
      <w:pBdr>
        <w:top w:val="single" w:sz="8" w:space="0" w:color="800080"/>
      </w:pBdr>
      <w:spacing w:after="100"/>
      <w:ind w:left="1304"/>
    </w:pPr>
    <w:rPr>
      <w:b/>
      <w:i/>
      <w:color w:val="800080"/>
    </w:rPr>
  </w:style>
  <w:style w:type="paragraph" w:customStyle="1" w:styleId="Varianta92konec">
    <w:name w:val="Varianta_92_konec"/>
    <w:pPr>
      <w:pBdr>
        <w:bottom w:val="single" w:sz="8" w:space="0" w:color="800080"/>
      </w:pBdr>
      <w:spacing w:after="100"/>
      <w:ind w:left="1304"/>
    </w:pPr>
    <w:rPr>
      <w:b/>
      <w:i/>
      <w:color w:val="800080"/>
    </w:rPr>
  </w:style>
  <w:style w:type="paragraph" w:customStyle="1" w:styleId="Ucinnost92start">
    <w:name w:val="Ucinnost_92_start"/>
    <w:pPr>
      <w:pBdr>
        <w:top w:val="single" w:sz="8" w:space="0" w:color="8B0000"/>
      </w:pBdr>
      <w:spacing w:after="100"/>
      <w:ind w:left="1304"/>
    </w:pPr>
    <w:rPr>
      <w:b/>
      <w:i/>
      <w:color w:val="8B0000"/>
    </w:rPr>
  </w:style>
  <w:style w:type="paragraph" w:customStyle="1" w:styleId="Ucinnost92konec">
    <w:name w:val="Ucinnost_92_konec"/>
    <w:pPr>
      <w:pBdr>
        <w:bottom w:val="single" w:sz="8" w:space="0" w:color="8B0000"/>
      </w:pBdr>
      <w:spacing w:after="100"/>
      <w:ind w:left="1304"/>
    </w:pPr>
    <w:rPr>
      <w:b/>
      <w:i/>
      <w:color w:val="8B0000"/>
    </w:rPr>
  </w:style>
  <w:style w:type="paragraph" w:customStyle="1" w:styleId="93">
    <w:name w:val="93"/>
    <w:pPr>
      <w:spacing w:after="57"/>
      <w:ind w:left="1304"/>
      <w:jc w:val="both"/>
    </w:pPr>
    <w:rPr>
      <w:sz w:val="24"/>
    </w:rPr>
  </w:style>
  <w:style w:type="paragraph" w:customStyle="1" w:styleId="94">
    <w:name w:val="94"/>
    <w:pPr>
      <w:spacing w:after="113"/>
      <w:ind w:left="1304"/>
      <w:jc w:val="both"/>
    </w:pPr>
    <w:rPr>
      <w:sz w:val="24"/>
    </w:rPr>
  </w:style>
  <w:style w:type="paragraph" w:customStyle="1" w:styleId="95">
    <w:name w:val="95"/>
    <w:pPr>
      <w:spacing w:before="113" w:after="57"/>
      <w:ind w:left="1304"/>
      <w:jc w:val="both"/>
    </w:pPr>
    <w:rPr>
      <w:sz w:val="24"/>
    </w:rPr>
  </w:style>
  <w:style w:type="paragraph" w:customStyle="1" w:styleId="96">
    <w:name w:val="96"/>
    <w:pPr>
      <w:spacing w:after="227"/>
      <w:ind w:left="1927" w:hanging="340"/>
      <w:jc w:val="both"/>
    </w:pPr>
    <w:rPr>
      <w:sz w:val="24"/>
    </w:rPr>
  </w:style>
  <w:style w:type="paragraph" w:customStyle="1" w:styleId="Varianta96start">
    <w:name w:val="Varianta_96_start"/>
    <w:pPr>
      <w:pBdr>
        <w:top w:val="single" w:sz="8" w:space="0" w:color="800080"/>
      </w:pBdr>
      <w:spacing w:after="100"/>
      <w:ind w:left="1927"/>
    </w:pPr>
    <w:rPr>
      <w:b/>
      <w:i/>
      <w:color w:val="800080"/>
    </w:rPr>
  </w:style>
  <w:style w:type="paragraph" w:customStyle="1" w:styleId="Varianta96konec">
    <w:name w:val="Varianta_96_konec"/>
    <w:pPr>
      <w:pBdr>
        <w:bottom w:val="single" w:sz="8" w:space="0" w:color="800080"/>
      </w:pBdr>
      <w:spacing w:after="100"/>
      <w:ind w:left="1927"/>
    </w:pPr>
    <w:rPr>
      <w:b/>
      <w:i/>
      <w:color w:val="800080"/>
    </w:rPr>
  </w:style>
  <w:style w:type="paragraph" w:customStyle="1" w:styleId="Ucinnost96start">
    <w:name w:val="Ucinnost_96_start"/>
    <w:pPr>
      <w:pBdr>
        <w:top w:val="single" w:sz="8" w:space="0" w:color="8B0000"/>
      </w:pBdr>
      <w:spacing w:after="100"/>
      <w:ind w:left="1927"/>
    </w:pPr>
    <w:rPr>
      <w:b/>
      <w:i/>
      <w:color w:val="8B0000"/>
    </w:rPr>
  </w:style>
  <w:style w:type="paragraph" w:customStyle="1" w:styleId="Ucinnost96konec">
    <w:name w:val="Ucinnost_96_konec"/>
    <w:pPr>
      <w:pBdr>
        <w:bottom w:val="single" w:sz="8" w:space="0" w:color="8B0000"/>
      </w:pBdr>
      <w:spacing w:after="100"/>
      <w:ind w:left="1927"/>
    </w:pPr>
    <w:rPr>
      <w:b/>
      <w:i/>
      <w:color w:val="8B0000"/>
    </w:rPr>
  </w:style>
  <w:style w:type="paragraph" w:customStyle="1" w:styleId="97">
    <w:name w:val="97"/>
    <w:pPr>
      <w:spacing w:after="28"/>
      <w:ind w:left="2551" w:hanging="340"/>
      <w:jc w:val="both"/>
    </w:pPr>
    <w:rPr>
      <w:sz w:val="22"/>
    </w:rPr>
  </w:style>
  <w:style w:type="paragraph" w:customStyle="1" w:styleId="Varianta97start">
    <w:name w:val="Varianta_97_start"/>
    <w:pPr>
      <w:pBdr>
        <w:top w:val="single" w:sz="8" w:space="0" w:color="800080"/>
      </w:pBdr>
      <w:spacing w:after="100"/>
      <w:ind w:left="2551"/>
    </w:pPr>
    <w:rPr>
      <w:b/>
      <w:i/>
      <w:color w:val="800080"/>
    </w:rPr>
  </w:style>
  <w:style w:type="paragraph" w:customStyle="1" w:styleId="Varianta97konec">
    <w:name w:val="Varianta_97_konec"/>
    <w:pPr>
      <w:pBdr>
        <w:bottom w:val="single" w:sz="8" w:space="0" w:color="800080"/>
      </w:pBdr>
      <w:spacing w:after="100"/>
      <w:ind w:left="2551"/>
    </w:pPr>
    <w:rPr>
      <w:b/>
      <w:i/>
      <w:color w:val="800080"/>
    </w:rPr>
  </w:style>
  <w:style w:type="paragraph" w:customStyle="1" w:styleId="Ucinnost97start">
    <w:name w:val="Ucinnost_97_start"/>
    <w:pPr>
      <w:pBdr>
        <w:top w:val="single" w:sz="8" w:space="0" w:color="8B0000"/>
      </w:pBdr>
      <w:spacing w:after="100"/>
      <w:ind w:left="2551"/>
    </w:pPr>
    <w:rPr>
      <w:b/>
      <w:i/>
      <w:color w:val="8B0000"/>
    </w:rPr>
  </w:style>
  <w:style w:type="paragraph" w:customStyle="1" w:styleId="Ucinnost97konec">
    <w:name w:val="Ucinnost_97_konec"/>
    <w:pPr>
      <w:pBdr>
        <w:bottom w:val="single" w:sz="8" w:space="0" w:color="8B0000"/>
      </w:pBdr>
      <w:spacing w:after="100"/>
      <w:ind w:left="2551"/>
    </w:pPr>
    <w:rPr>
      <w:b/>
      <w:i/>
      <w:color w:val="8B0000"/>
    </w:rPr>
  </w:style>
  <w:style w:type="paragraph" w:customStyle="1" w:styleId="98">
    <w:name w:val="98"/>
    <w:pPr>
      <w:spacing w:before="28" w:after="28"/>
      <w:ind w:left="2551" w:hanging="340"/>
      <w:jc w:val="both"/>
    </w:pPr>
    <w:rPr>
      <w:sz w:val="22"/>
    </w:rPr>
  </w:style>
  <w:style w:type="paragraph" w:customStyle="1" w:styleId="Varianta98start">
    <w:name w:val="Varianta_98_start"/>
    <w:pPr>
      <w:pBdr>
        <w:top w:val="single" w:sz="8" w:space="0" w:color="800080"/>
      </w:pBdr>
      <w:spacing w:after="100"/>
      <w:ind w:left="2551"/>
    </w:pPr>
    <w:rPr>
      <w:b/>
      <w:i/>
      <w:color w:val="800080"/>
    </w:rPr>
  </w:style>
  <w:style w:type="paragraph" w:customStyle="1" w:styleId="Varianta98konec">
    <w:name w:val="Varianta_98_konec"/>
    <w:pPr>
      <w:pBdr>
        <w:bottom w:val="single" w:sz="8" w:space="0" w:color="800080"/>
      </w:pBdr>
      <w:spacing w:after="100"/>
      <w:ind w:left="2551"/>
    </w:pPr>
    <w:rPr>
      <w:b/>
      <w:i/>
      <w:color w:val="800080"/>
    </w:rPr>
  </w:style>
  <w:style w:type="paragraph" w:customStyle="1" w:styleId="Ucinnost98start">
    <w:name w:val="Ucinnost_98_start"/>
    <w:pPr>
      <w:pBdr>
        <w:top w:val="single" w:sz="8" w:space="0" w:color="8B0000"/>
      </w:pBdr>
      <w:spacing w:after="100"/>
      <w:ind w:left="2551"/>
    </w:pPr>
    <w:rPr>
      <w:b/>
      <w:i/>
      <w:color w:val="8B0000"/>
    </w:rPr>
  </w:style>
  <w:style w:type="paragraph" w:customStyle="1" w:styleId="Ucinnost98konec">
    <w:name w:val="Ucinnost_98_konec"/>
    <w:pPr>
      <w:pBdr>
        <w:bottom w:val="single" w:sz="8" w:space="0" w:color="8B0000"/>
      </w:pBdr>
      <w:spacing w:after="100"/>
      <w:ind w:left="2551"/>
    </w:pPr>
    <w:rPr>
      <w:b/>
      <w:i/>
      <w:color w:val="8B0000"/>
    </w:rPr>
  </w:style>
  <w:style w:type="paragraph" w:customStyle="1" w:styleId="99">
    <w:name w:val="99"/>
    <w:pPr>
      <w:spacing w:before="28" w:after="113"/>
      <w:ind w:left="2551" w:hanging="340"/>
      <w:jc w:val="both"/>
    </w:pPr>
    <w:rPr>
      <w:sz w:val="22"/>
    </w:rPr>
  </w:style>
  <w:style w:type="paragraph" w:customStyle="1" w:styleId="Varianta99start">
    <w:name w:val="Varianta_99_start"/>
    <w:pPr>
      <w:pBdr>
        <w:top w:val="single" w:sz="8" w:space="0" w:color="800080"/>
      </w:pBdr>
      <w:spacing w:after="100"/>
      <w:ind w:left="2551"/>
    </w:pPr>
    <w:rPr>
      <w:b/>
      <w:i/>
      <w:color w:val="800080"/>
    </w:rPr>
  </w:style>
  <w:style w:type="paragraph" w:customStyle="1" w:styleId="Varianta99konec">
    <w:name w:val="Varianta_99_konec"/>
    <w:pPr>
      <w:pBdr>
        <w:bottom w:val="single" w:sz="8" w:space="0" w:color="800080"/>
      </w:pBdr>
      <w:spacing w:after="100"/>
      <w:ind w:left="2551"/>
    </w:pPr>
    <w:rPr>
      <w:b/>
      <w:i/>
      <w:color w:val="800080"/>
    </w:rPr>
  </w:style>
  <w:style w:type="paragraph" w:customStyle="1" w:styleId="Ucinnost99start">
    <w:name w:val="Ucinnost_99_start"/>
    <w:pPr>
      <w:pBdr>
        <w:top w:val="single" w:sz="8" w:space="0" w:color="8B0000"/>
      </w:pBdr>
      <w:spacing w:after="100"/>
      <w:ind w:left="2551"/>
    </w:pPr>
    <w:rPr>
      <w:b/>
      <w:i/>
      <w:color w:val="8B0000"/>
    </w:rPr>
  </w:style>
  <w:style w:type="paragraph" w:customStyle="1" w:styleId="Ucinnost99konec">
    <w:name w:val="Ucinnost_99_konec"/>
    <w:pPr>
      <w:pBdr>
        <w:bottom w:val="single" w:sz="8" w:space="0" w:color="8B0000"/>
      </w:pBdr>
      <w:spacing w:after="100"/>
      <w:ind w:left="2551"/>
    </w:pPr>
    <w:rPr>
      <w:b/>
      <w:i/>
      <w:color w:val="8B0000"/>
    </w:rPr>
  </w:style>
  <w:style w:type="paragraph" w:customStyle="1" w:styleId="100">
    <w:name w:val="100"/>
    <w:pPr>
      <w:spacing w:after="57"/>
      <w:ind w:left="3231" w:hanging="340"/>
      <w:jc w:val="both"/>
    </w:pPr>
    <w:rPr>
      <w:sz w:val="24"/>
    </w:rPr>
  </w:style>
  <w:style w:type="paragraph" w:customStyle="1" w:styleId="Varianta100start">
    <w:name w:val="Varianta_100_start"/>
    <w:pPr>
      <w:pBdr>
        <w:top w:val="single" w:sz="8" w:space="0" w:color="800080"/>
      </w:pBdr>
      <w:spacing w:after="100"/>
      <w:ind w:left="3231"/>
    </w:pPr>
    <w:rPr>
      <w:b/>
      <w:i/>
      <w:color w:val="800080"/>
    </w:rPr>
  </w:style>
  <w:style w:type="paragraph" w:customStyle="1" w:styleId="Varianta100konec">
    <w:name w:val="Varianta_100_konec"/>
    <w:pPr>
      <w:pBdr>
        <w:bottom w:val="single" w:sz="8" w:space="0" w:color="800080"/>
      </w:pBdr>
      <w:spacing w:after="100"/>
      <w:ind w:left="3231"/>
    </w:pPr>
    <w:rPr>
      <w:b/>
      <w:i/>
      <w:color w:val="800080"/>
    </w:rPr>
  </w:style>
  <w:style w:type="paragraph" w:customStyle="1" w:styleId="Ucinnost100start">
    <w:name w:val="Ucinnost_100_start"/>
    <w:pPr>
      <w:pBdr>
        <w:top w:val="single" w:sz="8" w:space="0" w:color="8B0000"/>
      </w:pBdr>
      <w:spacing w:after="100"/>
      <w:ind w:left="3231"/>
    </w:pPr>
    <w:rPr>
      <w:b/>
      <w:i/>
      <w:color w:val="8B0000"/>
    </w:rPr>
  </w:style>
  <w:style w:type="paragraph" w:customStyle="1" w:styleId="Ucinnost100konec">
    <w:name w:val="Ucinnost_100_konec"/>
    <w:pPr>
      <w:pBdr>
        <w:bottom w:val="single" w:sz="8" w:space="0" w:color="8B0000"/>
      </w:pBdr>
      <w:spacing w:after="100"/>
      <w:ind w:left="3231"/>
    </w:pPr>
    <w:rPr>
      <w:b/>
      <w:i/>
      <w:color w:val="8B0000"/>
    </w:rPr>
  </w:style>
  <w:style w:type="paragraph" w:customStyle="1" w:styleId="101">
    <w:name w:val="101"/>
    <w:pPr>
      <w:spacing w:after="113"/>
      <w:ind w:left="1190" w:hanging="510"/>
      <w:jc w:val="both"/>
    </w:pPr>
    <w:rPr>
      <w:sz w:val="24"/>
    </w:rPr>
  </w:style>
  <w:style w:type="paragraph" w:customStyle="1" w:styleId="Varianta101start">
    <w:name w:val="Varianta_101_start"/>
    <w:pPr>
      <w:pBdr>
        <w:top w:val="single" w:sz="8" w:space="0" w:color="800080"/>
      </w:pBdr>
      <w:spacing w:after="100"/>
      <w:ind w:left="1190"/>
    </w:pPr>
    <w:rPr>
      <w:b/>
      <w:i/>
      <w:color w:val="800080"/>
    </w:rPr>
  </w:style>
  <w:style w:type="paragraph" w:customStyle="1" w:styleId="Varianta101konec">
    <w:name w:val="Varianta_101_konec"/>
    <w:pPr>
      <w:pBdr>
        <w:bottom w:val="single" w:sz="8" w:space="0" w:color="800080"/>
      </w:pBdr>
      <w:spacing w:after="100"/>
      <w:ind w:left="1190"/>
    </w:pPr>
    <w:rPr>
      <w:b/>
      <w:i/>
      <w:color w:val="800080"/>
    </w:rPr>
  </w:style>
  <w:style w:type="paragraph" w:customStyle="1" w:styleId="Ucinnost101start">
    <w:name w:val="Ucinnost_101_start"/>
    <w:pPr>
      <w:pBdr>
        <w:top w:val="single" w:sz="8" w:space="0" w:color="8B0000"/>
      </w:pBdr>
      <w:spacing w:after="100"/>
      <w:ind w:left="1190"/>
    </w:pPr>
    <w:rPr>
      <w:b/>
      <w:i/>
      <w:color w:val="8B0000"/>
    </w:rPr>
  </w:style>
  <w:style w:type="paragraph" w:customStyle="1" w:styleId="Ucinnost101konec">
    <w:name w:val="Ucinnost_101_konec"/>
    <w:pPr>
      <w:pBdr>
        <w:bottom w:val="single" w:sz="8" w:space="0" w:color="8B0000"/>
      </w:pBdr>
      <w:spacing w:after="100"/>
      <w:ind w:left="1190"/>
    </w:pPr>
    <w:rPr>
      <w:b/>
      <w:i/>
      <w:color w:val="8B0000"/>
    </w:rPr>
  </w:style>
  <w:style w:type="paragraph" w:customStyle="1" w:styleId="102">
    <w:name w:val="102"/>
    <w:pPr>
      <w:spacing w:before="113" w:after="57"/>
      <w:ind w:left="1190" w:hanging="510"/>
      <w:jc w:val="both"/>
    </w:pPr>
    <w:rPr>
      <w:sz w:val="24"/>
    </w:rPr>
  </w:style>
  <w:style w:type="paragraph" w:customStyle="1" w:styleId="Varianta102start">
    <w:name w:val="Varianta_102_start"/>
    <w:pPr>
      <w:pBdr>
        <w:top w:val="single" w:sz="8" w:space="0" w:color="800080"/>
      </w:pBdr>
      <w:spacing w:after="100"/>
      <w:ind w:left="1190"/>
    </w:pPr>
    <w:rPr>
      <w:b/>
      <w:i/>
      <w:color w:val="800080"/>
    </w:rPr>
  </w:style>
  <w:style w:type="paragraph" w:customStyle="1" w:styleId="Varianta102konec">
    <w:name w:val="Varianta_102_konec"/>
    <w:pPr>
      <w:pBdr>
        <w:bottom w:val="single" w:sz="8" w:space="0" w:color="800080"/>
      </w:pBdr>
      <w:spacing w:after="100"/>
      <w:ind w:left="1190"/>
    </w:pPr>
    <w:rPr>
      <w:b/>
      <w:i/>
      <w:color w:val="800080"/>
    </w:rPr>
  </w:style>
  <w:style w:type="paragraph" w:customStyle="1" w:styleId="Ucinnost102start">
    <w:name w:val="Ucinnost_102_start"/>
    <w:pPr>
      <w:pBdr>
        <w:top w:val="single" w:sz="8" w:space="0" w:color="8B0000"/>
      </w:pBdr>
      <w:spacing w:after="100"/>
      <w:ind w:left="1190"/>
    </w:pPr>
    <w:rPr>
      <w:b/>
      <w:i/>
      <w:color w:val="8B0000"/>
    </w:rPr>
  </w:style>
  <w:style w:type="paragraph" w:customStyle="1" w:styleId="Ucinnost102konec">
    <w:name w:val="Ucinnost_102_konec"/>
    <w:pPr>
      <w:pBdr>
        <w:bottom w:val="single" w:sz="8" w:space="0" w:color="8B0000"/>
      </w:pBdr>
      <w:spacing w:after="100"/>
      <w:ind w:left="1190"/>
    </w:pPr>
    <w:rPr>
      <w:b/>
      <w:i/>
      <w:color w:val="8B0000"/>
    </w:rPr>
  </w:style>
  <w:style w:type="paragraph" w:customStyle="1" w:styleId="103">
    <w:name w:val="103"/>
    <w:pPr>
      <w:spacing w:before="113" w:after="113"/>
      <w:ind w:left="1190" w:hanging="510"/>
      <w:jc w:val="both"/>
    </w:pPr>
    <w:rPr>
      <w:sz w:val="24"/>
    </w:rPr>
  </w:style>
  <w:style w:type="paragraph" w:customStyle="1" w:styleId="Varianta103start">
    <w:name w:val="Varianta_103_start"/>
    <w:pPr>
      <w:pBdr>
        <w:top w:val="single" w:sz="8" w:space="0" w:color="800080"/>
      </w:pBdr>
      <w:spacing w:after="100"/>
      <w:ind w:left="1190"/>
    </w:pPr>
    <w:rPr>
      <w:b/>
      <w:i/>
      <w:color w:val="800080"/>
    </w:rPr>
  </w:style>
  <w:style w:type="paragraph" w:customStyle="1" w:styleId="Varianta103konec">
    <w:name w:val="Varianta_103_konec"/>
    <w:pPr>
      <w:pBdr>
        <w:bottom w:val="single" w:sz="8" w:space="0" w:color="800080"/>
      </w:pBdr>
      <w:spacing w:after="100"/>
      <w:ind w:left="1190"/>
    </w:pPr>
    <w:rPr>
      <w:b/>
      <w:i/>
      <w:color w:val="800080"/>
    </w:rPr>
  </w:style>
  <w:style w:type="paragraph" w:customStyle="1" w:styleId="Ucinnost103start">
    <w:name w:val="Ucinnost_103_start"/>
    <w:pPr>
      <w:pBdr>
        <w:top w:val="single" w:sz="8" w:space="0" w:color="8B0000"/>
      </w:pBdr>
      <w:spacing w:after="100"/>
      <w:ind w:left="1190"/>
    </w:pPr>
    <w:rPr>
      <w:b/>
      <w:i/>
      <w:color w:val="8B0000"/>
    </w:rPr>
  </w:style>
  <w:style w:type="paragraph" w:customStyle="1" w:styleId="Ucinnost103konec">
    <w:name w:val="Ucinnost_103_konec"/>
    <w:pPr>
      <w:pBdr>
        <w:bottom w:val="single" w:sz="8" w:space="0" w:color="8B0000"/>
      </w:pBdr>
      <w:spacing w:after="100"/>
      <w:ind w:left="1190"/>
    </w:pPr>
    <w:rPr>
      <w:b/>
      <w:i/>
      <w:color w:val="8B0000"/>
    </w:rPr>
  </w:style>
  <w:style w:type="paragraph" w:customStyle="1" w:styleId="104">
    <w:name w:val="104"/>
    <w:pPr>
      <w:spacing w:after="28"/>
      <w:ind w:left="1247" w:hanging="340"/>
      <w:jc w:val="both"/>
    </w:pPr>
    <w:rPr>
      <w:sz w:val="22"/>
    </w:rPr>
  </w:style>
  <w:style w:type="paragraph" w:customStyle="1" w:styleId="Varianta104start">
    <w:name w:val="Varianta_104_start"/>
    <w:pPr>
      <w:pBdr>
        <w:top w:val="single" w:sz="8" w:space="0" w:color="800080"/>
      </w:pBdr>
      <w:spacing w:after="100"/>
      <w:ind w:left="1247"/>
    </w:pPr>
    <w:rPr>
      <w:b/>
      <w:i/>
      <w:color w:val="800080"/>
    </w:rPr>
  </w:style>
  <w:style w:type="paragraph" w:customStyle="1" w:styleId="Varianta104konec">
    <w:name w:val="Varianta_104_konec"/>
    <w:pPr>
      <w:pBdr>
        <w:bottom w:val="single" w:sz="8" w:space="0" w:color="800080"/>
      </w:pBdr>
      <w:spacing w:after="100"/>
      <w:ind w:left="1247"/>
    </w:pPr>
    <w:rPr>
      <w:b/>
      <w:i/>
      <w:color w:val="800080"/>
    </w:rPr>
  </w:style>
  <w:style w:type="paragraph" w:customStyle="1" w:styleId="Ucinnost104start">
    <w:name w:val="Ucinnost_104_start"/>
    <w:pPr>
      <w:pBdr>
        <w:top w:val="single" w:sz="8" w:space="0" w:color="8B0000"/>
      </w:pBdr>
      <w:spacing w:after="100"/>
      <w:ind w:left="1247"/>
    </w:pPr>
    <w:rPr>
      <w:b/>
      <w:i/>
      <w:color w:val="8B0000"/>
    </w:rPr>
  </w:style>
  <w:style w:type="paragraph" w:customStyle="1" w:styleId="Ucinnost104konec">
    <w:name w:val="Ucinnost_104_konec"/>
    <w:pPr>
      <w:pBdr>
        <w:bottom w:val="single" w:sz="8" w:space="0" w:color="8B0000"/>
      </w:pBdr>
      <w:spacing w:after="100"/>
      <w:ind w:left="1247"/>
    </w:pPr>
    <w:rPr>
      <w:b/>
      <w:i/>
      <w:color w:val="8B0000"/>
    </w:rPr>
  </w:style>
  <w:style w:type="paragraph" w:customStyle="1" w:styleId="105">
    <w:name w:val="105"/>
    <w:pPr>
      <w:spacing w:before="28" w:after="113"/>
      <w:ind w:left="1871" w:hanging="340"/>
      <w:jc w:val="both"/>
    </w:pPr>
    <w:rPr>
      <w:sz w:val="22"/>
    </w:rPr>
  </w:style>
  <w:style w:type="paragraph" w:customStyle="1" w:styleId="Varianta105start">
    <w:name w:val="Varianta_105_start"/>
    <w:pPr>
      <w:pBdr>
        <w:top w:val="single" w:sz="8" w:space="0" w:color="800080"/>
      </w:pBdr>
      <w:spacing w:after="100"/>
      <w:ind w:left="1871"/>
    </w:pPr>
    <w:rPr>
      <w:b/>
      <w:i/>
      <w:color w:val="800080"/>
    </w:rPr>
  </w:style>
  <w:style w:type="paragraph" w:customStyle="1" w:styleId="Varianta105konec">
    <w:name w:val="Varianta_105_konec"/>
    <w:pPr>
      <w:pBdr>
        <w:bottom w:val="single" w:sz="8" w:space="0" w:color="800080"/>
      </w:pBdr>
      <w:spacing w:after="100"/>
      <w:ind w:left="1871"/>
    </w:pPr>
    <w:rPr>
      <w:b/>
      <w:i/>
      <w:color w:val="800080"/>
    </w:rPr>
  </w:style>
  <w:style w:type="paragraph" w:customStyle="1" w:styleId="Ucinnost105start">
    <w:name w:val="Ucinnost_105_start"/>
    <w:pPr>
      <w:pBdr>
        <w:top w:val="single" w:sz="8" w:space="0" w:color="8B0000"/>
      </w:pBdr>
      <w:spacing w:after="100"/>
      <w:ind w:left="1871"/>
    </w:pPr>
    <w:rPr>
      <w:b/>
      <w:i/>
      <w:color w:val="8B0000"/>
    </w:rPr>
  </w:style>
  <w:style w:type="paragraph" w:customStyle="1" w:styleId="Ucinnost105konec">
    <w:name w:val="Ucinnost_105_konec"/>
    <w:pPr>
      <w:pBdr>
        <w:bottom w:val="single" w:sz="8" w:space="0" w:color="8B0000"/>
      </w:pBdr>
      <w:spacing w:after="100"/>
      <w:ind w:left="1871"/>
    </w:pPr>
    <w:rPr>
      <w:b/>
      <w:i/>
      <w:color w:val="8B0000"/>
    </w:rPr>
  </w:style>
  <w:style w:type="paragraph" w:customStyle="1" w:styleId="106">
    <w:name w:val="106"/>
    <w:pPr>
      <w:spacing w:after="57"/>
      <w:ind w:left="2551" w:hanging="340"/>
      <w:jc w:val="both"/>
    </w:pPr>
    <w:rPr>
      <w:sz w:val="24"/>
    </w:rPr>
  </w:style>
  <w:style w:type="paragraph" w:customStyle="1" w:styleId="Varianta106start">
    <w:name w:val="Varianta_106_start"/>
    <w:pPr>
      <w:pBdr>
        <w:top w:val="single" w:sz="8" w:space="0" w:color="800080"/>
      </w:pBdr>
      <w:spacing w:after="100"/>
      <w:ind w:left="2551"/>
    </w:pPr>
    <w:rPr>
      <w:b/>
      <w:i/>
      <w:color w:val="800080"/>
    </w:rPr>
  </w:style>
  <w:style w:type="paragraph" w:customStyle="1" w:styleId="Varianta106konec">
    <w:name w:val="Varianta_106_konec"/>
    <w:pPr>
      <w:pBdr>
        <w:bottom w:val="single" w:sz="8" w:space="0" w:color="800080"/>
      </w:pBdr>
      <w:spacing w:after="100"/>
      <w:ind w:left="2551"/>
    </w:pPr>
    <w:rPr>
      <w:b/>
      <w:i/>
      <w:color w:val="800080"/>
    </w:rPr>
  </w:style>
  <w:style w:type="paragraph" w:customStyle="1" w:styleId="Ucinnost106start">
    <w:name w:val="Ucinnost_106_start"/>
    <w:pPr>
      <w:pBdr>
        <w:top w:val="single" w:sz="8" w:space="0" w:color="8B0000"/>
      </w:pBdr>
      <w:spacing w:after="100"/>
      <w:ind w:left="2551"/>
    </w:pPr>
    <w:rPr>
      <w:b/>
      <w:i/>
      <w:color w:val="8B0000"/>
    </w:rPr>
  </w:style>
  <w:style w:type="paragraph" w:customStyle="1" w:styleId="Ucinnost106konec">
    <w:name w:val="Ucinnost_106_konec"/>
    <w:pPr>
      <w:pBdr>
        <w:bottom w:val="single" w:sz="8" w:space="0" w:color="8B0000"/>
      </w:pBdr>
      <w:spacing w:after="100"/>
      <w:ind w:left="2551"/>
    </w:pPr>
    <w:rPr>
      <w:b/>
      <w:i/>
      <w:color w:val="8B0000"/>
    </w:rPr>
  </w:style>
  <w:style w:type="paragraph" w:customStyle="1" w:styleId="107">
    <w:name w:val="107"/>
    <w:pPr>
      <w:spacing w:before="57" w:after="57"/>
      <w:ind w:left="2551" w:hanging="340"/>
      <w:jc w:val="both"/>
    </w:pPr>
    <w:rPr>
      <w:sz w:val="24"/>
    </w:rPr>
  </w:style>
  <w:style w:type="paragraph" w:customStyle="1" w:styleId="Varianta107start">
    <w:name w:val="Varianta_107_start"/>
    <w:pPr>
      <w:pBdr>
        <w:top w:val="single" w:sz="8" w:space="0" w:color="800080"/>
      </w:pBdr>
      <w:spacing w:after="100"/>
      <w:ind w:left="2551"/>
    </w:pPr>
    <w:rPr>
      <w:b/>
      <w:i/>
      <w:color w:val="800080"/>
    </w:rPr>
  </w:style>
  <w:style w:type="paragraph" w:customStyle="1" w:styleId="Varianta107konec">
    <w:name w:val="Varianta_107_konec"/>
    <w:pPr>
      <w:pBdr>
        <w:bottom w:val="single" w:sz="8" w:space="0" w:color="800080"/>
      </w:pBdr>
      <w:spacing w:after="100"/>
      <w:ind w:left="2551"/>
    </w:pPr>
    <w:rPr>
      <w:b/>
      <w:i/>
      <w:color w:val="800080"/>
    </w:rPr>
  </w:style>
  <w:style w:type="paragraph" w:customStyle="1" w:styleId="Ucinnost107start">
    <w:name w:val="Ucinnost_107_start"/>
    <w:pPr>
      <w:pBdr>
        <w:top w:val="single" w:sz="8" w:space="0" w:color="8B0000"/>
      </w:pBdr>
      <w:spacing w:after="100"/>
      <w:ind w:left="2551"/>
    </w:pPr>
    <w:rPr>
      <w:b/>
      <w:i/>
      <w:color w:val="8B0000"/>
    </w:rPr>
  </w:style>
  <w:style w:type="paragraph" w:customStyle="1" w:styleId="Ucinnost107konec">
    <w:name w:val="Ucinnost_107_konec"/>
    <w:pPr>
      <w:pBdr>
        <w:bottom w:val="single" w:sz="8" w:space="0" w:color="8B0000"/>
      </w:pBdr>
      <w:spacing w:after="100"/>
      <w:ind w:left="2551"/>
    </w:pPr>
    <w:rPr>
      <w:b/>
      <w:i/>
      <w:color w:val="8B0000"/>
    </w:rPr>
  </w:style>
  <w:style w:type="paragraph" w:customStyle="1" w:styleId="108">
    <w:name w:val="108"/>
    <w:pPr>
      <w:spacing w:before="57" w:after="227"/>
      <w:ind w:left="2551" w:hanging="340"/>
      <w:jc w:val="both"/>
    </w:pPr>
    <w:rPr>
      <w:sz w:val="24"/>
    </w:rPr>
  </w:style>
  <w:style w:type="paragraph" w:customStyle="1" w:styleId="Varianta108start">
    <w:name w:val="Varianta_108_start"/>
    <w:pPr>
      <w:pBdr>
        <w:top w:val="single" w:sz="8" w:space="0" w:color="800080"/>
      </w:pBdr>
      <w:spacing w:after="100"/>
      <w:ind w:left="2551"/>
    </w:pPr>
    <w:rPr>
      <w:b/>
      <w:i/>
      <w:color w:val="800080"/>
    </w:rPr>
  </w:style>
  <w:style w:type="paragraph" w:customStyle="1" w:styleId="Varianta108konec">
    <w:name w:val="Varianta_108_konec"/>
    <w:pPr>
      <w:pBdr>
        <w:bottom w:val="single" w:sz="8" w:space="0" w:color="800080"/>
      </w:pBdr>
      <w:spacing w:after="100"/>
      <w:ind w:left="2551"/>
    </w:pPr>
    <w:rPr>
      <w:b/>
      <w:i/>
      <w:color w:val="800080"/>
    </w:rPr>
  </w:style>
  <w:style w:type="paragraph" w:customStyle="1" w:styleId="Ucinnost108start">
    <w:name w:val="Ucinnost_108_start"/>
    <w:pPr>
      <w:pBdr>
        <w:top w:val="single" w:sz="8" w:space="0" w:color="8B0000"/>
      </w:pBdr>
      <w:spacing w:after="100"/>
      <w:ind w:left="2551"/>
    </w:pPr>
    <w:rPr>
      <w:b/>
      <w:i/>
      <w:color w:val="8B0000"/>
    </w:rPr>
  </w:style>
  <w:style w:type="paragraph" w:customStyle="1" w:styleId="Ucinnost108konec">
    <w:name w:val="Ucinnost_108_konec"/>
    <w:pPr>
      <w:pBdr>
        <w:bottom w:val="single" w:sz="8" w:space="0" w:color="8B0000"/>
      </w:pBdr>
      <w:spacing w:after="100"/>
      <w:ind w:left="2551"/>
    </w:pPr>
    <w:rPr>
      <w:b/>
      <w:i/>
      <w:color w:val="8B0000"/>
    </w:rPr>
  </w:style>
  <w:style w:type="paragraph" w:customStyle="1" w:styleId="109">
    <w:name w:val="109"/>
    <w:pPr>
      <w:spacing w:before="113" w:after="113"/>
      <w:ind w:left="1871"/>
      <w:jc w:val="both"/>
    </w:pPr>
    <w:rPr>
      <w:sz w:val="24"/>
    </w:rPr>
  </w:style>
  <w:style w:type="paragraph" w:customStyle="1" w:styleId="110">
    <w:name w:val="110"/>
    <w:pPr>
      <w:spacing w:before="113" w:after="57"/>
      <w:ind w:left="1871"/>
      <w:jc w:val="both"/>
    </w:pPr>
    <w:rPr>
      <w:sz w:val="24"/>
    </w:rPr>
  </w:style>
  <w:style w:type="paragraph" w:customStyle="1" w:styleId="111">
    <w:name w:val="111"/>
    <w:pPr>
      <w:spacing w:before="28" w:after="28"/>
      <w:ind w:left="1247" w:hanging="340"/>
      <w:jc w:val="both"/>
    </w:pPr>
    <w:rPr>
      <w:sz w:val="22"/>
    </w:rPr>
  </w:style>
  <w:style w:type="paragraph" w:customStyle="1" w:styleId="Varianta111start">
    <w:name w:val="Varianta_111_start"/>
    <w:pPr>
      <w:pBdr>
        <w:top w:val="single" w:sz="8" w:space="0" w:color="800080"/>
      </w:pBdr>
      <w:spacing w:after="100"/>
      <w:ind w:left="1247"/>
    </w:pPr>
    <w:rPr>
      <w:b/>
      <w:i/>
      <w:color w:val="800080"/>
    </w:rPr>
  </w:style>
  <w:style w:type="paragraph" w:customStyle="1" w:styleId="Varianta111konec">
    <w:name w:val="Varianta_111_konec"/>
    <w:pPr>
      <w:pBdr>
        <w:bottom w:val="single" w:sz="8" w:space="0" w:color="800080"/>
      </w:pBdr>
      <w:spacing w:after="100"/>
      <w:ind w:left="1247"/>
    </w:pPr>
    <w:rPr>
      <w:b/>
      <w:i/>
      <w:color w:val="800080"/>
    </w:rPr>
  </w:style>
  <w:style w:type="paragraph" w:customStyle="1" w:styleId="Ucinnost111start">
    <w:name w:val="Ucinnost_111_start"/>
    <w:pPr>
      <w:pBdr>
        <w:top w:val="single" w:sz="8" w:space="0" w:color="8B0000"/>
      </w:pBdr>
      <w:spacing w:after="100"/>
      <w:ind w:left="1247"/>
    </w:pPr>
    <w:rPr>
      <w:b/>
      <w:i/>
      <w:color w:val="8B0000"/>
    </w:rPr>
  </w:style>
  <w:style w:type="paragraph" w:customStyle="1" w:styleId="Ucinnost111konec">
    <w:name w:val="Ucinnost_111_konec"/>
    <w:pPr>
      <w:pBdr>
        <w:bottom w:val="single" w:sz="8" w:space="0" w:color="8B0000"/>
      </w:pBdr>
      <w:spacing w:after="100"/>
      <w:ind w:left="1247"/>
    </w:pPr>
    <w:rPr>
      <w:b/>
      <w:i/>
      <w:color w:val="8B0000"/>
    </w:rPr>
  </w:style>
  <w:style w:type="paragraph" w:customStyle="1" w:styleId="112">
    <w:name w:val="112"/>
    <w:pPr>
      <w:spacing w:after="227"/>
      <w:ind w:left="2551" w:hanging="340"/>
      <w:jc w:val="both"/>
    </w:pPr>
    <w:rPr>
      <w:sz w:val="24"/>
    </w:rPr>
  </w:style>
  <w:style w:type="paragraph" w:customStyle="1" w:styleId="Varianta112start">
    <w:name w:val="Varianta_112_start"/>
    <w:pPr>
      <w:pBdr>
        <w:top w:val="single" w:sz="8" w:space="0" w:color="800080"/>
      </w:pBdr>
      <w:spacing w:after="100"/>
      <w:ind w:left="2551"/>
    </w:pPr>
    <w:rPr>
      <w:b/>
      <w:i/>
      <w:color w:val="800080"/>
    </w:rPr>
  </w:style>
  <w:style w:type="paragraph" w:customStyle="1" w:styleId="Varianta112konec">
    <w:name w:val="Varianta_112_konec"/>
    <w:pPr>
      <w:pBdr>
        <w:bottom w:val="single" w:sz="8" w:space="0" w:color="800080"/>
      </w:pBdr>
      <w:spacing w:after="100"/>
      <w:ind w:left="2551"/>
    </w:pPr>
    <w:rPr>
      <w:b/>
      <w:i/>
      <w:color w:val="800080"/>
    </w:rPr>
  </w:style>
  <w:style w:type="paragraph" w:customStyle="1" w:styleId="Ucinnost112start">
    <w:name w:val="Ucinnost_112_start"/>
    <w:pPr>
      <w:pBdr>
        <w:top w:val="single" w:sz="8" w:space="0" w:color="8B0000"/>
      </w:pBdr>
      <w:spacing w:after="100"/>
      <w:ind w:left="2551"/>
    </w:pPr>
    <w:rPr>
      <w:b/>
      <w:i/>
      <w:color w:val="8B0000"/>
    </w:rPr>
  </w:style>
  <w:style w:type="paragraph" w:customStyle="1" w:styleId="Ucinnost112konec">
    <w:name w:val="Ucinnost_112_konec"/>
    <w:pPr>
      <w:pBdr>
        <w:bottom w:val="single" w:sz="8" w:space="0" w:color="8B0000"/>
      </w:pBdr>
      <w:spacing w:after="100"/>
      <w:ind w:left="2551"/>
    </w:pPr>
    <w:rPr>
      <w:b/>
      <w:i/>
      <w:color w:val="8B0000"/>
    </w:rPr>
  </w:style>
  <w:style w:type="paragraph" w:customStyle="1" w:styleId="113">
    <w:name w:val="113"/>
    <w:pPr>
      <w:spacing w:after="28"/>
      <w:ind w:left="3175" w:hanging="340"/>
      <w:jc w:val="both"/>
    </w:pPr>
    <w:rPr>
      <w:sz w:val="22"/>
    </w:rPr>
  </w:style>
  <w:style w:type="paragraph" w:customStyle="1" w:styleId="Varianta113start">
    <w:name w:val="Varianta_113_start"/>
    <w:pPr>
      <w:pBdr>
        <w:top w:val="single" w:sz="8" w:space="0" w:color="800080"/>
      </w:pBdr>
      <w:spacing w:after="100"/>
      <w:ind w:left="3175"/>
    </w:pPr>
    <w:rPr>
      <w:b/>
      <w:i/>
      <w:color w:val="800080"/>
    </w:rPr>
  </w:style>
  <w:style w:type="paragraph" w:customStyle="1" w:styleId="Varianta113konec">
    <w:name w:val="Varianta_113_konec"/>
    <w:pPr>
      <w:pBdr>
        <w:bottom w:val="single" w:sz="8" w:space="0" w:color="800080"/>
      </w:pBdr>
      <w:spacing w:after="100"/>
      <w:ind w:left="3175"/>
    </w:pPr>
    <w:rPr>
      <w:b/>
      <w:i/>
      <w:color w:val="800080"/>
    </w:rPr>
  </w:style>
  <w:style w:type="paragraph" w:customStyle="1" w:styleId="Ucinnost113start">
    <w:name w:val="Ucinnost_113_start"/>
    <w:pPr>
      <w:pBdr>
        <w:top w:val="single" w:sz="8" w:space="0" w:color="8B0000"/>
      </w:pBdr>
      <w:spacing w:after="100"/>
      <w:ind w:left="3175"/>
    </w:pPr>
    <w:rPr>
      <w:b/>
      <w:i/>
      <w:color w:val="8B0000"/>
    </w:rPr>
  </w:style>
  <w:style w:type="paragraph" w:customStyle="1" w:styleId="Ucinnost113konec">
    <w:name w:val="Ucinnost_113_konec"/>
    <w:pPr>
      <w:pBdr>
        <w:bottom w:val="single" w:sz="8" w:space="0" w:color="8B0000"/>
      </w:pBdr>
      <w:spacing w:after="100"/>
      <w:ind w:left="3175"/>
    </w:pPr>
    <w:rPr>
      <w:b/>
      <w:i/>
      <w:color w:val="8B0000"/>
    </w:rPr>
  </w:style>
  <w:style w:type="paragraph" w:customStyle="1" w:styleId="114">
    <w:name w:val="114"/>
    <w:pPr>
      <w:spacing w:before="28" w:after="28"/>
      <w:ind w:left="3175" w:hanging="340"/>
      <w:jc w:val="both"/>
    </w:pPr>
    <w:rPr>
      <w:sz w:val="22"/>
    </w:rPr>
  </w:style>
  <w:style w:type="paragraph" w:customStyle="1" w:styleId="Varianta114start">
    <w:name w:val="Varianta_114_start"/>
    <w:pPr>
      <w:pBdr>
        <w:top w:val="single" w:sz="8" w:space="0" w:color="800080"/>
      </w:pBdr>
      <w:spacing w:after="100"/>
      <w:ind w:left="3175"/>
    </w:pPr>
    <w:rPr>
      <w:b/>
      <w:i/>
      <w:color w:val="800080"/>
    </w:rPr>
  </w:style>
  <w:style w:type="paragraph" w:customStyle="1" w:styleId="Varianta114konec">
    <w:name w:val="Varianta_114_konec"/>
    <w:pPr>
      <w:pBdr>
        <w:bottom w:val="single" w:sz="8" w:space="0" w:color="800080"/>
      </w:pBdr>
      <w:spacing w:after="100"/>
      <w:ind w:left="3175"/>
    </w:pPr>
    <w:rPr>
      <w:b/>
      <w:i/>
      <w:color w:val="800080"/>
    </w:rPr>
  </w:style>
  <w:style w:type="paragraph" w:customStyle="1" w:styleId="Ucinnost114start">
    <w:name w:val="Ucinnost_114_start"/>
    <w:pPr>
      <w:pBdr>
        <w:top w:val="single" w:sz="8" w:space="0" w:color="8B0000"/>
      </w:pBdr>
      <w:spacing w:after="100"/>
      <w:ind w:left="3175"/>
    </w:pPr>
    <w:rPr>
      <w:b/>
      <w:i/>
      <w:color w:val="8B0000"/>
    </w:rPr>
  </w:style>
  <w:style w:type="paragraph" w:customStyle="1" w:styleId="Ucinnost114konec">
    <w:name w:val="Ucinnost_114_konec"/>
    <w:pPr>
      <w:pBdr>
        <w:bottom w:val="single" w:sz="8" w:space="0" w:color="8B0000"/>
      </w:pBdr>
      <w:spacing w:after="100"/>
      <w:ind w:left="3175"/>
    </w:pPr>
    <w:rPr>
      <w:b/>
      <w:i/>
      <w:color w:val="8B0000"/>
    </w:rPr>
  </w:style>
  <w:style w:type="paragraph" w:customStyle="1" w:styleId="115">
    <w:name w:val="115"/>
    <w:pPr>
      <w:spacing w:before="28" w:after="28"/>
      <w:ind w:left="3798" w:hanging="340"/>
      <w:jc w:val="both"/>
    </w:pPr>
    <w:rPr>
      <w:sz w:val="22"/>
    </w:rPr>
  </w:style>
  <w:style w:type="paragraph" w:customStyle="1" w:styleId="Varianta115start">
    <w:name w:val="Varianta_115_start"/>
    <w:pPr>
      <w:pBdr>
        <w:top w:val="single" w:sz="8" w:space="0" w:color="800080"/>
      </w:pBdr>
      <w:spacing w:after="100"/>
      <w:ind w:left="3798"/>
    </w:pPr>
    <w:rPr>
      <w:b/>
      <w:i/>
      <w:color w:val="800080"/>
    </w:rPr>
  </w:style>
  <w:style w:type="paragraph" w:customStyle="1" w:styleId="Varianta115konec">
    <w:name w:val="Varianta_115_konec"/>
    <w:pPr>
      <w:pBdr>
        <w:bottom w:val="single" w:sz="8" w:space="0" w:color="800080"/>
      </w:pBdr>
      <w:spacing w:after="100"/>
      <w:ind w:left="3798"/>
    </w:pPr>
    <w:rPr>
      <w:b/>
      <w:i/>
      <w:color w:val="800080"/>
    </w:rPr>
  </w:style>
  <w:style w:type="paragraph" w:customStyle="1" w:styleId="Ucinnost115start">
    <w:name w:val="Ucinnost_115_start"/>
    <w:pPr>
      <w:pBdr>
        <w:top w:val="single" w:sz="8" w:space="0" w:color="8B0000"/>
      </w:pBdr>
      <w:spacing w:after="100"/>
      <w:ind w:left="3798"/>
    </w:pPr>
    <w:rPr>
      <w:b/>
      <w:i/>
      <w:color w:val="8B0000"/>
    </w:rPr>
  </w:style>
  <w:style w:type="paragraph" w:customStyle="1" w:styleId="Ucinnost115konec">
    <w:name w:val="Ucinnost_115_konec"/>
    <w:pPr>
      <w:pBdr>
        <w:bottom w:val="single" w:sz="8" w:space="0" w:color="8B0000"/>
      </w:pBdr>
      <w:spacing w:after="100"/>
      <w:ind w:left="3798"/>
    </w:pPr>
    <w:rPr>
      <w:b/>
      <w:i/>
      <w:color w:val="8B0000"/>
    </w:rPr>
  </w:style>
  <w:style w:type="paragraph" w:customStyle="1" w:styleId="116">
    <w:name w:val="116"/>
    <w:pPr>
      <w:spacing w:before="28" w:after="113"/>
      <w:ind w:left="3175" w:hanging="340"/>
      <w:jc w:val="both"/>
    </w:pPr>
    <w:rPr>
      <w:sz w:val="22"/>
    </w:rPr>
  </w:style>
  <w:style w:type="paragraph" w:customStyle="1" w:styleId="Varianta116start">
    <w:name w:val="Varianta_116_start"/>
    <w:pPr>
      <w:pBdr>
        <w:top w:val="single" w:sz="8" w:space="0" w:color="800080"/>
      </w:pBdr>
      <w:spacing w:after="100"/>
      <w:ind w:left="3175"/>
    </w:pPr>
    <w:rPr>
      <w:b/>
      <w:i/>
      <w:color w:val="800080"/>
    </w:rPr>
  </w:style>
  <w:style w:type="paragraph" w:customStyle="1" w:styleId="Varianta116konec">
    <w:name w:val="Varianta_116_konec"/>
    <w:pPr>
      <w:pBdr>
        <w:bottom w:val="single" w:sz="8" w:space="0" w:color="800080"/>
      </w:pBdr>
      <w:spacing w:after="100"/>
      <w:ind w:left="3175"/>
    </w:pPr>
    <w:rPr>
      <w:b/>
      <w:i/>
      <w:color w:val="800080"/>
    </w:rPr>
  </w:style>
  <w:style w:type="paragraph" w:customStyle="1" w:styleId="Ucinnost116start">
    <w:name w:val="Ucinnost_116_start"/>
    <w:pPr>
      <w:pBdr>
        <w:top w:val="single" w:sz="8" w:space="0" w:color="8B0000"/>
      </w:pBdr>
      <w:spacing w:after="100"/>
      <w:ind w:left="3175"/>
    </w:pPr>
    <w:rPr>
      <w:b/>
      <w:i/>
      <w:color w:val="8B0000"/>
    </w:rPr>
  </w:style>
  <w:style w:type="paragraph" w:customStyle="1" w:styleId="Ucinnost116konec">
    <w:name w:val="Ucinnost_116_konec"/>
    <w:pPr>
      <w:pBdr>
        <w:bottom w:val="single" w:sz="8" w:space="0" w:color="8B0000"/>
      </w:pBdr>
      <w:spacing w:after="100"/>
      <w:ind w:left="3175"/>
    </w:pPr>
    <w:rPr>
      <w:b/>
      <w:i/>
      <w:color w:val="8B0000"/>
    </w:rPr>
  </w:style>
  <w:style w:type="paragraph" w:customStyle="1" w:styleId="117">
    <w:name w:val="117"/>
    <w:pPr>
      <w:spacing w:before="28" w:after="28"/>
      <w:ind w:left="623" w:hanging="340"/>
      <w:jc w:val="both"/>
    </w:pPr>
    <w:rPr>
      <w:sz w:val="22"/>
    </w:rPr>
  </w:style>
  <w:style w:type="paragraph" w:customStyle="1" w:styleId="Varianta117start">
    <w:name w:val="Varianta_117_start"/>
    <w:pPr>
      <w:pBdr>
        <w:top w:val="single" w:sz="8" w:space="0" w:color="800080"/>
      </w:pBdr>
      <w:spacing w:after="100"/>
      <w:ind w:left="623"/>
    </w:pPr>
    <w:rPr>
      <w:b/>
      <w:i/>
      <w:color w:val="800080"/>
    </w:rPr>
  </w:style>
  <w:style w:type="paragraph" w:customStyle="1" w:styleId="Varianta117konec">
    <w:name w:val="Varianta_117_konec"/>
    <w:pPr>
      <w:pBdr>
        <w:bottom w:val="single" w:sz="8" w:space="0" w:color="800080"/>
      </w:pBdr>
      <w:spacing w:after="100"/>
      <w:ind w:left="623"/>
    </w:pPr>
    <w:rPr>
      <w:b/>
      <w:i/>
      <w:color w:val="800080"/>
    </w:rPr>
  </w:style>
  <w:style w:type="paragraph" w:customStyle="1" w:styleId="Ucinnost117start">
    <w:name w:val="Ucinnost_117_start"/>
    <w:pPr>
      <w:pBdr>
        <w:top w:val="single" w:sz="8" w:space="0" w:color="8B0000"/>
      </w:pBdr>
      <w:spacing w:after="100"/>
      <w:ind w:left="623"/>
    </w:pPr>
    <w:rPr>
      <w:b/>
      <w:i/>
      <w:color w:val="8B0000"/>
    </w:rPr>
  </w:style>
  <w:style w:type="paragraph" w:customStyle="1" w:styleId="Ucinnost117konec">
    <w:name w:val="Ucinnost_117_konec"/>
    <w:pPr>
      <w:pBdr>
        <w:bottom w:val="single" w:sz="8" w:space="0" w:color="8B0000"/>
      </w:pBdr>
      <w:spacing w:after="100"/>
      <w:ind w:left="623"/>
    </w:pPr>
    <w:rPr>
      <w:b/>
      <w:i/>
      <w:color w:val="8B0000"/>
    </w:rPr>
  </w:style>
  <w:style w:type="paragraph" w:customStyle="1" w:styleId="118">
    <w:name w:val="118"/>
    <w:pPr>
      <w:spacing w:after="113"/>
      <w:ind w:left="1474" w:right="850"/>
      <w:jc w:val="center"/>
    </w:pPr>
    <w:rPr>
      <w:b/>
      <w:sz w:val="28"/>
    </w:rPr>
  </w:style>
  <w:style w:type="paragraph" w:customStyle="1" w:styleId="119">
    <w:name w:val="119"/>
    <w:pPr>
      <w:spacing w:before="28" w:after="113"/>
      <w:ind w:left="623" w:hanging="340"/>
      <w:jc w:val="both"/>
    </w:pPr>
    <w:rPr>
      <w:sz w:val="22"/>
    </w:rPr>
  </w:style>
  <w:style w:type="paragraph" w:customStyle="1" w:styleId="Varianta119start">
    <w:name w:val="Varianta_119_start"/>
    <w:pPr>
      <w:pBdr>
        <w:top w:val="single" w:sz="8" w:space="0" w:color="800080"/>
      </w:pBdr>
      <w:spacing w:after="100"/>
      <w:ind w:left="623"/>
    </w:pPr>
    <w:rPr>
      <w:b/>
      <w:i/>
      <w:color w:val="800080"/>
    </w:rPr>
  </w:style>
  <w:style w:type="paragraph" w:customStyle="1" w:styleId="Varianta119konec">
    <w:name w:val="Varianta_119_konec"/>
    <w:pPr>
      <w:pBdr>
        <w:bottom w:val="single" w:sz="8" w:space="0" w:color="800080"/>
      </w:pBdr>
      <w:spacing w:after="100"/>
      <w:ind w:left="623"/>
    </w:pPr>
    <w:rPr>
      <w:b/>
      <w:i/>
      <w:color w:val="800080"/>
    </w:rPr>
  </w:style>
  <w:style w:type="paragraph" w:customStyle="1" w:styleId="Ucinnost119start">
    <w:name w:val="Ucinnost_119_start"/>
    <w:pPr>
      <w:pBdr>
        <w:top w:val="single" w:sz="8" w:space="0" w:color="8B0000"/>
      </w:pBdr>
      <w:spacing w:after="100"/>
      <w:ind w:left="623"/>
    </w:pPr>
    <w:rPr>
      <w:b/>
      <w:i/>
      <w:color w:val="8B0000"/>
    </w:rPr>
  </w:style>
  <w:style w:type="paragraph" w:customStyle="1" w:styleId="Ucinnost119konec">
    <w:name w:val="Ucinnost_119_konec"/>
    <w:pPr>
      <w:pBdr>
        <w:bottom w:val="single" w:sz="8" w:space="0" w:color="8B0000"/>
      </w:pBdr>
      <w:spacing w:after="100"/>
      <w:ind w:left="623"/>
    </w:pPr>
    <w:rPr>
      <w:b/>
      <w:i/>
      <w:color w:val="8B0000"/>
    </w:rPr>
  </w:style>
  <w:style w:type="paragraph" w:customStyle="1" w:styleId="120">
    <w:name w:val="120"/>
    <w:pPr>
      <w:spacing w:after="57"/>
      <w:ind w:left="1928"/>
      <w:jc w:val="both"/>
    </w:pPr>
    <w:rPr>
      <w:sz w:val="24"/>
    </w:rPr>
  </w:style>
  <w:style w:type="paragraph" w:customStyle="1" w:styleId="121">
    <w:name w:val="121"/>
    <w:pPr>
      <w:spacing w:after="57"/>
      <w:ind w:left="680"/>
      <w:jc w:val="both"/>
    </w:pPr>
    <w:rPr>
      <w:sz w:val="24"/>
    </w:rPr>
  </w:style>
  <w:style w:type="paragraph" w:customStyle="1" w:styleId="122">
    <w:name w:val="122"/>
    <w:pPr>
      <w:pBdr>
        <w:top w:val="single" w:sz="11" w:space="0" w:color="000000"/>
      </w:pBdr>
      <w:spacing w:before="510" w:after="57"/>
      <w:ind w:right="6236"/>
    </w:pPr>
    <w:rPr>
      <w:sz w:val="18"/>
    </w:rPr>
  </w:style>
  <w:style w:type="paragraph" w:customStyle="1" w:styleId="123">
    <w:name w:val="123"/>
    <w:pPr>
      <w:spacing w:before="57" w:after="113"/>
      <w:ind w:left="227" w:hanging="227"/>
    </w:pPr>
  </w:style>
  <w:style w:type="paragraph" w:customStyle="1" w:styleId="Varianta123start">
    <w:name w:val="Varianta_123_start"/>
    <w:pPr>
      <w:pBdr>
        <w:top w:val="single" w:sz="8" w:space="0" w:color="800080"/>
      </w:pBdr>
      <w:spacing w:after="100"/>
      <w:ind w:left="227"/>
    </w:pPr>
    <w:rPr>
      <w:b/>
      <w:i/>
      <w:color w:val="800080"/>
    </w:rPr>
  </w:style>
  <w:style w:type="paragraph" w:customStyle="1" w:styleId="Varianta123konec">
    <w:name w:val="Varianta_123_konec"/>
    <w:pPr>
      <w:pBdr>
        <w:bottom w:val="single" w:sz="8" w:space="0" w:color="800080"/>
      </w:pBdr>
      <w:spacing w:after="100"/>
      <w:ind w:left="227"/>
    </w:pPr>
    <w:rPr>
      <w:b/>
      <w:i/>
      <w:color w:val="800080"/>
    </w:rPr>
  </w:style>
  <w:style w:type="paragraph" w:customStyle="1" w:styleId="Ucinnost123start">
    <w:name w:val="Ucinnost_123_start"/>
    <w:pPr>
      <w:pBdr>
        <w:top w:val="single" w:sz="8" w:space="0" w:color="8B0000"/>
      </w:pBdr>
      <w:spacing w:after="100"/>
      <w:ind w:left="227"/>
    </w:pPr>
    <w:rPr>
      <w:b/>
      <w:i/>
      <w:color w:val="8B0000"/>
    </w:rPr>
  </w:style>
  <w:style w:type="paragraph" w:customStyle="1" w:styleId="Ucinnost123konec">
    <w:name w:val="Ucinnost_123_konec"/>
    <w:pPr>
      <w:pBdr>
        <w:bottom w:val="single" w:sz="8" w:space="0" w:color="8B0000"/>
      </w:pBdr>
      <w:spacing w:after="100"/>
      <w:ind w:left="227"/>
    </w:pPr>
    <w:rPr>
      <w:b/>
      <w:i/>
      <w:color w:val="8B0000"/>
    </w:rPr>
  </w:style>
  <w:style w:type="paragraph" w:customStyle="1" w:styleId="124">
    <w:name w:val="124"/>
    <w:pPr>
      <w:spacing w:before="113" w:after="113"/>
      <w:ind w:left="227" w:hanging="227"/>
    </w:pPr>
  </w:style>
  <w:style w:type="paragraph" w:customStyle="1" w:styleId="Varianta124start">
    <w:name w:val="Varianta_124_start"/>
    <w:pPr>
      <w:pBdr>
        <w:top w:val="single" w:sz="8" w:space="0" w:color="800080"/>
      </w:pBdr>
      <w:spacing w:after="100"/>
      <w:ind w:left="227"/>
    </w:pPr>
    <w:rPr>
      <w:b/>
      <w:i/>
      <w:color w:val="800080"/>
    </w:rPr>
  </w:style>
  <w:style w:type="paragraph" w:customStyle="1" w:styleId="Varianta124konec">
    <w:name w:val="Varianta_124_konec"/>
    <w:pPr>
      <w:pBdr>
        <w:bottom w:val="single" w:sz="8" w:space="0" w:color="800080"/>
      </w:pBdr>
      <w:spacing w:after="100"/>
      <w:ind w:left="227"/>
    </w:pPr>
    <w:rPr>
      <w:b/>
      <w:i/>
      <w:color w:val="800080"/>
    </w:rPr>
  </w:style>
  <w:style w:type="paragraph" w:customStyle="1" w:styleId="Ucinnost124start">
    <w:name w:val="Ucinnost_124_start"/>
    <w:pPr>
      <w:pBdr>
        <w:top w:val="single" w:sz="8" w:space="0" w:color="8B0000"/>
      </w:pBdr>
      <w:spacing w:after="100"/>
      <w:ind w:left="227"/>
    </w:pPr>
    <w:rPr>
      <w:b/>
      <w:i/>
      <w:color w:val="8B0000"/>
    </w:rPr>
  </w:style>
  <w:style w:type="paragraph" w:customStyle="1" w:styleId="Ucinnost124konec">
    <w:name w:val="Ucinnost_124_konec"/>
    <w:pPr>
      <w:pBdr>
        <w:bottom w:val="single" w:sz="8" w:space="0" w:color="8B0000"/>
      </w:pBdr>
      <w:spacing w:after="100"/>
      <w:ind w:left="227"/>
    </w:pPr>
    <w:rPr>
      <w:b/>
      <w:i/>
      <w:color w:val="8B0000"/>
    </w:rPr>
  </w:style>
  <w:style w:type="paragraph" w:customStyle="1" w:styleId="125">
    <w:name w:val="125"/>
    <w:pPr>
      <w:spacing w:before="113" w:after="170"/>
      <w:ind w:left="227" w:hanging="227"/>
    </w:pPr>
  </w:style>
  <w:style w:type="paragraph" w:customStyle="1" w:styleId="Varianta125start">
    <w:name w:val="Varianta_125_start"/>
    <w:pPr>
      <w:pBdr>
        <w:top w:val="single" w:sz="8" w:space="0" w:color="800080"/>
      </w:pBdr>
      <w:spacing w:after="100"/>
      <w:ind w:left="227"/>
    </w:pPr>
    <w:rPr>
      <w:b/>
      <w:i/>
      <w:color w:val="800080"/>
    </w:rPr>
  </w:style>
  <w:style w:type="paragraph" w:customStyle="1" w:styleId="Varianta125konec">
    <w:name w:val="Varianta_125_konec"/>
    <w:pPr>
      <w:pBdr>
        <w:bottom w:val="single" w:sz="8" w:space="0" w:color="800080"/>
      </w:pBdr>
      <w:spacing w:after="100"/>
      <w:ind w:left="227"/>
    </w:pPr>
    <w:rPr>
      <w:b/>
      <w:i/>
      <w:color w:val="800080"/>
    </w:rPr>
  </w:style>
  <w:style w:type="paragraph" w:customStyle="1" w:styleId="Ucinnost125start">
    <w:name w:val="Ucinnost_125_start"/>
    <w:pPr>
      <w:pBdr>
        <w:top w:val="single" w:sz="8" w:space="0" w:color="8B0000"/>
      </w:pBdr>
      <w:spacing w:after="100"/>
      <w:ind w:left="227"/>
    </w:pPr>
    <w:rPr>
      <w:b/>
      <w:i/>
      <w:color w:val="8B0000"/>
    </w:rPr>
  </w:style>
  <w:style w:type="paragraph" w:customStyle="1" w:styleId="Ucinnost125konec">
    <w:name w:val="Ucinnost_125_konec"/>
    <w:pPr>
      <w:pBdr>
        <w:bottom w:val="single" w:sz="8" w:space="0" w:color="8B0000"/>
      </w:pBdr>
      <w:spacing w:after="100"/>
      <w:ind w:left="227"/>
    </w:pPr>
    <w:rPr>
      <w:b/>
      <w:i/>
      <w:color w:val="8B0000"/>
    </w:rPr>
  </w:style>
  <w:style w:type="character" w:styleId="Odkaznakoment">
    <w:name w:val="annotation reference"/>
    <w:aliases w:val="Značka poznámky"/>
    <w:basedOn w:val="Standardnpsmoodstavce"/>
    <w:uiPriority w:val="99"/>
    <w:rsid w:val="00D153B1"/>
    <w:rPr>
      <w:sz w:val="16"/>
      <w:szCs w:val="16"/>
    </w:rPr>
  </w:style>
  <w:style w:type="paragraph" w:styleId="Textkomente">
    <w:name w:val="annotation text"/>
    <w:aliases w:val="Text poznámky"/>
    <w:basedOn w:val="Normln"/>
    <w:link w:val="TextkomenteChar"/>
    <w:uiPriority w:val="99"/>
    <w:rsid w:val="00D153B1"/>
    <w:rPr>
      <w:sz w:val="20"/>
      <w:szCs w:val="20"/>
    </w:rPr>
  </w:style>
  <w:style w:type="character" w:customStyle="1" w:styleId="TextkomenteChar">
    <w:name w:val="Text komentáře Char"/>
    <w:aliases w:val="Text poznámky Char"/>
    <w:basedOn w:val="Standardnpsmoodstavce"/>
    <w:link w:val="Textkomente"/>
    <w:uiPriority w:val="99"/>
    <w:rsid w:val="00D153B1"/>
  </w:style>
  <w:style w:type="paragraph" w:styleId="Pedmtkomente">
    <w:name w:val="annotation subject"/>
    <w:basedOn w:val="Textkomente"/>
    <w:next w:val="Textkomente"/>
    <w:link w:val="PedmtkomenteChar"/>
    <w:rsid w:val="00D153B1"/>
    <w:rPr>
      <w:b/>
      <w:bCs/>
    </w:rPr>
  </w:style>
  <w:style w:type="character" w:customStyle="1" w:styleId="PedmtkomenteChar">
    <w:name w:val="Předmět komentáře Char"/>
    <w:basedOn w:val="TextkomenteChar"/>
    <w:link w:val="Pedmtkomente"/>
    <w:rsid w:val="00D153B1"/>
    <w:rPr>
      <w:b/>
      <w:bCs/>
    </w:rPr>
  </w:style>
  <w:style w:type="paragraph" w:styleId="Zpat">
    <w:name w:val="footer"/>
    <w:basedOn w:val="Normln"/>
    <w:link w:val="ZpatChar"/>
    <w:rsid w:val="00E03D3A"/>
    <w:pPr>
      <w:tabs>
        <w:tab w:val="center" w:pos="4536"/>
        <w:tab w:val="right" w:pos="9072"/>
      </w:tabs>
    </w:pPr>
  </w:style>
  <w:style w:type="character" w:customStyle="1" w:styleId="ZpatChar">
    <w:name w:val="Zápatí Char"/>
    <w:basedOn w:val="Standardnpsmoodstavce"/>
    <w:link w:val="Zpat"/>
    <w:rsid w:val="00E03D3A"/>
    <w:rPr>
      <w:sz w:val="24"/>
      <w:szCs w:val="24"/>
    </w:rPr>
  </w:style>
  <w:style w:type="paragraph" w:styleId="Odstavecseseznamem">
    <w:name w:val="List Paragraph"/>
    <w:aliases w:val="Dot pt,Indicator Text,LISTA,List Paragraph Char Char Char,List Paragraph à moi,Listaszerű bekezdés1,Listaszerű bekezdés2,Listaszerű bekezdés3,No Spacing1,Numbered Para 1"/>
    <w:basedOn w:val="Normln"/>
    <w:link w:val="OdstavecseseznamemChar"/>
    <w:uiPriority w:val="34"/>
    <w:qFormat/>
    <w:rsid w:val="008545D6"/>
    <w:pPr>
      <w:spacing w:after="160" w:line="259" w:lineRule="auto"/>
      <w:ind w:left="720"/>
      <w:contextualSpacing/>
    </w:pPr>
    <w:rPr>
      <w:rFonts w:asciiTheme="minorHAnsi" w:eastAsiaTheme="minorHAnsi" w:hAnsiTheme="minorHAnsi" w:cstheme="minorBidi"/>
      <w:sz w:val="22"/>
      <w:szCs w:val="22"/>
    </w:rPr>
  </w:style>
  <w:style w:type="character" w:customStyle="1" w:styleId="Nadpis1Char">
    <w:name w:val="Nadpis 1 Char"/>
    <w:basedOn w:val="Standardnpsmoodstavce"/>
    <w:link w:val="Nadpis1"/>
    <w:rsid w:val="00914BA9"/>
    <w:rPr>
      <w:rFonts w:asciiTheme="majorHAnsi" w:eastAsiaTheme="majorEastAsia" w:hAnsiTheme="majorHAnsi" w:cstheme="majorBidi"/>
      <w:color w:val="365F91" w:themeColor="accent1" w:themeShade="BF"/>
      <w:sz w:val="32"/>
      <w:szCs w:val="32"/>
    </w:rPr>
  </w:style>
  <w:style w:type="character" w:styleId="Hypertextovodkaz">
    <w:name w:val="Hyperlink"/>
    <w:basedOn w:val="Standardnpsmoodstavce"/>
    <w:rsid w:val="00B16C0B"/>
    <w:rPr>
      <w:color w:val="0000FF" w:themeColor="hyperlink"/>
      <w:u w:val="single"/>
    </w:rPr>
  </w:style>
  <w:style w:type="character" w:customStyle="1" w:styleId="Nevyeenzmnka1">
    <w:name w:val="Nevyřešená zmínka1"/>
    <w:basedOn w:val="Standardnpsmoodstavce"/>
    <w:uiPriority w:val="99"/>
    <w:semiHidden/>
    <w:unhideWhenUsed/>
    <w:rsid w:val="00B16C0B"/>
    <w:rPr>
      <w:color w:val="605E5C"/>
      <w:shd w:val="clear" w:color="auto" w:fill="E1DFDD"/>
    </w:rPr>
  </w:style>
  <w:style w:type="paragraph" w:styleId="Textpoznpodarou">
    <w:name w:val="footnote text"/>
    <w:basedOn w:val="Normln"/>
    <w:link w:val="TextpoznpodarouChar"/>
    <w:uiPriority w:val="99"/>
    <w:rsid w:val="007368FC"/>
    <w:rPr>
      <w:sz w:val="20"/>
      <w:szCs w:val="20"/>
    </w:rPr>
  </w:style>
  <w:style w:type="character" w:customStyle="1" w:styleId="TextpoznpodarouChar">
    <w:name w:val="Text pozn. pod čarou Char"/>
    <w:basedOn w:val="Standardnpsmoodstavce"/>
    <w:link w:val="Textpoznpodarou"/>
    <w:uiPriority w:val="99"/>
    <w:rsid w:val="007368FC"/>
  </w:style>
  <w:style w:type="character" w:styleId="Znakapoznpodarou">
    <w:name w:val="footnote reference"/>
    <w:basedOn w:val="Standardnpsmoodstavce"/>
    <w:uiPriority w:val="99"/>
    <w:rsid w:val="007368FC"/>
    <w:rPr>
      <w:vertAlign w:val="superscript"/>
    </w:rPr>
  </w:style>
  <w:style w:type="table" w:styleId="Mkatabulky">
    <w:name w:val="Table Grid"/>
    <w:basedOn w:val="Normlntabulka"/>
    <w:uiPriority w:val="99"/>
    <w:rsid w:val="00B24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rsid w:val="00530164"/>
    <w:rPr>
      <w:rFonts w:asciiTheme="majorHAnsi" w:eastAsiaTheme="majorEastAsia" w:hAnsiTheme="majorHAnsi" w:cstheme="majorBidi"/>
      <w:color w:val="243F60" w:themeColor="accent1" w:themeShade="7F"/>
      <w:sz w:val="24"/>
      <w:szCs w:val="24"/>
    </w:rPr>
  </w:style>
  <w:style w:type="paragraph" w:styleId="Zhlav">
    <w:name w:val="header"/>
    <w:basedOn w:val="Normln"/>
    <w:link w:val="ZhlavChar"/>
    <w:rsid w:val="00BE3B60"/>
    <w:pPr>
      <w:tabs>
        <w:tab w:val="center" w:pos="4536"/>
        <w:tab w:val="right" w:pos="9072"/>
      </w:tabs>
    </w:pPr>
  </w:style>
  <w:style w:type="character" w:customStyle="1" w:styleId="ZhlavChar">
    <w:name w:val="Záhlaví Char"/>
    <w:basedOn w:val="Standardnpsmoodstavce"/>
    <w:link w:val="Zhlav"/>
    <w:rsid w:val="00BE3B60"/>
    <w:rPr>
      <w:sz w:val="24"/>
      <w:szCs w:val="24"/>
    </w:rPr>
  </w:style>
  <w:style w:type="paragraph" w:styleId="Revize">
    <w:name w:val="Revision"/>
    <w:hidden/>
    <w:rsid w:val="00B12FE3"/>
    <w:rPr>
      <w:sz w:val="24"/>
      <w:szCs w:val="24"/>
    </w:rPr>
  </w:style>
  <w:style w:type="character" w:customStyle="1" w:styleId="Nadpis2Char">
    <w:name w:val="Nadpis 2 Char"/>
    <w:basedOn w:val="Standardnpsmoodstavce"/>
    <w:rsid w:val="006945AD"/>
    <w:rPr>
      <w:rFonts w:asciiTheme="majorHAnsi" w:eastAsiaTheme="majorEastAsia" w:hAnsiTheme="majorHAnsi" w:cstheme="majorBidi"/>
      <w:color w:val="365F91" w:themeColor="accent1" w:themeShade="BF"/>
      <w:sz w:val="26"/>
      <w:szCs w:val="26"/>
    </w:rPr>
  </w:style>
  <w:style w:type="character" w:customStyle="1" w:styleId="Nadpis4Char">
    <w:name w:val="Nadpis 4 Char"/>
    <w:basedOn w:val="Standardnpsmoodstavce"/>
    <w:rsid w:val="006945AD"/>
    <w:rPr>
      <w:rFonts w:asciiTheme="majorHAnsi" w:eastAsiaTheme="majorEastAsia" w:hAnsiTheme="majorHAnsi" w:cstheme="majorBidi"/>
      <w:i/>
      <w:iCs/>
      <w:color w:val="365F91" w:themeColor="accent1" w:themeShade="BF"/>
      <w:sz w:val="24"/>
      <w:szCs w:val="24"/>
    </w:rPr>
  </w:style>
  <w:style w:type="character" w:customStyle="1" w:styleId="Nadpis5Char">
    <w:name w:val="Nadpis 5 Char"/>
    <w:basedOn w:val="Standardnpsmoodstavce"/>
    <w:rsid w:val="006945AD"/>
    <w:rPr>
      <w:rFonts w:asciiTheme="majorHAnsi" w:eastAsiaTheme="majorEastAsia" w:hAnsiTheme="majorHAnsi" w:cstheme="majorBidi"/>
      <w:color w:val="365F91" w:themeColor="accent1" w:themeShade="BF"/>
      <w:sz w:val="24"/>
      <w:szCs w:val="24"/>
    </w:rPr>
  </w:style>
  <w:style w:type="character" w:customStyle="1" w:styleId="Nadpis6Char">
    <w:name w:val="Nadpis 6 Char"/>
    <w:basedOn w:val="Standardnpsmoodstavce"/>
    <w:rsid w:val="006945AD"/>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rsid w:val="006945AD"/>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rsid w:val="006945A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rsid w:val="006945AD"/>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Standardnpsmoodstavce"/>
    <w:uiPriority w:val="9"/>
    <w:rsid w:val="006945AD"/>
    <w:rPr>
      <w:rFonts w:ascii="Arial" w:eastAsia="Arial" w:hAnsi="Arial" w:cs="Arial"/>
      <w:sz w:val="40"/>
      <w:szCs w:val="40"/>
    </w:rPr>
  </w:style>
  <w:style w:type="character" w:customStyle="1" w:styleId="Heading2Char">
    <w:name w:val="Heading 2 Char"/>
    <w:basedOn w:val="Standardnpsmoodstavce"/>
    <w:uiPriority w:val="9"/>
    <w:rsid w:val="006945AD"/>
    <w:rPr>
      <w:rFonts w:ascii="Arial" w:eastAsia="Arial" w:hAnsi="Arial" w:cs="Arial"/>
      <w:sz w:val="34"/>
    </w:rPr>
  </w:style>
  <w:style w:type="character" w:customStyle="1" w:styleId="Heading3Char">
    <w:name w:val="Heading 3 Char"/>
    <w:basedOn w:val="Standardnpsmoodstavce"/>
    <w:uiPriority w:val="9"/>
    <w:rsid w:val="006945AD"/>
    <w:rPr>
      <w:rFonts w:ascii="Arial" w:eastAsia="Arial" w:hAnsi="Arial" w:cs="Arial"/>
      <w:sz w:val="30"/>
      <w:szCs w:val="30"/>
    </w:rPr>
  </w:style>
  <w:style w:type="character" w:customStyle="1" w:styleId="Heading4Char">
    <w:name w:val="Heading 4 Char"/>
    <w:basedOn w:val="Standardnpsmoodstavce"/>
    <w:uiPriority w:val="9"/>
    <w:rsid w:val="006945AD"/>
    <w:rPr>
      <w:rFonts w:ascii="Arial" w:eastAsia="Arial" w:hAnsi="Arial" w:cs="Arial"/>
      <w:b/>
      <w:bCs/>
      <w:sz w:val="26"/>
      <w:szCs w:val="26"/>
    </w:rPr>
  </w:style>
  <w:style w:type="character" w:customStyle="1" w:styleId="Heading5Char">
    <w:name w:val="Heading 5 Char"/>
    <w:basedOn w:val="Standardnpsmoodstavce"/>
    <w:uiPriority w:val="9"/>
    <w:rsid w:val="006945AD"/>
    <w:rPr>
      <w:rFonts w:ascii="Arial" w:eastAsia="Arial" w:hAnsi="Arial" w:cs="Arial"/>
      <w:b/>
      <w:bCs/>
      <w:sz w:val="24"/>
      <w:szCs w:val="24"/>
    </w:rPr>
  </w:style>
  <w:style w:type="character" w:customStyle="1" w:styleId="Heading6Char">
    <w:name w:val="Heading 6 Char"/>
    <w:basedOn w:val="Standardnpsmoodstavce"/>
    <w:uiPriority w:val="9"/>
    <w:rsid w:val="006945AD"/>
    <w:rPr>
      <w:rFonts w:ascii="Arial" w:eastAsia="Arial" w:hAnsi="Arial" w:cs="Arial"/>
      <w:b/>
      <w:bCs/>
      <w:sz w:val="22"/>
      <w:szCs w:val="22"/>
    </w:rPr>
  </w:style>
  <w:style w:type="character" w:customStyle="1" w:styleId="Heading7Char">
    <w:name w:val="Heading 7 Char"/>
    <w:basedOn w:val="Standardnpsmoodstavce"/>
    <w:uiPriority w:val="9"/>
    <w:rsid w:val="006945AD"/>
    <w:rPr>
      <w:rFonts w:ascii="Arial" w:eastAsia="Arial" w:hAnsi="Arial" w:cs="Arial"/>
      <w:b/>
      <w:bCs/>
      <w:i/>
      <w:iCs/>
      <w:sz w:val="22"/>
      <w:szCs w:val="22"/>
    </w:rPr>
  </w:style>
  <w:style w:type="character" w:customStyle="1" w:styleId="Heading8Char">
    <w:name w:val="Heading 8 Char"/>
    <w:basedOn w:val="Standardnpsmoodstavce"/>
    <w:uiPriority w:val="9"/>
    <w:rsid w:val="006945AD"/>
    <w:rPr>
      <w:rFonts w:ascii="Arial" w:eastAsia="Arial" w:hAnsi="Arial" w:cs="Arial"/>
      <w:i/>
      <w:iCs/>
      <w:sz w:val="22"/>
      <w:szCs w:val="22"/>
    </w:rPr>
  </w:style>
  <w:style w:type="character" w:customStyle="1" w:styleId="Heading9Char">
    <w:name w:val="Heading 9 Char"/>
    <w:basedOn w:val="Standardnpsmoodstavce"/>
    <w:uiPriority w:val="9"/>
    <w:rsid w:val="006945AD"/>
    <w:rPr>
      <w:rFonts w:ascii="Arial" w:eastAsia="Arial" w:hAnsi="Arial" w:cs="Arial"/>
      <w:i/>
      <w:iCs/>
      <w:sz w:val="21"/>
      <w:szCs w:val="21"/>
    </w:rPr>
  </w:style>
  <w:style w:type="paragraph" w:styleId="Bezmezer">
    <w:name w:val="No Spacing"/>
    <w:uiPriority w:val="1"/>
    <w:qFormat/>
    <w:rsid w:val="006945AD"/>
    <w:rPr>
      <w:rFonts w:asciiTheme="minorHAnsi" w:eastAsiaTheme="minorHAnsi" w:hAnsiTheme="minorHAnsi" w:cstheme="minorBidi"/>
      <w:sz w:val="22"/>
      <w:szCs w:val="22"/>
    </w:rPr>
  </w:style>
  <w:style w:type="paragraph" w:styleId="Nzev">
    <w:name w:val="Title"/>
    <w:basedOn w:val="Normln"/>
    <w:next w:val="Normln"/>
    <w:link w:val="NzevChar"/>
    <w:uiPriority w:val="10"/>
    <w:qFormat/>
    <w:rsid w:val="006945AD"/>
    <w:pPr>
      <w:spacing w:before="300" w:after="200"/>
      <w:contextualSpacing/>
    </w:pPr>
    <w:rPr>
      <w:sz w:val="48"/>
      <w:szCs w:val="48"/>
      <w:lang w:eastAsia="ar-SA"/>
    </w:rPr>
  </w:style>
  <w:style w:type="character" w:customStyle="1" w:styleId="NzevChar">
    <w:name w:val="Název Char"/>
    <w:basedOn w:val="Standardnpsmoodstavce"/>
    <w:link w:val="Nzev"/>
    <w:uiPriority w:val="10"/>
    <w:rsid w:val="006945AD"/>
    <w:rPr>
      <w:sz w:val="48"/>
      <w:szCs w:val="48"/>
      <w:lang w:eastAsia="ar-SA"/>
    </w:rPr>
  </w:style>
  <w:style w:type="paragraph" w:styleId="Podnadpis">
    <w:name w:val="Subtitle"/>
    <w:basedOn w:val="Normln"/>
    <w:next w:val="Normln"/>
    <w:link w:val="PodnadpisChar1"/>
    <w:uiPriority w:val="11"/>
    <w:qFormat/>
    <w:rsid w:val="006945AD"/>
    <w:pPr>
      <w:spacing w:before="200" w:after="200"/>
    </w:pPr>
    <w:rPr>
      <w:lang w:eastAsia="ar-SA"/>
    </w:rPr>
  </w:style>
  <w:style w:type="character" w:customStyle="1" w:styleId="PodnadpisChar">
    <w:name w:val="Podnadpis Char"/>
    <w:basedOn w:val="Standardnpsmoodstavce"/>
    <w:uiPriority w:val="11"/>
    <w:rsid w:val="006945AD"/>
    <w:rPr>
      <w:rFonts w:asciiTheme="minorHAnsi" w:eastAsiaTheme="minorEastAsia" w:hAnsiTheme="minorHAnsi" w:cstheme="minorBidi"/>
      <w:color w:val="5A5A5A" w:themeColor="text1" w:themeTint="A5"/>
      <w:spacing w:val="15"/>
      <w:sz w:val="22"/>
      <w:szCs w:val="22"/>
    </w:rPr>
  </w:style>
  <w:style w:type="character" w:customStyle="1" w:styleId="PodnadpisChar1">
    <w:name w:val="Podnadpis Char1"/>
    <w:basedOn w:val="Standardnpsmoodstavce"/>
    <w:link w:val="Podnadpis"/>
    <w:uiPriority w:val="11"/>
    <w:rsid w:val="006945AD"/>
    <w:rPr>
      <w:sz w:val="24"/>
      <w:szCs w:val="24"/>
      <w:lang w:eastAsia="ar-SA"/>
    </w:rPr>
  </w:style>
  <w:style w:type="paragraph" w:styleId="Citt">
    <w:name w:val="Quote"/>
    <w:basedOn w:val="Normln"/>
    <w:next w:val="Normln"/>
    <w:link w:val="CittChar"/>
    <w:uiPriority w:val="29"/>
    <w:qFormat/>
    <w:rsid w:val="006945AD"/>
    <w:pPr>
      <w:ind w:left="720" w:right="720"/>
    </w:pPr>
    <w:rPr>
      <w:i/>
      <w:lang w:eastAsia="ar-SA"/>
    </w:rPr>
  </w:style>
  <w:style w:type="character" w:customStyle="1" w:styleId="CittChar">
    <w:name w:val="Citát Char"/>
    <w:basedOn w:val="Standardnpsmoodstavce"/>
    <w:link w:val="Citt"/>
    <w:uiPriority w:val="29"/>
    <w:rsid w:val="006945AD"/>
    <w:rPr>
      <w:i/>
      <w:sz w:val="24"/>
      <w:szCs w:val="24"/>
      <w:lang w:eastAsia="ar-SA"/>
    </w:rPr>
  </w:style>
  <w:style w:type="paragraph" w:styleId="Vrazncitt">
    <w:name w:val="Intense Quote"/>
    <w:basedOn w:val="Normln"/>
    <w:next w:val="Normln"/>
    <w:link w:val="VrazncittChar"/>
    <w:uiPriority w:val="30"/>
    <w:qFormat/>
    <w:rsid w:val="006945AD"/>
    <w:pPr>
      <w:pBdr>
        <w:top w:val="single" w:sz="4" w:space="5" w:color="FFFFFF"/>
        <w:left w:val="single" w:sz="4" w:space="10" w:color="FFFFFF"/>
        <w:bottom w:val="single" w:sz="4" w:space="5" w:color="FFFFFF"/>
        <w:right w:val="single" w:sz="4" w:space="10" w:color="FFFFFF"/>
      </w:pBdr>
      <w:shd w:val="clear" w:color="auto" w:fill="F2F2F2"/>
      <w:ind w:left="720" w:right="720"/>
    </w:pPr>
    <w:rPr>
      <w:i/>
      <w:lang w:eastAsia="ar-SA"/>
    </w:rPr>
  </w:style>
  <w:style w:type="character" w:customStyle="1" w:styleId="VrazncittChar">
    <w:name w:val="Výrazný citát Char"/>
    <w:basedOn w:val="Standardnpsmoodstavce"/>
    <w:link w:val="Vrazncitt"/>
    <w:uiPriority w:val="30"/>
    <w:rsid w:val="006945AD"/>
    <w:rPr>
      <w:i/>
      <w:sz w:val="24"/>
      <w:szCs w:val="24"/>
      <w:shd w:val="clear" w:color="auto" w:fill="F2F2F2"/>
      <w:lang w:eastAsia="ar-SA"/>
    </w:rPr>
  </w:style>
  <w:style w:type="character" w:customStyle="1" w:styleId="HeaderChar">
    <w:name w:val="Header Char"/>
    <w:basedOn w:val="Standardnpsmoodstavce"/>
    <w:uiPriority w:val="99"/>
    <w:rsid w:val="006945AD"/>
  </w:style>
  <w:style w:type="character" w:customStyle="1" w:styleId="FooterChar">
    <w:name w:val="Footer Char"/>
    <w:basedOn w:val="Standardnpsmoodstavce"/>
    <w:uiPriority w:val="99"/>
    <w:rsid w:val="006945AD"/>
  </w:style>
  <w:style w:type="character" w:customStyle="1" w:styleId="CaptionChar">
    <w:name w:val="Caption Char"/>
    <w:uiPriority w:val="99"/>
    <w:rsid w:val="006945AD"/>
  </w:style>
  <w:style w:type="table" w:customStyle="1" w:styleId="TableGridLight">
    <w:name w:val="Table Grid Light"/>
    <w:basedOn w:val="Normlntabulka"/>
    <w:uiPriority w:val="59"/>
    <w:rsid w:val="006945AD"/>
    <w:rPr>
      <w:rFonts w:asciiTheme="minorHAnsi" w:eastAsiaTheme="minorHAnsi" w:hAnsiTheme="minorHAnsi" w:cstheme="minorBid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1">
    <w:name w:val="Plain Table 1"/>
    <w:basedOn w:val="Normlntabulka"/>
    <w:uiPriority w:val="59"/>
    <w:rsid w:val="006945AD"/>
    <w:rPr>
      <w:rFonts w:asciiTheme="minorHAnsi" w:eastAsiaTheme="minorHAnsi" w:hAnsiTheme="minorHAnsi" w:cstheme="minorBid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rosttabulka2">
    <w:name w:val="Plain Table 2"/>
    <w:basedOn w:val="Normlntabulka"/>
    <w:uiPriority w:val="59"/>
    <w:rsid w:val="006945AD"/>
    <w:rPr>
      <w:rFonts w:asciiTheme="minorHAnsi" w:eastAsiaTheme="minorHAnsi" w:hAnsiTheme="minorHAnsi" w:cstheme="minorBidi"/>
      <w:sz w:val="22"/>
      <w:szCs w:val="22"/>
    </w:rPr>
    <w:tblPr>
      <w:tblBorders>
        <w:top w:val="single" w:sz="4" w:space="0" w:color="000000" w:themeColor="text1"/>
        <w:left w:val="nil"/>
        <w:bottom w:val="single" w:sz="4" w:space="0" w:color="000000" w:themeColor="text1"/>
        <w:right w:val="nil"/>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4">
    <w:name w:val="Plain Table 4"/>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5">
    <w:name w:val="Plain Table 5"/>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Svtltabulkasmkou1">
    <w:name w:val="Grid Table 1 Light"/>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ulkasmkou2">
    <w:name w:val="Grid Table 2"/>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ulkasmkou3">
    <w:name w:val="Grid Table 3"/>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ulkasmkou4">
    <w:name w:val="Grid Table 4"/>
    <w:basedOn w:val="Normlntabulka"/>
    <w:uiPriority w:val="59"/>
    <w:rsid w:val="006945AD"/>
    <w:rPr>
      <w:rFonts w:asciiTheme="minorHAnsi" w:eastAsiaTheme="minorHAnsi" w:hAnsiTheme="minorHAnsi" w:cstheme="minorBid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lntabulka"/>
    <w:uiPriority w:val="59"/>
    <w:rsid w:val="006945AD"/>
    <w:rPr>
      <w:rFonts w:asciiTheme="minorHAnsi" w:eastAsiaTheme="minorHAnsi" w:hAnsiTheme="minorHAnsi" w:cstheme="minorBidi"/>
      <w:sz w:val="22"/>
      <w:szCs w:val="22"/>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lntabulka"/>
    <w:uiPriority w:val="59"/>
    <w:rsid w:val="006945AD"/>
    <w:rPr>
      <w:rFonts w:asciiTheme="minorHAnsi" w:eastAsiaTheme="minorHAnsi" w:hAnsiTheme="minorHAnsi" w:cstheme="minorBidi"/>
      <w:sz w:val="22"/>
      <w:szCs w:val="22"/>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lntabulka"/>
    <w:uiPriority w:val="59"/>
    <w:rsid w:val="006945AD"/>
    <w:rPr>
      <w:rFonts w:asciiTheme="minorHAnsi" w:eastAsiaTheme="minorHAnsi" w:hAnsiTheme="minorHAnsi" w:cstheme="minorBidi"/>
      <w:sz w:val="22"/>
      <w:szCs w:val="22"/>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lntabulka"/>
    <w:uiPriority w:val="59"/>
    <w:rsid w:val="006945AD"/>
    <w:rPr>
      <w:rFonts w:asciiTheme="minorHAnsi" w:eastAsiaTheme="minorHAnsi" w:hAnsiTheme="minorHAnsi" w:cstheme="minorBidi"/>
      <w:sz w:val="22"/>
      <w:szCs w:val="22"/>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lntabulka"/>
    <w:uiPriority w:val="59"/>
    <w:rsid w:val="006945AD"/>
    <w:rPr>
      <w:rFonts w:asciiTheme="minorHAnsi" w:eastAsiaTheme="minorHAnsi" w:hAnsiTheme="minorHAnsi" w:cstheme="minorBidi"/>
      <w:sz w:val="22"/>
      <w:szCs w:val="22"/>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lntabulka"/>
    <w:uiPriority w:val="59"/>
    <w:rsid w:val="006945AD"/>
    <w:rPr>
      <w:rFonts w:asciiTheme="minorHAnsi" w:eastAsiaTheme="minorHAnsi" w:hAnsiTheme="minorHAnsi" w:cstheme="minorBidi"/>
      <w:sz w:val="22"/>
      <w:szCs w:val="22"/>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mavtabulkasmkou5">
    <w:name w:val="Grid Table 5 Dark"/>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Barevntabulkasmkou6">
    <w:name w:val="Grid Table 6 Colorful"/>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Barevntabulkasmkou7">
    <w:name w:val="Grid Table 7 Colorful"/>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lntabulka"/>
    <w:uiPriority w:val="99"/>
    <w:rsid w:val="006945AD"/>
    <w:rPr>
      <w:rFonts w:asciiTheme="minorHAnsi" w:eastAsiaTheme="minorHAnsi" w:hAnsiTheme="minorHAnsi" w:cstheme="minorBidi"/>
      <w:sz w:val="22"/>
      <w:szCs w:val="22"/>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Svtltabulkaseznamu1">
    <w:name w:val="List Table 1 Light"/>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lntabulka"/>
    <w:uiPriority w:val="99"/>
    <w:rsid w:val="006945AD"/>
    <w:rPr>
      <w:rFonts w:asciiTheme="minorHAnsi" w:eastAsiaTheme="minorHAnsi" w:hAnsiTheme="minorHAnsi" w:cstheme="minorBidi"/>
      <w:sz w:val="22"/>
      <w:szCs w:val="22"/>
    </w:rPr>
    <w:tblPr>
      <w:tblStyleRowBandSize w:val="1"/>
      <w:tblStyleColBandSize w:val="1"/>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ulkaseznamu2">
    <w:name w:val="List Table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ulkaseznamu3">
    <w:name w:val="List Table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ulkaseznamu4">
    <w:name w:val="List Table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mavtabulkaseznamu5">
    <w:name w:val="List Table 5 Dark"/>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Barevntabulkaseznamu6">
    <w:name w:val="List Table 6 Colorful"/>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Barevntabulkaseznamu7">
    <w:name w:val="List Table 7 Colorful"/>
    <w:basedOn w:val="Normlntabulka"/>
    <w:uiPriority w:val="99"/>
    <w:rsid w:val="006945AD"/>
    <w:rPr>
      <w:rFonts w:asciiTheme="minorHAnsi" w:eastAsiaTheme="minorHAnsi" w:hAnsiTheme="minorHAnsi" w:cstheme="minorBid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rsid w:val="006945AD"/>
    <w:rPr>
      <w:rFonts w:asciiTheme="minorHAnsi" w:eastAsiaTheme="minorHAnsi" w:hAnsiTheme="minorHAnsi" w:cstheme="minorBidi"/>
      <w:sz w:val="22"/>
      <w:szCs w:val="22"/>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lntabulka"/>
    <w:uiPriority w:val="99"/>
    <w:rsid w:val="006945AD"/>
    <w:rPr>
      <w:rFonts w:asciiTheme="minorHAnsi" w:eastAsiaTheme="minorHAnsi" w:hAnsiTheme="minorHAnsi" w:cstheme="minorBidi"/>
      <w:sz w:val="22"/>
      <w:szCs w:val="22"/>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lntabulka"/>
    <w:uiPriority w:val="99"/>
    <w:rsid w:val="006945AD"/>
    <w:rPr>
      <w:rFonts w:asciiTheme="minorHAnsi" w:eastAsiaTheme="minorHAnsi" w:hAnsiTheme="minorHAnsi" w:cstheme="minorBidi"/>
      <w:sz w:val="22"/>
      <w:szCs w:val="22"/>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lntabulka"/>
    <w:uiPriority w:val="99"/>
    <w:rsid w:val="006945AD"/>
    <w:rPr>
      <w:rFonts w:asciiTheme="minorHAnsi" w:eastAsiaTheme="minorHAnsi" w:hAnsiTheme="minorHAnsi" w:cstheme="minorBidi"/>
      <w:sz w:val="22"/>
      <w:szCs w:val="22"/>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lntabulka"/>
    <w:uiPriority w:val="99"/>
    <w:rsid w:val="006945AD"/>
    <w:rPr>
      <w:rFonts w:asciiTheme="minorHAnsi" w:eastAsiaTheme="minorHAnsi" w:hAnsiTheme="minorHAnsi" w:cstheme="minorBidi"/>
      <w:sz w:val="22"/>
      <w:szCs w:val="22"/>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lntabulka"/>
    <w:uiPriority w:val="99"/>
    <w:rsid w:val="006945AD"/>
    <w:rPr>
      <w:rFonts w:asciiTheme="minorHAnsi" w:eastAsiaTheme="minorHAnsi" w:hAnsiTheme="minorHAnsi" w:cstheme="minorBidi"/>
      <w:sz w:val="22"/>
      <w:szCs w:val="22"/>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lntabulka"/>
    <w:uiPriority w:val="99"/>
    <w:rsid w:val="006945AD"/>
    <w:rPr>
      <w:rFonts w:asciiTheme="minorHAnsi" w:eastAsiaTheme="minorHAnsi" w:hAnsiTheme="minorHAnsi" w:cstheme="minorBidi"/>
      <w:color w:val="404040"/>
      <w:lang w:eastAsia="cs-C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tabulka"/>
    <w:uiPriority w:val="99"/>
    <w:rsid w:val="006945AD"/>
    <w:rPr>
      <w:rFonts w:asciiTheme="minorHAnsi" w:eastAsiaTheme="minorHAnsi" w:hAnsiTheme="minorHAnsi" w:cstheme="minorBidi"/>
      <w:color w:val="404040"/>
      <w:lang w:eastAsia="cs-CZ"/>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lntabulka"/>
    <w:uiPriority w:val="99"/>
    <w:rsid w:val="006945AD"/>
    <w:rPr>
      <w:rFonts w:asciiTheme="minorHAnsi" w:eastAsiaTheme="minorHAnsi" w:hAnsiTheme="minorHAnsi" w:cstheme="minorBidi"/>
      <w:color w:val="404040"/>
      <w:lang w:eastAsia="cs-CZ"/>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lntabulka"/>
    <w:uiPriority w:val="99"/>
    <w:rsid w:val="006945AD"/>
    <w:rPr>
      <w:rFonts w:asciiTheme="minorHAnsi" w:eastAsiaTheme="minorHAnsi" w:hAnsiTheme="minorHAnsi" w:cstheme="minorBidi"/>
      <w:color w:val="404040"/>
      <w:lang w:eastAsia="cs-CZ"/>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lntabulka"/>
    <w:uiPriority w:val="99"/>
    <w:rsid w:val="006945AD"/>
    <w:rPr>
      <w:rFonts w:asciiTheme="minorHAnsi" w:eastAsiaTheme="minorHAnsi" w:hAnsiTheme="minorHAnsi" w:cstheme="minorBidi"/>
      <w:color w:val="404040"/>
      <w:lang w:eastAsia="cs-CZ"/>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lntabulka"/>
    <w:uiPriority w:val="99"/>
    <w:rsid w:val="006945AD"/>
    <w:rPr>
      <w:rFonts w:asciiTheme="minorHAnsi" w:eastAsiaTheme="minorHAnsi" w:hAnsiTheme="minorHAnsi" w:cstheme="minorBidi"/>
      <w:color w:val="404040"/>
      <w:lang w:eastAsia="cs-CZ"/>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lntabulka"/>
    <w:uiPriority w:val="99"/>
    <w:rsid w:val="006945AD"/>
    <w:rPr>
      <w:rFonts w:asciiTheme="minorHAnsi" w:eastAsiaTheme="minorHAnsi" w:hAnsiTheme="minorHAnsi" w:cstheme="minorBidi"/>
      <w:color w:val="404040"/>
      <w:lang w:eastAsia="cs-CZ"/>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lntabulka"/>
    <w:uiPriority w:val="99"/>
    <w:rsid w:val="006945AD"/>
    <w:rPr>
      <w:rFonts w:asciiTheme="minorHAnsi" w:eastAsiaTheme="minorHAnsi" w:hAnsiTheme="minorHAnsi" w:cstheme="minorBidi"/>
      <w:color w:val="404040"/>
      <w:lang w:eastAsia="cs-C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tabulka"/>
    <w:uiPriority w:val="99"/>
    <w:rsid w:val="006945AD"/>
    <w:rPr>
      <w:rFonts w:asciiTheme="minorHAnsi" w:eastAsiaTheme="minorHAnsi" w:hAnsiTheme="minorHAnsi" w:cstheme="minorBidi"/>
      <w:color w:val="404040"/>
      <w:lang w:eastAsia="cs-CZ"/>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lntabulka"/>
    <w:uiPriority w:val="99"/>
    <w:rsid w:val="006945AD"/>
    <w:rPr>
      <w:rFonts w:asciiTheme="minorHAnsi" w:eastAsiaTheme="minorHAnsi" w:hAnsiTheme="minorHAnsi" w:cstheme="minorBidi"/>
      <w:color w:val="404040"/>
      <w:lang w:eastAsia="cs-CZ"/>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lntabulka"/>
    <w:uiPriority w:val="99"/>
    <w:rsid w:val="006945AD"/>
    <w:rPr>
      <w:rFonts w:asciiTheme="minorHAnsi" w:eastAsiaTheme="minorHAnsi" w:hAnsiTheme="minorHAnsi" w:cstheme="minorBidi"/>
      <w:color w:val="404040"/>
      <w:lang w:eastAsia="cs-CZ"/>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lntabulka"/>
    <w:uiPriority w:val="99"/>
    <w:rsid w:val="006945AD"/>
    <w:rPr>
      <w:rFonts w:asciiTheme="minorHAnsi" w:eastAsiaTheme="minorHAnsi" w:hAnsiTheme="minorHAnsi" w:cstheme="minorBidi"/>
      <w:color w:val="404040"/>
      <w:lang w:eastAsia="cs-CZ"/>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lntabulka"/>
    <w:uiPriority w:val="99"/>
    <w:rsid w:val="006945AD"/>
    <w:rPr>
      <w:rFonts w:asciiTheme="minorHAnsi" w:eastAsiaTheme="minorHAnsi" w:hAnsiTheme="minorHAnsi" w:cstheme="minorBidi"/>
      <w:color w:val="404040"/>
      <w:lang w:eastAsia="cs-CZ"/>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lntabulka"/>
    <w:uiPriority w:val="99"/>
    <w:rsid w:val="006945AD"/>
    <w:rPr>
      <w:rFonts w:asciiTheme="minorHAnsi" w:eastAsiaTheme="minorHAnsi" w:hAnsiTheme="minorHAnsi" w:cstheme="minorBidi"/>
      <w:color w:val="404040"/>
      <w:lang w:eastAsia="cs-CZ"/>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lntabulka"/>
    <w:uiPriority w:val="99"/>
    <w:rsid w:val="006945AD"/>
    <w:rPr>
      <w:rFonts w:asciiTheme="minorHAnsi" w:eastAsiaTheme="minorHAnsi" w:hAnsiTheme="minorHAnsi" w:cstheme="minorBidi"/>
      <w:sz w:val="22"/>
      <w:szCs w:val="22"/>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sid w:val="006945AD"/>
    <w:rPr>
      <w:sz w:val="20"/>
    </w:rPr>
  </w:style>
  <w:style w:type="paragraph" w:styleId="Obsah1">
    <w:name w:val="toc 1"/>
    <w:basedOn w:val="Normln"/>
    <w:next w:val="Normln"/>
    <w:uiPriority w:val="39"/>
    <w:unhideWhenUsed/>
    <w:rsid w:val="006945AD"/>
    <w:pPr>
      <w:spacing w:after="57"/>
    </w:pPr>
    <w:rPr>
      <w:lang w:eastAsia="ar-SA"/>
    </w:rPr>
  </w:style>
  <w:style w:type="paragraph" w:styleId="Obsah2">
    <w:name w:val="toc 2"/>
    <w:basedOn w:val="Normln"/>
    <w:next w:val="Normln"/>
    <w:uiPriority w:val="39"/>
    <w:unhideWhenUsed/>
    <w:rsid w:val="006945AD"/>
    <w:pPr>
      <w:spacing w:after="57"/>
      <w:ind w:left="283"/>
    </w:pPr>
    <w:rPr>
      <w:lang w:eastAsia="ar-SA"/>
    </w:rPr>
  </w:style>
  <w:style w:type="paragraph" w:styleId="Obsah3">
    <w:name w:val="toc 3"/>
    <w:basedOn w:val="Normln"/>
    <w:next w:val="Normln"/>
    <w:uiPriority w:val="39"/>
    <w:unhideWhenUsed/>
    <w:rsid w:val="006945AD"/>
    <w:pPr>
      <w:spacing w:after="57"/>
      <w:ind w:left="567"/>
    </w:pPr>
    <w:rPr>
      <w:lang w:eastAsia="ar-SA"/>
    </w:rPr>
  </w:style>
  <w:style w:type="paragraph" w:styleId="Obsah4">
    <w:name w:val="toc 4"/>
    <w:basedOn w:val="Normln"/>
    <w:next w:val="Normln"/>
    <w:uiPriority w:val="39"/>
    <w:unhideWhenUsed/>
    <w:rsid w:val="006945AD"/>
    <w:pPr>
      <w:spacing w:after="57"/>
      <w:ind w:left="850"/>
    </w:pPr>
    <w:rPr>
      <w:lang w:eastAsia="ar-SA"/>
    </w:rPr>
  </w:style>
  <w:style w:type="paragraph" w:styleId="Obsah5">
    <w:name w:val="toc 5"/>
    <w:basedOn w:val="Normln"/>
    <w:next w:val="Normln"/>
    <w:uiPriority w:val="39"/>
    <w:unhideWhenUsed/>
    <w:rsid w:val="006945AD"/>
    <w:pPr>
      <w:spacing w:after="57"/>
      <w:ind w:left="1134"/>
    </w:pPr>
    <w:rPr>
      <w:lang w:eastAsia="ar-SA"/>
    </w:rPr>
  </w:style>
  <w:style w:type="paragraph" w:styleId="Obsah6">
    <w:name w:val="toc 6"/>
    <w:basedOn w:val="Normln"/>
    <w:next w:val="Normln"/>
    <w:uiPriority w:val="39"/>
    <w:unhideWhenUsed/>
    <w:rsid w:val="006945AD"/>
    <w:pPr>
      <w:spacing w:after="57"/>
      <w:ind w:left="1417"/>
    </w:pPr>
    <w:rPr>
      <w:lang w:eastAsia="ar-SA"/>
    </w:rPr>
  </w:style>
  <w:style w:type="paragraph" w:styleId="Obsah7">
    <w:name w:val="toc 7"/>
    <w:basedOn w:val="Normln"/>
    <w:next w:val="Normln"/>
    <w:uiPriority w:val="39"/>
    <w:unhideWhenUsed/>
    <w:rsid w:val="006945AD"/>
    <w:pPr>
      <w:spacing w:after="57"/>
      <w:ind w:left="1701"/>
    </w:pPr>
    <w:rPr>
      <w:lang w:eastAsia="ar-SA"/>
    </w:rPr>
  </w:style>
  <w:style w:type="paragraph" w:styleId="Obsah8">
    <w:name w:val="toc 8"/>
    <w:basedOn w:val="Normln"/>
    <w:next w:val="Normln"/>
    <w:uiPriority w:val="39"/>
    <w:unhideWhenUsed/>
    <w:rsid w:val="006945AD"/>
    <w:pPr>
      <w:spacing w:after="57"/>
      <w:ind w:left="1984"/>
    </w:pPr>
    <w:rPr>
      <w:lang w:eastAsia="ar-SA"/>
    </w:rPr>
  </w:style>
  <w:style w:type="paragraph" w:styleId="Obsah9">
    <w:name w:val="toc 9"/>
    <w:basedOn w:val="Normln"/>
    <w:next w:val="Normln"/>
    <w:uiPriority w:val="39"/>
    <w:unhideWhenUsed/>
    <w:rsid w:val="006945AD"/>
    <w:pPr>
      <w:spacing w:after="57"/>
      <w:ind w:left="2268"/>
    </w:pPr>
    <w:rPr>
      <w:lang w:eastAsia="ar-SA"/>
    </w:rPr>
  </w:style>
  <w:style w:type="paragraph" w:styleId="Nadpisobsahu">
    <w:name w:val="TOC Heading"/>
    <w:uiPriority w:val="39"/>
    <w:unhideWhenUsed/>
    <w:rsid w:val="006945AD"/>
    <w:pPr>
      <w:spacing w:after="160" w:line="259" w:lineRule="auto"/>
    </w:pPr>
    <w:rPr>
      <w:rFonts w:asciiTheme="minorHAnsi" w:eastAsiaTheme="minorHAnsi" w:hAnsiTheme="minorHAnsi" w:cstheme="minorBidi"/>
      <w:sz w:val="22"/>
      <w:szCs w:val="22"/>
    </w:rPr>
  </w:style>
  <w:style w:type="paragraph" w:styleId="Seznamobrzk">
    <w:name w:val="table of figures"/>
    <w:basedOn w:val="Normln"/>
    <w:next w:val="Normln"/>
    <w:uiPriority w:val="99"/>
    <w:unhideWhenUsed/>
    <w:rsid w:val="006945AD"/>
    <w:rPr>
      <w:lang w:eastAsia="ar-SA"/>
    </w:rPr>
  </w:style>
  <w:style w:type="paragraph" w:customStyle="1" w:styleId="Textodstavce">
    <w:name w:val="Text odstavce"/>
    <w:basedOn w:val="Normln"/>
    <w:rsid w:val="006945AD"/>
    <w:pPr>
      <w:tabs>
        <w:tab w:val="num" w:pos="720"/>
        <w:tab w:val="left" w:pos="851"/>
      </w:tabs>
      <w:spacing w:before="120" w:after="120"/>
      <w:ind w:left="720" w:hanging="720"/>
      <w:jc w:val="both"/>
      <w:outlineLvl w:val="6"/>
    </w:pPr>
    <w:rPr>
      <w:szCs w:val="20"/>
      <w:lang w:eastAsia="cs-CZ"/>
    </w:rPr>
  </w:style>
  <w:style w:type="paragraph" w:customStyle="1" w:styleId="Text1">
    <w:name w:val="Text 1"/>
    <w:basedOn w:val="Normln"/>
    <w:rsid w:val="006945AD"/>
    <w:pPr>
      <w:ind w:left="850"/>
    </w:pPr>
    <w:rPr>
      <w:lang w:eastAsia="zh-CN"/>
    </w:rPr>
  </w:style>
  <w:style w:type="paragraph" w:customStyle="1" w:styleId="NormalLeft">
    <w:name w:val="Normal Left"/>
    <w:basedOn w:val="Normln"/>
    <w:rsid w:val="006945AD"/>
    <w:pPr>
      <w:spacing w:before="120" w:after="120" w:line="360" w:lineRule="auto"/>
    </w:pPr>
    <w:rPr>
      <w:szCs w:val="20"/>
      <w:lang w:eastAsia="zh-CN"/>
    </w:rPr>
  </w:style>
  <w:style w:type="paragraph" w:customStyle="1" w:styleId="ListParagraph1">
    <w:name w:val="List Paragraph1"/>
    <w:basedOn w:val="Normln"/>
    <w:rsid w:val="006945AD"/>
    <w:pPr>
      <w:ind w:left="720"/>
    </w:pPr>
    <w:rPr>
      <w:lang w:eastAsia="zh-CN"/>
    </w:rPr>
  </w:style>
  <w:style w:type="character" w:customStyle="1" w:styleId="ZpatChar1">
    <w:name w:val="Zápatí Char1"/>
    <w:basedOn w:val="Standardnpsmoodstavce"/>
    <w:rsid w:val="006945AD"/>
    <w:rPr>
      <w:rFonts w:ascii="Times New Roman" w:eastAsia="Times New Roman" w:hAnsi="Times New Roman" w:cs="Times New Roman"/>
      <w:sz w:val="24"/>
      <w:szCs w:val="20"/>
      <w:lang w:eastAsia="zh-CN"/>
    </w:rPr>
  </w:style>
  <w:style w:type="paragraph" w:customStyle="1" w:styleId="Odstavecseseznamem1">
    <w:name w:val="Odstavec se seznamem1"/>
    <w:basedOn w:val="Normln"/>
    <w:rsid w:val="006945AD"/>
    <w:pPr>
      <w:ind w:left="720"/>
    </w:pPr>
    <w:rPr>
      <w:lang w:eastAsia="zh-CN"/>
    </w:rPr>
  </w:style>
  <w:style w:type="character" w:customStyle="1" w:styleId="Nadpis1Char1">
    <w:name w:val="Nadpis 1 Char1"/>
    <w:rsid w:val="006945AD"/>
    <w:rPr>
      <w:rFonts w:ascii="Arial" w:eastAsia="Times New Roman" w:hAnsi="Arial" w:cs="Arial"/>
      <w:sz w:val="24"/>
      <w:szCs w:val="24"/>
      <w:lang w:eastAsia="zh-CN"/>
    </w:rPr>
  </w:style>
  <w:style w:type="character" w:customStyle="1" w:styleId="Nadpis2Char1">
    <w:name w:val="Nadpis 2 Char1"/>
    <w:link w:val="Nadpis2"/>
    <w:rsid w:val="006945AD"/>
    <w:rPr>
      <w:sz w:val="24"/>
      <w:lang w:eastAsia="zh-CN"/>
    </w:rPr>
  </w:style>
  <w:style w:type="character" w:customStyle="1" w:styleId="Nadpis3Char1">
    <w:name w:val="Nadpis 3 Char1"/>
    <w:rsid w:val="006945AD"/>
    <w:rPr>
      <w:rFonts w:ascii="Times New Roman" w:eastAsia="Times New Roman" w:hAnsi="Times New Roman" w:cs="Times New Roman"/>
      <w:b/>
      <w:sz w:val="24"/>
      <w:szCs w:val="20"/>
      <w:lang w:eastAsia="zh-CN"/>
    </w:rPr>
  </w:style>
  <w:style w:type="character" w:customStyle="1" w:styleId="Nadpis4Char1">
    <w:name w:val="Nadpis 4 Char1"/>
    <w:link w:val="Nadpis4"/>
    <w:rsid w:val="006945AD"/>
    <w:rPr>
      <w:rFonts w:ascii="Arial" w:hAnsi="Arial" w:cs="Arial"/>
      <w:sz w:val="24"/>
      <w:szCs w:val="24"/>
      <w:lang w:eastAsia="zh-CN"/>
    </w:rPr>
  </w:style>
  <w:style w:type="character" w:customStyle="1" w:styleId="Nadpis5Char1">
    <w:name w:val="Nadpis 5 Char1"/>
    <w:link w:val="Nadpis5"/>
    <w:rsid w:val="006945AD"/>
    <w:rPr>
      <w:rFonts w:ascii="Arial" w:hAnsi="Arial" w:cs="Arial"/>
      <w:sz w:val="24"/>
      <w:szCs w:val="24"/>
      <w:lang w:eastAsia="zh-CN"/>
    </w:rPr>
  </w:style>
  <w:style w:type="character" w:customStyle="1" w:styleId="Nadpis6Char1">
    <w:name w:val="Nadpis 6 Char1"/>
    <w:link w:val="Nadpis6"/>
    <w:rsid w:val="006945AD"/>
    <w:rPr>
      <w:b/>
      <w:sz w:val="24"/>
      <w:lang w:eastAsia="zh-CN"/>
    </w:rPr>
  </w:style>
  <w:style w:type="character" w:customStyle="1" w:styleId="Nadpis7Char1">
    <w:name w:val="Nadpis 7 Char1"/>
    <w:link w:val="Nadpis7"/>
    <w:rsid w:val="006945AD"/>
    <w:rPr>
      <w:sz w:val="24"/>
      <w:szCs w:val="24"/>
      <w:lang w:eastAsia="zh-CN"/>
    </w:rPr>
  </w:style>
  <w:style w:type="character" w:customStyle="1" w:styleId="Nadpis8Char1">
    <w:name w:val="Nadpis 8 Char1"/>
    <w:link w:val="Nadpis8"/>
    <w:uiPriority w:val="9"/>
    <w:rsid w:val="006945AD"/>
    <w:rPr>
      <w:b/>
      <w:sz w:val="28"/>
      <w:lang w:eastAsia="zh-CN"/>
    </w:rPr>
  </w:style>
  <w:style w:type="character" w:customStyle="1" w:styleId="Nadpis9Char1">
    <w:name w:val="Nadpis 9 Char1"/>
    <w:link w:val="Nadpis9"/>
    <w:rsid w:val="006945AD"/>
    <w:rPr>
      <w:rFonts w:ascii="Arial" w:hAnsi="Arial" w:cs="Arial"/>
      <w:sz w:val="24"/>
      <w:szCs w:val="24"/>
      <w:lang w:eastAsia="zh-CN"/>
    </w:rPr>
  </w:style>
  <w:style w:type="paragraph" w:styleId="Textbubliny">
    <w:name w:val="Balloon Text"/>
    <w:basedOn w:val="Normln"/>
    <w:link w:val="TextbublinyChar"/>
    <w:unhideWhenUsed/>
    <w:rsid w:val="006945AD"/>
    <w:rPr>
      <w:rFonts w:ascii="Segoe UI" w:eastAsiaTheme="minorHAnsi" w:hAnsi="Segoe UI" w:cs="Segoe UI"/>
      <w:sz w:val="18"/>
      <w:szCs w:val="18"/>
    </w:rPr>
  </w:style>
  <w:style w:type="character" w:customStyle="1" w:styleId="TextbublinyChar">
    <w:name w:val="Text bubliny Char"/>
    <w:basedOn w:val="Standardnpsmoodstavce"/>
    <w:link w:val="Textbubliny"/>
    <w:rsid w:val="006945AD"/>
    <w:rPr>
      <w:rFonts w:ascii="Segoe UI" w:eastAsiaTheme="minorHAnsi" w:hAnsi="Segoe UI" w:cs="Segoe UI"/>
      <w:sz w:val="18"/>
      <w:szCs w:val="18"/>
    </w:rPr>
  </w:style>
  <w:style w:type="paragraph" w:customStyle="1" w:styleId="Default">
    <w:name w:val="Default"/>
    <w:rsid w:val="006945AD"/>
    <w:rPr>
      <w:rFonts w:ascii="EUAlbertina" w:eastAsiaTheme="minorEastAsia" w:hAnsi="EUAlbertina" w:cs="EUAlbertina"/>
      <w:color w:val="000000"/>
      <w:sz w:val="24"/>
      <w:szCs w:val="24"/>
      <w:lang w:eastAsia="cs-CZ"/>
    </w:rPr>
  </w:style>
  <w:style w:type="character" w:customStyle="1" w:styleId="TextkomenteChar2">
    <w:name w:val="Text komentáře Char2"/>
    <w:basedOn w:val="Standardnpsmoodstavce"/>
    <w:uiPriority w:val="99"/>
    <w:rsid w:val="006945AD"/>
    <w:rPr>
      <w:sz w:val="20"/>
      <w:szCs w:val="20"/>
      <w:lang w:eastAsia="zh-CN"/>
    </w:rPr>
  </w:style>
  <w:style w:type="character" w:customStyle="1" w:styleId="WW8Num26z0">
    <w:name w:val="WW8Num26z0"/>
    <w:rsid w:val="006945AD"/>
    <w:rPr>
      <w:b/>
    </w:rPr>
  </w:style>
  <w:style w:type="character" w:customStyle="1" w:styleId="WW8Num30z0">
    <w:name w:val="WW8Num30z0"/>
    <w:rsid w:val="006945AD"/>
  </w:style>
  <w:style w:type="character" w:customStyle="1" w:styleId="WW8Num33z0">
    <w:name w:val="WW8Num33z0"/>
    <w:rsid w:val="006945AD"/>
  </w:style>
  <w:style w:type="character" w:customStyle="1" w:styleId="WW8Num35z0">
    <w:name w:val="WW8Num35z0"/>
    <w:rsid w:val="006945AD"/>
    <w:rPr>
      <w:color w:val="auto"/>
    </w:rPr>
  </w:style>
  <w:style w:type="character" w:customStyle="1" w:styleId="WW8Num35z1">
    <w:name w:val="WW8Num35z1"/>
    <w:rsid w:val="006945AD"/>
    <w:rPr>
      <w:b/>
    </w:rPr>
  </w:style>
  <w:style w:type="character" w:customStyle="1" w:styleId="WW8Num40z0">
    <w:name w:val="WW8Num40z0"/>
    <w:rsid w:val="006945AD"/>
  </w:style>
  <w:style w:type="character" w:customStyle="1" w:styleId="WW8Num42z0">
    <w:name w:val="WW8Num42z0"/>
    <w:rsid w:val="006945AD"/>
    <w:rPr>
      <w:rFonts w:ascii="Times New Roman" w:hAnsi="Times New Roman"/>
    </w:rPr>
  </w:style>
  <w:style w:type="character" w:customStyle="1" w:styleId="WW8Num44z0">
    <w:name w:val="WW8Num44z0"/>
    <w:rsid w:val="006945AD"/>
  </w:style>
  <w:style w:type="character" w:customStyle="1" w:styleId="WW8Num45z0">
    <w:name w:val="WW8Num45z0"/>
    <w:rsid w:val="006945AD"/>
  </w:style>
  <w:style w:type="character" w:customStyle="1" w:styleId="WW8Num46z0">
    <w:name w:val="WW8Num46z0"/>
    <w:rsid w:val="006945AD"/>
    <w:rPr>
      <w:sz w:val="20"/>
    </w:rPr>
  </w:style>
  <w:style w:type="character" w:customStyle="1" w:styleId="WW8Num47z1">
    <w:name w:val="WW8Num47z1"/>
    <w:rsid w:val="006945AD"/>
    <w:rPr>
      <w:rFonts w:ascii="Courier New" w:hAnsi="Courier New"/>
    </w:rPr>
  </w:style>
  <w:style w:type="character" w:customStyle="1" w:styleId="WW8Num47z2">
    <w:name w:val="WW8Num47z2"/>
    <w:rsid w:val="006945AD"/>
    <w:rPr>
      <w:rFonts w:ascii="Wingdings" w:hAnsi="Wingdings"/>
    </w:rPr>
  </w:style>
  <w:style w:type="character" w:customStyle="1" w:styleId="WW8Num47z3">
    <w:name w:val="WW8Num47z3"/>
    <w:rsid w:val="006945AD"/>
    <w:rPr>
      <w:rFonts w:ascii="Symbol" w:hAnsi="Symbol"/>
    </w:rPr>
  </w:style>
  <w:style w:type="character" w:customStyle="1" w:styleId="WW8Num48z0">
    <w:name w:val="WW8Num48z0"/>
    <w:rsid w:val="006945AD"/>
    <w:rPr>
      <w:rFonts w:ascii="Symbol" w:hAnsi="Symbol"/>
    </w:rPr>
  </w:style>
  <w:style w:type="character" w:customStyle="1" w:styleId="WW8Num50z0">
    <w:name w:val="WW8Num50z0"/>
    <w:rsid w:val="006945AD"/>
  </w:style>
  <w:style w:type="character" w:customStyle="1" w:styleId="WW8Num51z0">
    <w:name w:val="WW8Num51z0"/>
    <w:rsid w:val="006945AD"/>
    <w:rPr>
      <w:rFonts w:ascii="Symbol" w:hAnsi="Symbol"/>
    </w:rPr>
  </w:style>
  <w:style w:type="character" w:customStyle="1" w:styleId="WW8Num52z0">
    <w:name w:val="WW8Num52z0"/>
    <w:rsid w:val="006945AD"/>
  </w:style>
  <w:style w:type="character" w:customStyle="1" w:styleId="WW8Num55z0">
    <w:name w:val="WW8Num55z0"/>
    <w:rsid w:val="006945AD"/>
  </w:style>
  <w:style w:type="character" w:customStyle="1" w:styleId="WW8Num57z0">
    <w:name w:val="WW8Num57z0"/>
    <w:rsid w:val="006945AD"/>
    <w:rPr>
      <w:sz w:val="20"/>
    </w:rPr>
  </w:style>
  <w:style w:type="character" w:customStyle="1" w:styleId="WW8Num59z0">
    <w:name w:val="WW8Num59z0"/>
    <w:rsid w:val="006945AD"/>
  </w:style>
  <w:style w:type="character" w:customStyle="1" w:styleId="WW8Num60z0">
    <w:name w:val="WW8Num60z0"/>
    <w:rsid w:val="006945AD"/>
  </w:style>
  <w:style w:type="character" w:customStyle="1" w:styleId="WW8Num64z0">
    <w:name w:val="WW8Num64z0"/>
    <w:rsid w:val="006945AD"/>
  </w:style>
  <w:style w:type="character" w:customStyle="1" w:styleId="WW8Num65z0">
    <w:name w:val="WW8Num65z0"/>
    <w:rsid w:val="006945AD"/>
  </w:style>
  <w:style w:type="character" w:customStyle="1" w:styleId="WW8Num65z1">
    <w:name w:val="WW8Num65z1"/>
    <w:rsid w:val="006945AD"/>
    <w:rPr>
      <w:b/>
    </w:rPr>
  </w:style>
  <w:style w:type="character" w:customStyle="1" w:styleId="WW8Num67z0">
    <w:name w:val="WW8Num67z0"/>
    <w:rsid w:val="006945AD"/>
  </w:style>
  <w:style w:type="character" w:customStyle="1" w:styleId="WW8Num67z1">
    <w:name w:val="WW8Num67z1"/>
    <w:rsid w:val="006945AD"/>
    <w:rPr>
      <w:b/>
    </w:rPr>
  </w:style>
  <w:style w:type="character" w:customStyle="1" w:styleId="WW8Num69z0">
    <w:name w:val="WW8Num69z0"/>
    <w:rsid w:val="006945AD"/>
  </w:style>
  <w:style w:type="character" w:customStyle="1" w:styleId="WW8Num69z1">
    <w:name w:val="WW8Num69z1"/>
    <w:rsid w:val="006945AD"/>
    <w:rPr>
      <w:rFonts w:ascii="Times New Roman" w:hAnsi="Times New Roman"/>
    </w:rPr>
  </w:style>
  <w:style w:type="character" w:customStyle="1" w:styleId="WW8Num74z0">
    <w:name w:val="WW8Num74z0"/>
    <w:rsid w:val="006945AD"/>
  </w:style>
  <w:style w:type="character" w:customStyle="1" w:styleId="WW8Num75z0">
    <w:name w:val="WW8Num75z0"/>
    <w:rsid w:val="006945AD"/>
    <w:rPr>
      <w:sz w:val="20"/>
    </w:rPr>
  </w:style>
  <w:style w:type="character" w:customStyle="1" w:styleId="WW8Num75z1">
    <w:name w:val="WW8Num75z1"/>
    <w:rsid w:val="006945AD"/>
  </w:style>
  <w:style w:type="character" w:customStyle="1" w:styleId="Standardnpsmoodstavce10">
    <w:name w:val="Standardní písmo odstavce10"/>
    <w:rsid w:val="006945AD"/>
  </w:style>
  <w:style w:type="character" w:customStyle="1" w:styleId="Standardnpsmoodstavce9">
    <w:name w:val="Standardní písmo odstavce9"/>
    <w:rsid w:val="006945AD"/>
  </w:style>
  <w:style w:type="character" w:customStyle="1" w:styleId="Standardnpsmoodstavce8">
    <w:name w:val="Standardní písmo odstavce8"/>
    <w:rsid w:val="006945AD"/>
  </w:style>
  <w:style w:type="character" w:customStyle="1" w:styleId="Absatz-Standardschriftart">
    <w:name w:val="Absatz-Standardschriftart"/>
    <w:rsid w:val="006945AD"/>
  </w:style>
  <w:style w:type="character" w:customStyle="1" w:styleId="WW-Absatz-Standardschriftart">
    <w:name w:val="WW-Absatz-Standardschriftart"/>
    <w:rsid w:val="006945AD"/>
  </w:style>
  <w:style w:type="character" w:customStyle="1" w:styleId="WW-Absatz-Standardschriftart1">
    <w:name w:val="WW-Absatz-Standardschriftart1"/>
    <w:rsid w:val="006945AD"/>
  </w:style>
  <w:style w:type="character" w:customStyle="1" w:styleId="WW-Absatz-Standardschriftart11">
    <w:name w:val="WW-Absatz-Standardschriftart11"/>
    <w:rsid w:val="006945AD"/>
  </w:style>
  <w:style w:type="character" w:customStyle="1" w:styleId="WW-Absatz-Standardschriftart111">
    <w:name w:val="WW-Absatz-Standardschriftart111"/>
    <w:rsid w:val="006945AD"/>
  </w:style>
  <w:style w:type="character" w:customStyle="1" w:styleId="WW-Absatz-Standardschriftart1111">
    <w:name w:val="WW-Absatz-Standardschriftart1111"/>
    <w:rsid w:val="006945AD"/>
  </w:style>
  <w:style w:type="character" w:customStyle="1" w:styleId="WW-Absatz-Standardschriftart11111">
    <w:name w:val="WW-Absatz-Standardschriftart11111"/>
    <w:rsid w:val="006945AD"/>
  </w:style>
  <w:style w:type="character" w:customStyle="1" w:styleId="WW-Absatz-Standardschriftart111111">
    <w:name w:val="WW-Absatz-Standardschriftart111111"/>
    <w:rsid w:val="006945AD"/>
  </w:style>
  <w:style w:type="character" w:customStyle="1" w:styleId="WW-Absatz-Standardschriftart1111111">
    <w:name w:val="WW-Absatz-Standardschriftart1111111"/>
    <w:rsid w:val="006945AD"/>
  </w:style>
  <w:style w:type="character" w:customStyle="1" w:styleId="WW-Absatz-Standardschriftart11111111">
    <w:name w:val="WW-Absatz-Standardschriftart11111111"/>
    <w:rsid w:val="006945AD"/>
  </w:style>
  <w:style w:type="character" w:customStyle="1" w:styleId="WW-Absatz-Standardschriftart111111111">
    <w:name w:val="WW-Absatz-Standardschriftart111111111"/>
    <w:rsid w:val="006945AD"/>
  </w:style>
  <w:style w:type="character" w:customStyle="1" w:styleId="WW-Absatz-Standardschriftart1111111111">
    <w:name w:val="WW-Absatz-Standardschriftart1111111111"/>
    <w:rsid w:val="006945AD"/>
  </w:style>
  <w:style w:type="character" w:customStyle="1" w:styleId="WW-Absatz-Standardschriftart11111111111">
    <w:name w:val="WW-Absatz-Standardschriftart11111111111"/>
    <w:rsid w:val="006945AD"/>
  </w:style>
  <w:style w:type="character" w:customStyle="1" w:styleId="WW-Absatz-Standardschriftart111111111111">
    <w:name w:val="WW-Absatz-Standardschriftart111111111111"/>
    <w:rsid w:val="006945AD"/>
  </w:style>
  <w:style w:type="character" w:customStyle="1" w:styleId="WW-Absatz-Standardschriftart1111111111111">
    <w:name w:val="WW-Absatz-Standardschriftart1111111111111"/>
    <w:rsid w:val="006945AD"/>
  </w:style>
  <w:style w:type="character" w:customStyle="1" w:styleId="WW-Absatz-Standardschriftart11111111111111">
    <w:name w:val="WW-Absatz-Standardschriftart11111111111111"/>
    <w:rsid w:val="006945AD"/>
  </w:style>
  <w:style w:type="character" w:customStyle="1" w:styleId="WW-Absatz-Standardschriftart111111111111111">
    <w:name w:val="WW-Absatz-Standardschriftart111111111111111"/>
    <w:rsid w:val="006945AD"/>
  </w:style>
  <w:style w:type="character" w:customStyle="1" w:styleId="WW-Absatz-Standardschriftart1111111111111111">
    <w:name w:val="WW-Absatz-Standardschriftart1111111111111111"/>
    <w:rsid w:val="006945AD"/>
  </w:style>
  <w:style w:type="character" w:customStyle="1" w:styleId="Standardnpsmoodstavce7">
    <w:name w:val="Standardní písmo odstavce7"/>
    <w:rsid w:val="006945AD"/>
  </w:style>
  <w:style w:type="character" w:customStyle="1" w:styleId="WW-Absatz-Standardschriftart11111111111111111">
    <w:name w:val="WW-Absatz-Standardschriftart11111111111111111"/>
    <w:rsid w:val="006945AD"/>
  </w:style>
  <w:style w:type="character" w:customStyle="1" w:styleId="WW-Absatz-Standardschriftart111111111111111111">
    <w:name w:val="WW-Absatz-Standardschriftart111111111111111111"/>
    <w:rsid w:val="006945AD"/>
  </w:style>
  <w:style w:type="character" w:customStyle="1" w:styleId="Standardnpsmoodstavce6">
    <w:name w:val="Standardní písmo odstavce6"/>
    <w:rsid w:val="006945AD"/>
  </w:style>
  <w:style w:type="character" w:customStyle="1" w:styleId="WW-Absatz-Standardschriftart1111111111111111111">
    <w:name w:val="WW-Absatz-Standardschriftart1111111111111111111"/>
    <w:rsid w:val="006945AD"/>
  </w:style>
  <w:style w:type="character" w:customStyle="1" w:styleId="WW-Absatz-Standardschriftart11111111111111111111">
    <w:name w:val="WW-Absatz-Standardschriftart11111111111111111111"/>
    <w:rsid w:val="006945AD"/>
  </w:style>
  <w:style w:type="character" w:customStyle="1" w:styleId="WW-Absatz-Standardschriftart111111111111111111111">
    <w:name w:val="WW-Absatz-Standardschriftart111111111111111111111"/>
    <w:rsid w:val="006945AD"/>
  </w:style>
  <w:style w:type="character" w:customStyle="1" w:styleId="WW-Absatz-Standardschriftart1111111111111111111111">
    <w:name w:val="WW-Absatz-Standardschriftart1111111111111111111111"/>
    <w:rsid w:val="006945AD"/>
  </w:style>
  <w:style w:type="character" w:customStyle="1" w:styleId="WW-Absatz-Standardschriftart11111111111111111111111">
    <w:name w:val="WW-Absatz-Standardschriftart11111111111111111111111"/>
    <w:rsid w:val="006945AD"/>
  </w:style>
  <w:style w:type="character" w:customStyle="1" w:styleId="Standardnpsmoodstavce5">
    <w:name w:val="Standardní písmo odstavce5"/>
    <w:rsid w:val="006945AD"/>
  </w:style>
  <w:style w:type="character" w:customStyle="1" w:styleId="WW-Absatz-Standardschriftart111111111111111111111111">
    <w:name w:val="WW-Absatz-Standardschriftart111111111111111111111111"/>
    <w:rsid w:val="006945AD"/>
  </w:style>
  <w:style w:type="character" w:customStyle="1" w:styleId="Standardnpsmoodstavce4">
    <w:name w:val="Standardní písmo odstavce4"/>
    <w:rsid w:val="006945AD"/>
  </w:style>
  <w:style w:type="character" w:customStyle="1" w:styleId="Standardnpsmoodstavce3">
    <w:name w:val="Standardní písmo odstavce3"/>
    <w:rsid w:val="006945AD"/>
  </w:style>
  <w:style w:type="character" w:customStyle="1" w:styleId="Standardnpsmoodstavce2">
    <w:name w:val="Standardní písmo odstavce2"/>
    <w:rsid w:val="006945AD"/>
  </w:style>
  <w:style w:type="character" w:customStyle="1" w:styleId="WW-Absatz-Standardschriftart1111111111111111111111111">
    <w:name w:val="WW-Absatz-Standardschriftart1111111111111111111111111"/>
    <w:rsid w:val="006945AD"/>
  </w:style>
  <w:style w:type="character" w:customStyle="1" w:styleId="WW-Absatz-Standardschriftart11111111111111111111111111">
    <w:name w:val="WW-Absatz-Standardschriftart11111111111111111111111111"/>
    <w:rsid w:val="006945AD"/>
  </w:style>
  <w:style w:type="character" w:customStyle="1" w:styleId="WW-Absatz-Standardschriftart111111111111111111111111111">
    <w:name w:val="WW-Absatz-Standardschriftart111111111111111111111111111"/>
    <w:rsid w:val="006945AD"/>
  </w:style>
  <w:style w:type="character" w:customStyle="1" w:styleId="WW-Absatz-Standardschriftart1111111111111111111111111111">
    <w:name w:val="WW-Absatz-Standardschriftart1111111111111111111111111111"/>
    <w:rsid w:val="006945AD"/>
  </w:style>
  <w:style w:type="character" w:customStyle="1" w:styleId="WW-Absatz-Standardschriftart11111111111111111111111111111">
    <w:name w:val="WW-Absatz-Standardschriftart11111111111111111111111111111"/>
    <w:rsid w:val="006945AD"/>
  </w:style>
  <w:style w:type="character" w:customStyle="1" w:styleId="WW-Absatz-Standardschriftart111111111111111111111111111111">
    <w:name w:val="WW-Absatz-Standardschriftart111111111111111111111111111111"/>
    <w:rsid w:val="006945AD"/>
  </w:style>
  <w:style w:type="character" w:customStyle="1" w:styleId="WW-Absatz-Standardschriftart1111111111111111111111111111111">
    <w:name w:val="WW-Absatz-Standardschriftart1111111111111111111111111111111"/>
    <w:rsid w:val="006945AD"/>
  </w:style>
  <w:style w:type="character" w:customStyle="1" w:styleId="Standardnpsmoodstavce1">
    <w:name w:val="Standardní písmo odstavce1"/>
    <w:rsid w:val="006945AD"/>
  </w:style>
  <w:style w:type="character" w:customStyle="1" w:styleId="Znakypropoznmkupodarou">
    <w:name w:val="Znaky pro poznámku pod čarou"/>
    <w:uiPriority w:val="99"/>
    <w:rsid w:val="006945AD"/>
    <w:rPr>
      <w:vertAlign w:val="superscript"/>
    </w:rPr>
  </w:style>
  <w:style w:type="character" w:customStyle="1" w:styleId="Symbolyproslovn">
    <w:name w:val="Symboly pro číslování"/>
    <w:rsid w:val="006945AD"/>
  </w:style>
  <w:style w:type="character" w:customStyle="1" w:styleId="Odrky">
    <w:name w:val="Odrážky"/>
    <w:rsid w:val="006945AD"/>
    <w:rPr>
      <w:rFonts w:ascii="StarSymbol" w:eastAsia="StarSymbol" w:hAnsi="StarSymbol"/>
      <w:sz w:val="18"/>
    </w:rPr>
  </w:style>
  <w:style w:type="character" w:customStyle="1" w:styleId="Znakapoznpodarou1">
    <w:name w:val="Značka pozn. pod čarou1"/>
    <w:rsid w:val="006945AD"/>
    <w:rPr>
      <w:vertAlign w:val="superscript"/>
    </w:rPr>
  </w:style>
  <w:style w:type="character" w:customStyle="1" w:styleId="Znakapoznpodarou2">
    <w:name w:val="Značka pozn. pod čarou2"/>
    <w:rsid w:val="006945AD"/>
    <w:rPr>
      <w:vertAlign w:val="superscript"/>
    </w:rPr>
  </w:style>
  <w:style w:type="character" w:customStyle="1" w:styleId="Znakyprovysvtlivky">
    <w:name w:val="Znaky pro vysvětlivky"/>
    <w:rsid w:val="006945AD"/>
    <w:rPr>
      <w:vertAlign w:val="superscript"/>
    </w:rPr>
  </w:style>
  <w:style w:type="character" w:customStyle="1" w:styleId="WW-Znakyprovysvtlivky">
    <w:name w:val="WW-Znaky pro vysvětlivky"/>
    <w:rsid w:val="006945AD"/>
  </w:style>
  <w:style w:type="character" w:customStyle="1" w:styleId="Odkaznavysvtlivky1">
    <w:name w:val="Odkaz na vysvětlivky1"/>
    <w:rsid w:val="006945AD"/>
    <w:rPr>
      <w:vertAlign w:val="superscript"/>
    </w:rPr>
  </w:style>
  <w:style w:type="character" w:customStyle="1" w:styleId="Znakapoznpodarou3">
    <w:name w:val="Značka pozn. pod čarou3"/>
    <w:rsid w:val="006945AD"/>
    <w:rPr>
      <w:vertAlign w:val="superscript"/>
    </w:rPr>
  </w:style>
  <w:style w:type="character" w:customStyle="1" w:styleId="Odkaznavysvtlivky2">
    <w:name w:val="Odkaz na vysvětlivky2"/>
    <w:rsid w:val="006945AD"/>
    <w:rPr>
      <w:vertAlign w:val="superscript"/>
    </w:rPr>
  </w:style>
  <w:style w:type="character" w:customStyle="1" w:styleId="Znakapoznpodarou4">
    <w:name w:val="Značka pozn. pod čarou4"/>
    <w:rsid w:val="006945AD"/>
    <w:rPr>
      <w:vertAlign w:val="superscript"/>
    </w:rPr>
  </w:style>
  <w:style w:type="character" w:customStyle="1" w:styleId="Odkaznavysvtlivky3">
    <w:name w:val="Odkaz na vysvětlivky3"/>
    <w:rsid w:val="006945AD"/>
    <w:rPr>
      <w:vertAlign w:val="superscript"/>
    </w:rPr>
  </w:style>
  <w:style w:type="character" w:customStyle="1" w:styleId="Znakapoznpodarou5">
    <w:name w:val="Značka pozn. pod čarou5"/>
    <w:rsid w:val="006945AD"/>
    <w:rPr>
      <w:vertAlign w:val="superscript"/>
    </w:rPr>
  </w:style>
  <w:style w:type="character" w:customStyle="1" w:styleId="Odkaznavysvtlivky4">
    <w:name w:val="Odkaz na vysvětlivky4"/>
    <w:rsid w:val="006945AD"/>
    <w:rPr>
      <w:vertAlign w:val="superscript"/>
    </w:rPr>
  </w:style>
  <w:style w:type="character" w:customStyle="1" w:styleId="Znakapoznpodarou6">
    <w:name w:val="Značka pozn. pod čarou6"/>
    <w:uiPriority w:val="99"/>
    <w:rsid w:val="006945AD"/>
    <w:rPr>
      <w:vertAlign w:val="superscript"/>
    </w:rPr>
  </w:style>
  <w:style w:type="character" w:customStyle="1" w:styleId="Odkaznavysvtlivky5">
    <w:name w:val="Odkaz na vysvětlivky5"/>
    <w:rsid w:val="006945AD"/>
    <w:rPr>
      <w:vertAlign w:val="superscript"/>
    </w:rPr>
  </w:style>
  <w:style w:type="character" w:customStyle="1" w:styleId="Odkaznakoment1">
    <w:name w:val="Odkaz na komentář1"/>
    <w:rsid w:val="006945AD"/>
    <w:rPr>
      <w:sz w:val="16"/>
    </w:rPr>
  </w:style>
  <w:style w:type="character" w:customStyle="1" w:styleId="WW8Num6z0">
    <w:name w:val="WW8Num6z0"/>
    <w:rsid w:val="006945AD"/>
    <w:rPr>
      <w:rFonts w:ascii="Times New Roman" w:hAnsi="Times New Roman"/>
      <w:color w:val="000000"/>
      <w:position w:val="0"/>
      <w:sz w:val="20"/>
      <w:u w:val="none"/>
      <w:vertAlign w:val="baseline"/>
    </w:rPr>
  </w:style>
  <w:style w:type="character" w:customStyle="1" w:styleId="WW8Num13z0">
    <w:name w:val="WW8Num13z0"/>
    <w:rsid w:val="006945AD"/>
    <w:rPr>
      <w:rFonts w:ascii="Times New Roman" w:hAnsi="Times New Roman"/>
      <w:color w:val="000000"/>
      <w:position w:val="0"/>
      <w:sz w:val="20"/>
      <w:u w:val="none"/>
      <w:vertAlign w:val="baseline"/>
    </w:rPr>
  </w:style>
  <w:style w:type="character" w:customStyle="1" w:styleId="WW8Num2z0">
    <w:name w:val="WW8Num2z0"/>
    <w:rsid w:val="006945AD"/>
    <w:rPr>
      <w:rFonts w:ascii="Times New Roman" w:hAnsi="Times New Roman"/>
      <w:color w:val="000000"/>
      <w:position w:val="0"/>
      <w:sz w:val="20"/>
      <w:u w:val="none"/>
      <w:vertAlign w:val="baseline"/>
    </w:rPr>
  </w:style>
  <w:style w:type="character" w:customStyle="1" w:styleId="WW8Num15z0">
    <w:name w:val="WW8Num15z0"/>
    <w:rsid w:val="006945AD"/>
    <w:rPr>
      <w:rFonts w:ascii="Times New Roman" w:hAnsi="Times New Roman"/>
      <w:color w:val="000000"/>
      <w:position w:val="0"/>
      <w:sz w:val="20"/>
      <w:u w:val="none"/>
      <w:vertAlign w:val="baseline"/>
    </w:rPr>
  </w:style>
  <w:style w:type="character" w:customStyle="1" w:styleId="WW8Num23z0">
    <w:name w:val="WW8Num23z0"/>
    <w:rsid w:val="006945AD"/>
    <w:rPr>
      <w:color w:val="auto"/>
    </w:rPr>
  </w:style>
  <w:style w:type="character" w:customStyle="1" w:styleId="WW8Num25z0">
    <w:name w:val="WW8Num25z0"/>
    <w:rsid w:val="006945AD"/>
    <w:rPr>
      <w:color w:val="000000"/>
    </w:rPr>
  </w:style>
  <w:style w:type="character" w:styleId="slostrnky">
    <w:name w:val="page number"/>
    <w:rsid w:val="006945AD"/>
    <w:rPr>
      <w:rFonts w:cs="Times New Roman"/>
    </w:rPr>
  </w:style>
  <w:style w:type="character" w:customStyle="1" w:styleId="WW-Znakypropoznmkupodarou">
    <w:name w:val="WW-Znaky pro poznámku pod čarou"/>
    <w:rsid w:val="006945AD"/>
    <w:rPr>
      <w:vertAlign w:val="superscript"/>
    </w:rPr>
  </w:style>
  <w:style w:type="character" w:styleId="Sledovanodkaz">
    <w:name w:val="FollowedHyperlink"/>
    <w:rsid w:val="006945AD"/>
    <w:rPr>
      <w:rFonts w:cs="Times New Roman"/>
      <w:color w:val="800000"/>
      <w:u w:val="single"/>
    </w:rPr>
  </w:style>
  <w:style w:type="character" w:customStyle="1" w:styleId="Odkaznarejstk">
    <w:name w:val="Odkaz na rejstřík"/>
    <w:rsid w:val="006945AD"/>
  </w:style>
  <w:style w:type="character" w:customStyle="1" w:styleId="WW8Num3z0">
    <w:name w:val="WW8Num3z0"/>
    <w:rsid w:val="006945AD"/>
    <w:rPr>
      <w:rFonts w:ascii="Symbol" w:hAnsi="Symbol"/>
    </w:rPr>
  </w:style>
  <w:style w:type="character" w:customStyle="1" w:styleId="WW8Num5z0">
    <w:name w:val="WW8Num5z0"/>
    <w:rsid w:val="006945AD"/>
    <w:rPr>
      <w:rFonts w:ascii="Symbol" w:hAnsi="Symbol"/>
    </w:rPr>
  </w:style>
  <w:style w:type="character" w:customStyle="1" w:styleId="WW8Num11z0">
    <w:name w:val="WW8Num11z0"/>
    <w:rsid w:val="006945AD"/>
  </w:style>
  <w:style w:type="character" w:customStyle="1" w:styleId="WW8Num14z0">
    <w:name w:val="WW8Num14z0"/>
    <w:rsid w:val="006945AD"/>
  </w:style>
  <w:style w:type="character" w:customStyle="1" w:styleId="WW8Num21z0">
    <w:name w:val="WW8Num21z0"/>
    <w:rsid w:val="006945AD"/>
    <w:rPr>
      <w:rFonts w:ascii="Times New Roman" w:hAnsi="Times New Roman"/>
      <w:sz w:val="24"/>
    </w:rPr>
  </w:style>
  <w:style w:type="character" w:customStyle="1" w:styleId="WW8Num53z0">
    <w:name w:val="WW8Num53z0"/>
    <w:rsid w:val="006945AD"/>
    <w:rPr>
      <w:rFonts w:ascii="Times New Roman" w:hAnsi="Times New Roman"/>
      <w:color w:val="000000"/>
      <w:position w:val="0"/>
      <w:sz w:val="20"/>
      <w:u w:val="none"/>
      <w:vertAlign w:val="baseline"/>
    </w:rPr>
  </w:style>
  <w:style w:type="character" w:customStyle="1" w:styleId="WW8Num55z2">
    <w:name w:val="WW8Num55z2"/>
    <w:rsid w:val="006945AD"/>
    <w:rPr>
      <w:i/>
    </w:rPr>
  </w:style>
  <w:style w:type="character" w:customStyle="1" w:styleId="WW8Num58z0">
    <w:name w:val="WW8Num58z0"/>
    <w:rsid w:val="006945AD"/>
    <w:rPr>
      <w:rFonts w:ascii="Times New Roman" w:hAnsi="Times New Roman"/>
      <w:color w:val="000000"/>
      <w:position w:val="0"/>
      <w:sz w:val="20"/>
      <w:u w:val="none"/>
      <w:vertAlign w:val="baseline"/>
    </w:rPr>
  </w:style>
  <w:style w:type="character" w:customStyle="1" w:styleId="WW8Num62z0">
    <w:name w:val="WW8Num62z0"/>
    <w:rsid w:val="006945AD"/>
    <w:rPr>
      <w:rFonts w:ascii="Wingdings" w:hAnsi="Wingdings"/>
    </w:rPr>
  </w:style>
  <w:style w:type="character" w:customStyle="1" w:styleId="WW8Num62z1">
    <w:name w:val="WW8Num62z1"/>
    <w:rsid w:val="006945AD"/>
    <w:rPr>
      <w:rFonts w:ascii="Courier New" w:hAnsi="Courier New"/>
    </w:rPr>
  </w:style>
  <w:style w:type="character" w:customStyle="1" w:styleId="WW8Num62z3">
    <w:name w:val="WW8Num62z3"/>
    <w:rsid w:val="006945AD"/>
    <w:rPr>
      <w:rFonts w:ascii="Symbol" w:hAnsi="Symbol"/>
    </w:rPr>
  </w:style>
  <w:style w:type="character" w:customStyle="1" w:styleId="WW8Num89z1">
    <w:name w:val="WW8Num89z1"/>
    <w:rsid w:val="006945AD"/>
    <w:rPr>
      <w:rFonts w:ascii="Courier New" w:hAnsi="Courier New"/>
    </w:rPr>
  </w:style>
  <w:style w:type="character" w:customStyle="1" w:styleId="WW8Num89z2">
    <w:name w:val="WW8Num89z2"/>
    <w:rsid w:val="006945AD"/>
    <w:rPr>
      <w:rFonts w:ascii="Wingdings" w:hAnsi="Wingdings"/>
    </w:rPr>
  </w:style>
  <w:style w:type="character" w:customStyle="1" w:styleId="WW8Num89z3">
    <w:name w:val="WW8Num89z3"/>
    <w:rsid w:val="006945AD"/>
    <w:rPr>
      <w:rFonts w:ascii="Symbol" w:hAnsi="Symbol"/>
    </w:rPr>
  </w:style>
  <w:style w:type="character" w:customStyle="1" w:styleId="WW8Num101z0">
    <w:name w:val="WW8Num101z0"/>
    <w:rsid w:val="006945AD"/>
    <w:rPr>
      <w:b/>
    </w:rPr>
  </w:style>
  <w:style w:type="character" w:customStyle="1" w:styleId="WW8Num103z0">
    <w:name w:val="WW8Num103z0"/>
    <w:rsid w:val="006945AD"/>
    <w:rPr>
      <w:position w:val="0"/>
      <w:sz w:val="24"/>
      <w:vertAlign w:val="baseline"/>
    </w:rPr>
  </w:style>
  <w:style w:type="character" w:customStyle="1" w:styleId="WW8Num107z0">
    <w:name w:val="WW8Num107z0"/>
    <w:rsid w:val="006945AD"/>
    <w:rPr>
      <w:rFonts w:ascii="Times New Roman" w:hAnsi="Times New Roman"/>
      <w:color w:val="000000"/>
      <w:position w:val="0"/>
      <w:sz w:val="20"/>
      <w:u w:val="none"/>
      <w:vertAlign w:val="baseline"/>
    </w:rPr>
  </w:style>
  <w:style w:type="character" w:customStyle="1" w:styleId="WW8Num118z0">
    <w:name w:val="WW8Num118z0"/>
    <w:rsid w:val="006945AD"/>
    <w:rPr>
      <w:position w:val="0"/>
      <w:sz w:val="24"/>
      <w:vertAlign w:val="baseline"/>
    </w:rPr>
  </w:style>
  <w:style w:type="character" w:customStyle="1" w:styleId="WW8Num121z0">
    <w:name w:val="WW8Num121z0"/>
    <w:rsid w:val="006945AD"/>
    <w:rPr>
      <w:rFonts w:ascii="Symbol" w:hAnsi="Symbol"/>
    </w:rPr>
  </w:style>
  <w:style w:type="character" w:customStyle="1" w:styleId="WW8Num121z1">
    <w:name w:val="WW8Num121z1"/>
    <w:rsid w:val="006945AD"/>
    <w:rPr>
      <w:rFonts w:ascii="Courier New" w:hAnsi="Courier New"/>
    </w:rPr>
  </w:style>
  <w:style w:type="character" w:customStyle="1" w:styleId="WW8Num121z2">
    <w:name w:val="WW8Num121z2"/>
    <w:rsid w:val="006945AD"/>
    <w:rPr>
      <w:rFonts w:ascii="Wingdings" w:hAnsi="Wingdings"/>
    </w:rPr>
  </w:style>
  <w:style w:type="character" w:customStyle="1" w:styleId="WW8Num122z0">
    <w:name w:val="WW8Num122z0"/>
    <w:rsid w:val="006945AD"/>
    <w:rPr>
      <w:color w:val="000000"/>
    </w:rPr>
  </w:style>
  <w:style w:type="character" w:customStyle="1" w:styleId="WW8Num135z0">
    <w:name w:val="WW8Num135z0"/>
    <w:rsid w:val="006945AD"/>
    <w:rPr>
      <w:rFonts w:ascii="Symbol" w:hAnsi="Symbol"/>
    </w:rPr>
  </w:style>
  <w:style w:type="character" w:customStyle="1" w:styleId="WW8Num135z1">
    <w:name w:val="WW8Num135z1"/>
    <w:rsid w:val="006945AD"/>
    <w:rPr>
      <w:rFonts w:ascii="Courier New" w:hAnsi="Courier New"/>
    </w:rPr>
  </w:style>
  <w:style w:type="character" w:customStyle="1" w:styleId="WW8Num135z2">
    <w:name w:val="WW8Num135z2"/>
    <w:rsid w:val="006945AD"/>
    <w:rPr>
      <w:rFonts w:ascii="Wingdings" w:hAnsi="Wingdings"/>
    </w:rPr>
  </w:style>
  <w:style w:type="character" w:customStyle="1" w:styleId="WW8NumSt38z0">
    <w:name w:val="WW8NumSt38z0"/>
    <w:rsid w:val="006945AD"/>
    <w:rPr>
      <w:rFonts w:ascii="Symbol" w:hAnsi="Symbol"/>
    </w:rPr>
  </w:style>
  <w:style w:type="character" w:customStyle="1" w:styleId="WW8NumSt108z0">
    <w:name w:val="WW8NumSt108z0"/>
    <w:rsid w:val="006945AD"/>
    <w:rPr>
      <w:rFonts w:ascii="Symbol" w:hAnsi="Symbol"/>
    </w:rPr>
  </w:style>
  <w:style w:type="character" w:customStyle="1" w:styleId="WW8NumSt110z0">
    <w:name w:val="WW8NumSt110z0"/>
    <w:rsid w:val="006945AD"/>
    <w:rPr>
      <w:rFonts w:ascii="Symbol" w:hAnsi="Symbol"/>
    </w:rPr>
  </w:style>
  <w:style w:type="character" w:customStyle="1" w:styleId="ZkladntextChar">
    <w:name w:val="Základní text Char"/>
    <w:rsid w:val="006945AD"/>
    <w:rPr>
      <w:b/>
      <w:sz w:val="28"/>
    </w:rPr>
  </w:style>
  <w:style w:type="character" w:customStyle="1" w:styleId="ZkladntextodsazenChar">
    <w:name w:val="Základní text odsazený Char"/>
    <w:rsid w:val="006945AD"/>
    <w:rPr>
      <w:sz w:val="24"/>
    </w:rPr>
  </w:style>
  <w:style w:type="character" w:customStyle="1" w:styleId="Zkladntext3Char">
    <w:name w:val="Základní text 3 Char"/>
    <w:rsid w:val="006945AD"/>
    <w:rPr>
      <w:sz w:val="16"/>
    </w:rPr>
  </w:style>
  <w:style w:type="character" w:customStyle="1" w:styleId="Zkladntext2Char">
    <w:name w:val="Základní text 2 Char"/>
    <w:rsid w:val="006945AD"/>
    <w:rPr>
      <w:sz w:val="24"/>
    </w:rPr>
  </w:style>
  <w:style w:type="character" w:customStyle="1" w:styleId="Text1Char">
    <w:name w:val="Text 1 Char"/>
    <w:rsid w:val="006945AD"/>
    <w:rPr>
      <w:sz w:val="24"/>
    </w:rPr>
  </w:style>
  <w:style w:type="character" w:customStyle="1" w:styleId="CRMinorChangeAdded">
    <w:name w:val="CR Minor Change Added"/>
    <w:rsid w:val="006945AD"/>
    <w:rPr>
      <w:sz w:val="24"/>
      <w:u w:val="single"/>
      <w:lang w:val="pl-PL"/>
    </w:rPr>
  </w:style>
  <w:style w:type="character" w:customStyle="1" w:styleId="CommentTextChar">
    <w:name w:val="Comment Text Char"/>
    <w:rsid w:val="006945AD"/>
    <w:rPr>
      <w:rFonts w:ascii="Times New Roman" w:hAnsi="Times New Roman"/>
      <w:sz w:val="20"/>
    </w:rPr>
  </w:style>
  <w:style w:type="character" w:customStyle="1" w:styleId="FootnoteTextChar">
    <w:name w:val="Footnote Text Char"/>
    <w:rsid w:val="006945AD"/>
    <w:rPr>
      <w:rFonts w:ascii="Times New Roman" w:hAnsi="Times New Roman"/>
      <w:sz w:val="20"/>
      <w:lang w:val="en-GB"/>
    </w:rPr>
  </w:style>
  <w:style w:type="character" w:customStyle="1" w:styleId="CommentTextChar1">
    <w:name w:val="Comment Text Char1"/>
    <w:rsid w:val="006945AD"/>
  </w:style>
  <w:style w:type="character" w:customStyle="1" w:styleId="CharChar19">
    <w:name w:val="Char Char19"/>
    <w:rsid w:val="006945AD"/>
    <w:rPr>
      <w:rFonts w:ascii="Arial" w:hAnsi="Arial"/>
      <w:sz w:val="24"/>
    </w:rPr>
  </w:style>
  <w:style w:type="character" w:customStyle="1" w:styleId="Zkladntextodsazen2Char">
    <w:name w:val="Základní text odsazený 2 Char"/>
    <w:rsid w:val="006945AD"/>
    <w:rPr>
      <w:sz w:val="24"/>
    </w:rPr>
  </w:style>
  <w:style w:type="character" w:customStyle="1" w:styleId="Zkladntextodsazen3Char">
    <w:name w:val="Základní text odsazený 3 Char"/>
    <w:rsid w:val="006945AD"/>
    <w:rPr>
      <w:sz w:val="16"/>
    </w:rPr>
  </w:style>
  <w:style w:type="character" w:customStyle="1" w:styleId="CharChar191">
    <w:name w:val="Char Char191"/>
    <w:rsid w:val="006945AD"/>
    <w:rPr>
      <w:rFonts w:ascii="Arial" w:hAnsi="Arial"/>
      <w:sz w:val="24"/>
    </w:rPr>
  </w:style>
  <w:style w:type="character" w:styleId="Odkaznavysvtlivky">
    <w:name w:val="endnote reference"/>
    <w:rsid w:val="006945AD"/>
    <w:rPr>
      <w:rFonts w:cs="Times New Roman"/>
      <w:vertAlign w:val="superscript"/>
    </w:rPr>
  </w:style>
  <w:style w:type="paragraph" w:customStyle="1" w:styleId="Nadpis">
    <w:name w:val="Nadpis"/>
    <w:basedOn w:val="Normln"/>
    <w:next w:val="Zkladntext"/>
    <w:rsid w:val="006945AD"/>
    <w:pPr>
      <w:keepNext/>
      <w:spacing w:before="240" w:after="120"/>
    </w:pPr>
    <w:rPr>
      <w:rFonts w:ascii="Arial" w:eastAsia="MS Mincho" w:hAnsi="Arial" w:cs="Tahoma"/>
      <w:sz w:val="28"/>
      <w:szCs w:val="28"/>
      <w:lang w:eastAsia="zh-CN"/>
    </w:rPr>
  </w:style>
  <w:style w:type="paragraph" w:styleId="Zkladntext">
    <w:name w:val="Body Text"/>
    <w:basedOn w:val="Normln"/>
    <w:link w:val="ZkladntextChar1"/>
    <w:uiPriority w:val="99"/>
    <w:rsid w:val="006945AD"/>
    <w:pPr>
      <w:jc w:val="both"/>
    </w:pPr>
    <w:rPr>
      <w:b/>
      <w:sz w:val="28"/>
      <w:szCs w:val="20"/>
      <w:lang w:eastAsia="zh-CN"/>
    </w:rPr>
  </w:style>
  <w:style w:type="character" w:customStyle="1" w:styleId="ZkladntextChar1">
    <w:name w:val="Základní text Char1"/>
    <w:basedOn w:val="Standardnpsmoodstavce"/>
    <w:link w:val="Zkladntext"/>
    <w:uiPriority w:val="99"/>
    <w:rsid w:val="006945AD"/>
    <w:rPr>
      <w:b/>
      <w:sz w:val="28"/>
      <w:lang w:eastAsia="zh-CN"/>
    </w:rPr>
  </w:style>
  <w:style w:type="paragraph" w:styleId="Seznam">
    <w:name w:val="List"/>
    <w:basedOn w:val="Zkladntext"/>
    <w:rsid w:val="006945AD"/>
    <w:rPr>
      <w:rFonts w:cs="Tahoma"/>
    </w:rPr>
  </w:style>
  <w:style w:type="paragraph" w:styleId="Titulek">
    <w:name w:val="caption"/>
    <w:basedOn w:val="Normln"/>
    <w:qFormat/>
    <w:rsid w:val="006945AD"/>
    <w:pPr>
      <w:suppressLineNumbers/>
      <w:spacing w:before="120" w:after="120"/>
    </w:pPr>
    <w:rPr>
      <w:rFonts w:cs="Tahoma"/>
      <w:i/>
      <w:iCs/>
      <w:sz w:val="20"/>
      <w:szCs w:val="20"/>
      <w:lang w:eastAsia="zh-CN"/>
    </w:rPr>
  </w:style>
  <w:style w:type="paragraph" w:customStyle="1" w:styleId="Rejstk">
    <w:name w:val="Rejstřík"/>
    <w:basedOn w:val="Normln"/>
    <w:rsid w:val="006945AD"/>
    <w:pPr>
      <w:suppressLineNumbers/>
    </w:pPr>
    <w:rPr>
      <w:rFonts w:cs="Tahoma"/>
      <w:lang w:eastAsia="zh-CN"/>
    </w:rPr>
  </w:style>
  <w:style w:type="paragraph" w:customStyle="1" w:styleId="Zkladntext21">
    <w:name w:val="Základní text 21"/>
    <w:basedOn w:val="Normln"/>
    <w:rsid w:val="006945AD"/>
    <w:pPr>
      <w:jc w:val="both"/>
    </w:pPr>
    <w:rPr>
      <w:b/>
      <w:szCs w:val="20"/>
      <w:lang w:eastAsia="zh-CN"/>
    </w:rPr>
  </w:style>
  <w:style w:type="paragraph" w:customStyle="1" w:styleId="Formuledadoption">
    <w:name w:val="Formule d'adoption"/>
    <w:basedOn w:val="Normln"/>
    <w:next w:val="Normln"/>
    <w:rsid w:val="006945AD"/>
    <w:pPr>
      <w:widowControl w:val="0"/>
      <w:spacing w:before="120" w:after="120"/>
      <w:jc w:val="both"/>
    </w:pPr>
    <w:rPr>
      <w:szCs w:val="20"/>
      <w:lang w:eastAsia="zh-CN"/>
    </w:rPr>
  </w:style>
  <w:style w:type="paragraph" w:styleId="Zkladntextodsazen">
    <w:name w:val="Body Text Indent"/>
    <w:basedOn w:val="Normln"/>
    <w:link w:val="ZkladntextodsazenChar1"/>
    <w:uiPriority w:val="99"/>
    <w:rsid w:val="006945AD"/>
    <w:pPr>
      <w:jc w:val="both"/>
    </w:pPr>
    <w:rPr>
      <w:szCs w:val="20"/>
      <w:lang w:eastAsia="zh-CN"/>
    </w:rPr>
  </w:style>
  <w:style w:type="character" w:customStyle="1" w:styleId="ZkladntextodsazenChar1">
    <w:name w:val="Základní text odsazený Char1"/>
    <w:basedOn w:val="Standardnpsmoodstavce"/>
    <w:link w:val="Zkladntextodsazen"/>
    <w:uiPriority w:val="99"/>
    <w:rsid w:val="006945AD"/>
    <w:rPr>
      <w:sz w:val="24"/>
      <w:lang w:eastAsia="zh-CN"/>
    </w:rPr>
  </w:style>
  <w:style w:type="paragraph" w:customStyle="1" w:styleId="Zkladntext22">
    <w:name w:val="Základní text 22"/>
    <w:basedOn w:val="Normln"/>
    <w:rsid w:val="006945AD"/>
    <w:pPr>
      <w:spacing w:line="360" w:lineRule="auto"/>
      <w:jc w:val="both"/>
    </w:pPr>
    <w:rPr>
      <w:rFonts w:ascii="Arial" w:hAnsi="Arial" w:cs="Arial"/>
      <w:sz w:val="22"/>
      <w:szCs w:val="20"/>
      <w:lang w:eastAsia="zh-CN"/>
    </w:rPr>
  </w:style>
  <w:style w:type="character" w:customStyle="1" w:styleId="TextpoznpodarouChar1">
    <w:name w:val="Text pozn. pod čarou Char1"/>
    <w:basedOn w:val="Standardnpsmoodstavce"/>
    <w:uiPriority w:val="99"/>
    <w:rsid w:val="006945AD"/>
    <w:rPr>
      <w:rFonts w:ascii="Times New Roman" w:eastAsia="Times New Roman" w:hAnsi="Times New Roman" w:cs="Times New Roman"/>
      <w:sz w:val="20"/>
      <w:szCs w:val="20"/>
      <w:lang w:eastAsia="zh-CN"/>
    </w:rPr>
  </w:style>
  <w:style w:type="paragraph" w:customStyle="1" w:styleId="Obsahtabulky">
    <w:name w:val="Obsah tabulky"/>
    <w:basedOn w:val="Normln"/>
    <w:rsid w:val="006945AD"/>
    <w:pPr>
      <w:suppressLineNumbers/>
    </w:pPr>
    <w:rPr>
      <w:lang w:eastAsia="zh-CN"/>
    </w:rPr>
  </w:style>
  <w:style w:type="paragraph" w:customStyle="1" w:styleId="Nadpistabulky">
    <w:name w:val="Nadpis tabulky"/>
    <w:basedOn w:val="Obsahtabulky"/>
    <w:rsid w:val="006945AD"/>
    <w:pPr>
      <w:jc w:val="center"/>
    </w:pPr>
    <w:rPr>
      <w:b/>
      <w:bCs/>
      <w:i/>
      <w:iCs/>
    </w:rPr>
  </w:style>
  <w:style w:type="paragraph" w:customStyle="1" w:styleId="ManualHeading2">
    <w:name w:val="Manual Heading 2"/>
    <w:basedOn w:val="Normln"/>
    <w:next w:val="Text2"/>
    <w:rsid w:val="006945AD"/>
    <w:pPr>
      <w:keepNext/>
      <w:ind w:left="850" w:hanging="850"/>
    </w:pPr>
    <w:rPr>
      <w:b/>
      <w:lang w:eastAsia="zh-CN"/>
    </w:rPr>
  </w:style>
  <w:style w:type="paragraph" w:customStyle="1" w:styleId="Text2">
    <w:name w:val="Text 2"/>
    <w:basedOn w:val="Normln"/>
    <w:rsid w:val="006945AD"/>
    <w:pPr>
      <w:ind w:left="850"/>
    </w:pPr>
    <w:rPr>
      <w:lang w:eastAsia="zh-CN"/>
    </w:rPr>
  </w:style>
  <w:style w:type="character" w:customStyle="1" w:styleId="ZhlavChar1">
    <w:name w:val="Záhlaví Char1"/>
    <w:basedOn w:val="Standardnpsmoodstavce"/>
    <w:rsid w:val="006945AD"/>
    <w:rPr>
      <w:rFonts w:ascii="Times New Roman" w:eastAsia="Times New Roman" w:hAnsi="Times New Roman" w:cs="Times New Roman"/>
      <w:sz w:val="24"/>
      <w:szCs w:val="24"/>
      <w:lang w:eastAsia="zh-CN"/>
    </w:rPr>
  </w:style>
  <w:style w:type="character" w:customStyle="1" w:styleId="TextbublinyChar1">
    <w:name w:val="Text bubliny Char1"/>
    <w:rsid w:val="006945AD"/>
    <w:rPr>
      <w:rFonts w:ascii="Tahoma" w:hAnsi="Tahoma"/>
      <w:sz w:val="16"/>
      <w:lang w:eastAsia="zh-CN"/>
    </w:rPr>
  </w:style>
  <w:style w:type="paragraph" w:customStyle="1" w:styleId="Rozvrendokumentu1">
    <w:name w:val="Rozvržení dokumentu1"/>
    <w:basedOn w:val="Normln"/>
    <w:rsid w:val="006945AD"/>
    <w:pPr>
      <w:shd w:val="clear" w:color="auto" w:fill="000080"/>
    </w:pPr>
    <w:rPr>
      <w:rFonts w:ascii="Tahoma" w:hAnsi="Tahoma" w:cs="Tahoma"/>
      <w:lang w:eastAsia="zh-CN"/>
    </w:rPr>
  </w:style>
  <w:style w:type="paragraph" w:customStyle="1" w:styleId="Textkomente2">
    <w:name w:val="Text komentáře2"/>
    <w:basedOn w:val="Normln"/>
    <w:rsid w:val="006945AD"/>
    <w:rPr>
      <w:sz w:val="20"/>
      <w:szCs w:val="20"/>
      <w:lang w:eastAsia="zh-CN"/>
    </w:rPr>
  </w:style>
  <w:style w:type="character" w:customStyle="1" w:styleId="PedmtkomenteChar1">
    <w:name w:val="Předmět komentáře Char1"/>
    <w:rsid w:val="006945AD"/>
    <w:rPr>
      <w:b/>
      <w:sz w:val="20"/>
      <w:szCs w:val="20"/>
      <w:lang w:eastAsia="zh-CN"/>
    </w:rPr>
  </w:style>
  <w:style w:type="paragraph" w:customStyle="1" w:styleId="Zkladntextodsazen21">
    <w:name w:val="Základní text odsazený 21"/>
    <w:basedOn w:val="Normln"/>
    <w:uiPriority w:val="99"/>
    <w:rsid w:val="006945AD"/>
    <w:pPr>
      <w:spacing w:after="120" w:line="480" w:lineRule="auto"/>
      <w:ind w:left="283"/>
    </w:pPr>
    <w:rPr>
      <w:lang w:eastAsia="zh-CN"/>
    </w:rPr>
  </w:style>
  <w:style w:type="paragraph" w:customStyle="1" w:styleId="Adresa">
    <w:name w:val="Adresa"/>
    <w:basedOn w:val="Normln"/>
    <w:uiPriority w:val="99"/>
    <w:rsid w:val="006945AD"/>
    <w:pPr>
      <w:spacing w:before="120"/>
      <w:jc w:val="both"/>
    </w:pPr>
    <w:rPr>
      <w:b/>
      <w:lang w:eastAsia="zh-CN"/>
    </w:rPr>
  </w:style>
  <w:style w:type="paragraph" w:customStyle="1" w:styleId="xl32">
    <w:name w:val="xl32"/>
    <w:basedOn w:val="Normln"/>
    <w:rsid w:val="006945AD"/>
    <w:pPr>
      <w:spacing w:before="100" w:after="100"/>
    </w:pPr>
    <w:rPr>
      <w:b/>
      <w:bCs/>
      <w:lang w:eastAsia="zh-CN"/>
    </w:rPr>
  </w:style>
  <w:style w:type="paragraph" w:styleId="Normlnweb">
    <w:name w:val="Normal (Web)"/>
    <w:basedOn w:val="Normln"/>
    <w:rsid w:val="006945AD"/>
    <w:pPr>
      <w:spacing w:before="280" w:after="119"/>
    </w:pPr>
    <w:rPr>
      <w:lang w:eastAsia="zh-CN"/>
    </w:rPr>
  </w:style>
  <w:style w:type="paragraph" w:customStyle="1" w:styleId="nadpis0">
    <w:name w:val="nadpis"/>
    <w:basedOn w:val="Normln"/>
    <w:uiPriority w:val="99"/>
    <w:rsid w:val="006945AD"/>
    <w:pPr>
      <w:jc w:val="center"/>
    </w:pPr>
    <w:rPr>
      <w:b/>
      <w:bCs/>
      <w:lang w:eastAsia="zh-CN"/>
    </w:rPr>
  </w:style>
  <w:style w:type="paragraph" w:customStyle="1" w:styleId="nadpis40">
    <w:name w:val="nadpis 4"/>
    <w:basedOn w:val="Normln"/>
    <w:rsid w:val="006945AD"/>
    <w:pPr>
      <w:spacing w:before="120" w:after="120" w:line="240" w:lineRule="atLeast"/>
    </w:pPr>
    <w:rPr>
      <w:b/>
      <w:szCs w:val="20"/>
      <w:lang w:eastAsia="zh-CN"/>
    </w:rPr>
  </w:style>
  <w:style w:type="paragraph" w:customStyle="1" w:styleId="nadpis50">
    <w:name w:val="nadpis 5"/>
    <w:basedOn w:val="Nadpis5"/>
    <w:rsid w:val="006945AD"/>
    <w:pPr>
      <w:widowControl w:val="0"/>
      <w:spacing w:before="120" w:after="120" w:line="240" w:lineRule="atLeast"/>
      <w:jc w:val="right"/>
    </w:pPr>
    <w:rPr>
      <w:rFonts w:ascii="Times New Roman" w:hAnsi="Times New Roman" w:cs="Times New Roman"/>
      <w:b/>
      <w:bCs/>
      <w:iCs/>
      <w:szCs w:val="20"/>
    </w:rPr>
  </w:style>
  <w:style w:type="paragraph" w:customStyle="1" w:styleId="Textkomente1">
    <w:name w:val="Text komentáře1"/>
    <w:basedOn w:val="Normln"/>
    <w:rsid w:val="006945AD"/>
    <w:rPr>
      <w:sz w:val="20"/>
      <w:szCs w:val="20"/>
      <w:lang w:eastAsia="zh-CN"/>
    </w:rPr>
  </w:style>
  <w:style w:type="paragraph" w:customStyle="1" w:styleId="Obsah10">
    <w:name w:val="Obsah 10"/>
    <w:basedOn w:val="Rejstk"/>
    <w:rsid w:val="006945AD"/>
    <w:pPr>
      <w:ind w:left="2547"/>
    </w:pPr>
    <w:rPr>
      <w:smallCaps/>
      <w:sz w:val="20"/>
      <w:szCs w:val="20"/>
    </w:rPr>
  </w:style>
  <w:style w:type="paragraph" w:customStyle="1" w:styleId="za1">
    <w:name w:val="za (1)"/>
    <w:basedOn w:val="Normln"/>
    <w:rsid w:val="006945AD"/>
    <w:pPr>
      <w:spacing w:line="240" w:lineRule="atLeast"/>
      <w:ind w:left="425"/>
      <w:jc w:val="both"/>
    </w:pPr>
    <w:rPr>
      <w:szCs w:val="20"/>
      <w:lang w:eastAsia="zh-CN"/>
    </w:rPr>
  </w:style>
  <w:style w:type="paragraph" w:customStyle="1" w:styleId="Nadpis20">
    <w:name w:val="Nadpis2"/>
    <w:basedOn w:val="Normln"/>
    <w:rsid w:val="006945AD"/>
    <w:pPr>
      <w:spacing w:before="60" w:after="60" w:line="240" w:lineRule="atLeast"/>
      <w:jc w:val="right"/>
    </w:pPr>
    <w:rPr>
      <w:b/>
      <w:szCs w:val="20"/>
      <w:lang w:eastAsia="zh-CN"/>
    </w:rPr>
  </w:style>
  <w:style w:type="paragraph" w:customStyle="1" w:styleId="Styl1">
    <w:name w:val="Styl1"/>
    <w:basedOn w:val="Normln"/>
    <w:rsid w:val="006945AD"/>
    <w:pPr>
      <w:spacing w:before="60" w:line="240" w:lineRule="atLeast"/>
    </w:pPr>
    <w:rPr>
      <w:b/>
      <w:szCs w:val="20"/>
      <w:lang w:eastAsia="zh-CN"/>
    </w:rPr>
  </w:style>
  <w:style w:type="paragraph" w:customStyle="1" w:styleId="GesAbsatz">
    <w:name w:val="GesAbsatz"/>
    <w:basedOn w:val="Normln"/>
    <w:rsid w:val="006945AD"/>
    <w:pPr>
      <w:spacing w:before="60" w:after="60"/>
    </w:pPr>
    <w:rPr>
      <w:rFonts w:ascii="Arial" w:hAnsi="Arial" w:cs="Arial"/>
      <w:color w:val="000000"/>
      <w:sz w:val="20"/>
      <w:szCs w:val="20"/>
      <w:lang w:eastAsia="zh-CN"/>
    </w:rPr>
  </w:style>
  <w:style w:type="paragraph" w:customStyle="1" w:styleId="Prosttext1">
    <w:name w:val="Prostý text1"/>
    <w:basedOn w:val="Normln"/>
    <w:uiPriority w:val="99"/>
    <w:rsid w:val="006945AD"/>
    <w:rPr>
      <w:rFonts w:ascii="Courier New" w:hAnsi="Courier New" w:cs="Courier New"/>
      <w:sz w:val="20"/>
      <w:szCs w:val="20"/>
      <w:lang w:eastAsia="zh-CN"/>
    </w:rPr>
  </w:style>
  <w:style w:type="paragraph" w:customStyle="1" w:styleId="Zkladntextodsazen31">
    <w:name w:val="Základní text odsazený 31"/>
    <w:basedOn w:val="Normln"/>
    <w:rsid w:val="006945AD"/>
    <w:pPr>
      <w:ind w:left="567" w:hanging="283"/>
    </w:pPr>
    <w:rPr>
      <w:sz w:val="20"/>
      <w:szCs w:val="20"/>
      <w:lang w:eastAsia="zh-CN"/>
    </w:rPr>
  </w:style>
  <w:style w:type="paragraph" w:customStyle="1" w:styleId="Zkladntext31">
    <w:name w:val="Základní text 31"/>
    <w:basedOn w:val="Normln"/>
    <w:uiPriority w:val="99"/>
    <w:rsid w:val="006945AD"/>
    <w:pPr>
      <w:spacing w:after="60" w:line="240" w:lineRule="atLeast"/>
      <w:jc w:val="both"/>
    </w:pPr>
    <w:rPr>
      <w:b/>
      <w:i/>
      <w:szCs w:val="20"/>
      <w:lang w:eastAsia="zh-CN"/>
    </w:rPr>
  </w:style>
  <w:style w:type="paragraph" w:customStyle="1" w:styleId="Zkladntext32">
    <w:name w:val="Základní text 32"/>
    <w:basedOn w:val="Normln"/>
    <w:rsid w:val="006945AD"/>
    <w:pPr>
      <w:spacing w:after="60" w:line="240" w:lineRule="atLeast"/>
      <w:jc w:val="both"/>
    </w:pPr>
    <w:rPr>
      <w:b/>
      <w:bCs/>
      <w:i/>
      <w:iCs/>
      <w:lang w:eastAsia="zh-CN"/>
    </w:rPr>
  </w:style>
  <w:style w:type="paragraph" w:customStyle="1" w:styleId="Zkladntext33">
    <w:name w:val="Základní text 33"/>
    <w:basedOn w:val="Normln"/>
    <w:uiPriority w:val="99"/>
    <w:rsid w:val="006945AD"/>
    <w:pPr>
      <w:spacing w:after="120"/>
    </w:pPr>
    <w:rPr>
      <w:sz w:val="16"/>
      <w:szCs w:val="16"/>
      <w:lang w:eastAsia="zh-CN"/>
    </w:rPr>
  </w:style>
  <w:style w:type="paragraph" w:customStyle="1" w:styleId="Texttabulky">
    <w:name w:val="Text tabulky"/>
    <w:basedOn w:val="Normln"/>
    <w:rsid w:val="006945AD"/>
    <w:pPr>
      <w:spacing w:line="200" w:lineRule="atLeast"/>
      <w:jc w:val="center"/>
    </w:pPr>
    <w:rPr>
      <w:rFonts w:ascii="Arial Narrow" w:hAnsi="Arial Narrow" w:cs="Arial Narrow"/>
      <w:spacing w:val="-5"/>
      <w:sz w:val="20"/>
      <w:szCs w:val="20"/>
      <w:lang w:eastAsia="zh-CN"/>
    </w:rPr>
  </w:style>
  <w:style w:type="paragraph" w:customStyle="1" w:styleId="Zkladntext24">
    <w:name w:val="Základní text 24"/>
    <w:basedOn w:val="Normln"/>
    <w:uiPriority w:val="99"/>
    <w:rsid w:val="006945AD"/>
    <w:pPr>
      <w:spacing w:after="120" w:line="480" w:lineRule="auto"/>
    </w:pPr>
    <w:rPr>
      <w:lang w:eastAsia="zh-CN"/>
    </w:rPr>
  </w:style>
  <w:style w:type="paragraph" w:customStyle="1" w:styleId="Normlnodsazen1">
    <w:name w:val="Normální odsazený1"/>
    <w:basedOn w:val="Normln"/>
    <w:rsid w:val="006945AD"/>
    <w:pPr>
      <w:spacing w:before="120" w:after="120"/>
      <w:ind w:left="709" w:hanging="709"/>
      <w:jc w:val="both"/>
    </w:pPr>
    <w:rPr>
      <w:szCs w:val="20"/>
      <w:lang w:eastAsia="zh-CN"/>
    </w:rPr>
  </w:style>
  <w:style w:type="paragraph" w:customStyle="1" w:styleId="Normlnodsazen2">
    <w:name w:val="Normální odsazený 2"/>
    <w:basedOn w:val="Normlnodsazen1"/>
    <w:rsid w:val="006945AD"/>
    <w:pPr>
      <w:ind w:left="1134" w:hanging="425"/>
    </w:pPr>
  </w:style>
  <w:style w:type="paragraph" w:customStyle="1" w:styleId="Normlnodsazen3">
    <w:name w:val="Normální odsazený 3"/>
    <w:basedOn w:val="Normlnodsazen2"/>
    <w:rsid w:val="006945AD"/>
    <w:pPr>
      <w:ind w:left="1559"/>
    </w:pPr>
    <w:rPr>
      <w:color w:val="000000"/>
    </w:rPr>
  </w:style>
  <w:style w:type="paragraph" w:customStyle="1" w:styleId="TableTitle">
    <w:name w:val="Table Title"/>
    <w:basedOn w:val="Normln"/>
    <w:next w:val="Normln"/>
    <w:rsid w:val="006945AD"/>
    <w:pPr>
      <w:spacing w:before="120" w:after="120"/>
      <w:jc w:val="center"/>
    </w:pPr>
    <w:rPr>
      <w:b/>
      <w:szCs w:val="20"/>
      <w:lang w:eastAsia="zh-CN"/>
    </w:rPr>
  </w:style>
  <w:style w:type="paragraph" w:customStyle="1" w:styleId="FootnoteText1">
    <w:name w:val="Footnote Text1"/>
    <w:basedOn w:val="Normln"/>
    <w:rsid w:val="006945AD"/>
    <w:pPr>
      <w:widowControl w:val="0"/>
    </w:pPr>
    <w:rPr>
      <w:sz w:val="20"/>
      <w:szCs w:val="20"/>
      <w:lang w:val="en-GB" w:eastAsia="zh-CN"/>
    </w:rPr>
  </w:style>
  <w:style w:type="paragraph" w:customStyle="1" w:styleId="BodyText21">
    <w:name w:val="Body Text 21"/>
    <w:basedOn w:val="Normln"/>
    <w:rsid w:val="006945AD"/>
    <w:pPr>
      <w:spacing w:line="360" w:lineRule="auto"/>
      <w:jc w:val="both"/>
    </w:pPr>
    <w:rPr>
      <w:rFonts w:ascii="Arial" w:hAnsi="Arial" w:cs="Arial"/>
      <w:sz w:val="22"/>
      <w:szCs w:val="20"/>
      <w:lang w:eastAsia="zh-CN"/>
    </w:rPr>
  </w:style>
  <w:style w:type="paragraph" w:customStyle="1" w:styleId="Nadpis1Arial">
    <w:name w:val="Nadpis 1 Arial"/>
    <w:basedOn w:val="Nadpis1"/>
    <w:rsid w:val="006945AD"/>
    <w:pPr>
      <w:keepLines w:val="0"/>
      <w:widowControl w:val="0"/>
      <w:numPr>
        <w:numId w:val="16"/>
      </w:numPr>
      <w:tabs>
        <w:tab w:val="left" w:pos="0"/>
      </w:tabs>
      <w:spacing w:before="0" w:line="240" w:lineRule="auto"/>
      <w:ind w:left="360" w:hanging="360"/>
    </w:pPr>
    <w:rPr>
      <w:rFonts w:ascii="Arial" w:eastAsia="Times New Roman" w:hAnsi="Arial" w:cs="Arial"/>
      <w:b/>
      <w:bCs/>
      <w:color w:val="auto"/>
      <w:sz w:val="36"/>
      <w:szCs w:val="24"/>
      <w:lang w:eastAsia="zh-CN"/>
    </w:rPr>
  </w:style>
  <w:style w:type="paragraph" w:customStyle="1" w:styleId="ManualNumPar1">
    <w:name w:val="Manual NumPar 1"/>
    <w:basedOn w:val="Normln"/>
    <w:next w:val="Text1"/>
    <w:rsid w:val="006945AD"/>
    <w:pPr>
      <w:spacing w:before="120" w:after="120" w:line="360" w:lineRule="auto"/>
      <w:ind w:left="850" w:hanging="850"/>
    </w:pPr>
    <w:rPr>
      <w:szCs w:val="20"/>
      <w:lang w:eastAsia="zh-CN"/>
    </w:rPr>
  </w:style>
  <w:style w:type="paragraph" w:customStyle="1" w:styleId="Titulek1">
    <w:name w:val="Titulek1"/>
    <w:basedOn w:val="Normln"/>
    <w:next w:val="Normln"/>
    <w:rsid w:val="006945AD"/>
    <w:pPr>
      <w:ind w:left="709"/>
    </w:pPr>
    <w:rPr>
      <w:b/>
      <w:bCs/>
      <w:sz w:val="20"/>
      <w:szCs w:val="20"/>
      <w:lang w:eastAsia="zh-CN"/>
    </w:rPr>
  </w:style>
  <w:style w:type="paragraph" w:customStyle="1" w:styleId="Textpoznpodarou1">
    <w:name w:val="Text pozn. pod čarou1"/>
    <w:basedOn w:val="Normln"/>
    <w:rsid w:val="006945AD"/>
    <w:pPr>
      <w:widowControl w:val="0"/>
    </w:pPr>
    <w:rPr>
      <w:sz w:val="20"/>
      <w:szCs w:val="20"/>
      <w:lang w:val="en-GB" w:eastAsia="zh-CN"/>
    </w:rPr>
  </w:style>
  <w:style w:type="paragraph" w:customStyle="1" w:styleId="Normal1">
    <w:name w:val="Normal1"/>
    <w:rsid w:val="006945AD"/>
    <w:rPr>
      <w:rFonts w:ascii="EUAlbertina" w:hAnsi="EUAlbertina" w:cs="EUAlbertina"/>
      <w:color w:val="000000"/>
      <w:sz w:val="24"/>
      <w:szCs w:val="24"/>
      <w:lang w:eastAsia="zh-CN"/>
    </w:rPr>
  </w:style>
  <w:style w:type="paragraph" w:customStyle="1" w:styleId="Zkladntextodsazen32">
    <w:name w:val="Základní text odsazený 32"/>
    <w:basedOn w:val="Normln"/>
    <w:rsid w:val="006945AD"/>
    <w:pPr>
      <w:spacing w:after="120"/>
      <w:ind w:left="283"/>
    </w:pPr>
    <w:rPr>
      <w:sz w:val="16"/>
      <w:szCs w:val="16"/>
      <w:lang w:eastAsia="zh-CN"/>
    </w:rPr>
  </w:style>
  <w:style w:type="paragraph" w:customStyle="1" w:styleId="FootnoteText11">
    <w:name w:val="Footnote Text11"/>
    <w:basedOn w:val="Normln"/>
    <w:rsid w:val="006945AD"/>
    <w:pPr>
      <w:widowControl w:val="0"/>
    </w:pPr>
    <w:rPr>
      <w:sz w:val="20"/>
      <w:szCs w:val="20"/>
      <w:lang w:val="en-GB" w:eastAsia="zh-CN"/>
    </w:rPr>
  </w:style>
  <w:style w:type="paragraph" w:customStyle="1" w:styleId="BodyText211">
    <w:name w:val="Body Text 211"/>
    <w:basedOn w:val="Normln"/>
    <w:rsid w:val="006945AD"/>
    <w:pPr>
      <w:spacing w:line="360" w:lineRule="auto"/>
      <w:jc w:val="both"/>
    </w:pPr>
    <w:rPr>
      <w:rFonts w:ascii="Arial" w:hAnsi="Arial" w:cs="Arial"/>
      <w:sz w:val="22"/>
      <w:szCs w:val="20"/>
      <w:lang w:eastAsia="zh-CN"/>
    </w:rPr>
  </w:style>
  <w:style w:type="paragraph" w:customStyle="1" w:styleId="ListParagraph11">
    <w:name w:val="List Paragraph11"/>
    <w:basedOn w:val="Normln"/>
    <w:rsid w:val="006945AD"/>
    <w:pPr>
      <w:ind w:left="720"/>
    </w:pPr>
    <w:rPr>
      <w:lang w:eastAsia="zh-CN"/>
    </w:rPr>
  </w:style>
  <w:style w:type="paragraph" w:customStyle="1" w:styleId="Zkladntext23">
    <w:name w:val="Základní text 23"/>
    <w:basedOn w:val="Normln"/>
    <w:rsid w:val="006945AD"/>
    <w:pPr>
      <w:spacing w:line="360" w:lineRule="auto"/>
      <w:jc w:val="both"/>
    </w:pPr>
    <w:rPr>
      <w:rFonts w:ascii="Arial" w:hAnsi="Arial" w:cs="Arial"/>
      <w:sz w:val="22"/>
      <w:szCs w:val="20"/>
      <w:lang w:eastAsia="zh-CN"/>
    </w:rPr>
  </w:style>
  <w:style w:type="paragraph" w:customStyle="1" w:styleId="Odstavecseseznamem2">
    <w:name w:val="Odstavec se seznamem2"/>
    <w:basedOn w:val="Normln"/>
    <w:rsid w:val="006945AD"/>
    <w:pPr>
      <w:ind w:left="720"/>
    </w:pPr>
    <w:rPr>
      <w:lang w:eastAsia="zh-CN"/>
    </w:rPr>
  </w:style>
  <w:style w:type="paragraph" w:customStyle="1" w:styleId="Textpoznpodarou11">
    <w:name w:val="Text pozn. pod čarou11"/>
    <w:basedOn w:val="Normln"/>
    <w:rsid w:val="006945AD"/>
    <w:pPr>
      <w:widowControl w:val="0"/>
    </w:pPr>
    <w:rPr>
      <w:sz w:val="20"/>
      <w:szCs w:val="20"/>
      <w:lang w:val="en-GB" w:eastAsia="zh-CN"/>
    </w:rPr>
  </w:style>
  <w:style w:type="paragraph" w:customStyle="1" w:styleId="Odstavecseseznamem11">
    <w:name w:val="Odstavec se seznamem11"/>
    <w:basedOn w:val="Normln"/>
    <w:rsid w:val="006945AD"/>
    <w:pPr>
      <w:ind w:left="720"/>
    </w:pPr>
    <w:rPr>
      <w:lang w:eastAsia="zh-CN"/>
    </w:rPr>
  </w:style>
  <w:style w:type="paragraph" w:customStyle="1" w:styleId="NormalCentered">
    <w:name w:val="Normal Centered"/>
    <w:basedOn w:val="Normln"/>
    <w:rsid w:val="006945AD"/>
    <w:pPr>
      <w:spacing w:before="120" w:after="120" w:line="360" w:lineRule="auto"/>
      <w:jc w:val="center"/>
    </w:pPr>
    <w:rPr>
      <w:szCs w:val="20"/>
      <w:lang w:eastAsia="zh-CN"/>
    </w:rPr>
  </w:style>
  <w:style w:type="paragraph" w:customStyle="1" w:styleId="NormalRight">
    <w:name w:val="Normal Right"/>
    <w:basedOn w:val="Normln"/>
    <w:rsid w:val="006945AD"/>
    <w:pPr>
      <w:spacing w:before="120" w:after="120" w:line="360" w:lineRule="auto"/>
      <w:jc w:val="right"/>
    </w:pPr>
    <w:rPr>
      <w:szCs w:val="20"/>
      <w:lang w:eastAsia="zh-CN"/>
    </w:rPr>
  </w:style>
  <w:style w:type="paragraph" w:customStyle="1" w:styleId="Obsahrmce">
    <w:name w:val="Obsah rámce"/>
    <w:basedOn w:val="Zkladntext"/>
    <w:rsid w:val="006945AD"/>
  </w:style>
  <w:style w:type="character" w:customStyle="1" w:styleId="pp-headline-item">
    <w:name w:val="pp-headline-item"/>
    <w:rsid w:val="006945AD"/>
    <w:rPr>
      <w:rFonts w:cs="Times New Roman"/>
    </w:rPr>
  </w:style>
  <w:style w:type="paragraph" w:customStyle="1" w:styleId="Rozvrendokumentu">
    <w:name w:val="Rozvržení dokumentu"/>
    <w:basedOn w:val="Normln"/>
    <w:link w:val="RozvrendokumentuChar1"/>
    <w:rsid w:val="006945AD"/>
    <w:rPr>
      <w:rFonts w:ascii="Tahoma" w:hAnsi="Tahoma" w:cs="Tahoma"/>
      <w:sz w:val="16"/>
      <w:szCs w:val="16"/>
      <w:lang w:eastAsia="zh-CN"/>
    </w:rPr>
  </w:style>
  <w:style w:type="character" w:customStyle="1" w:styleId="RozvrendokumentuChar1">
    <w:name w:val="Rozvržení dokumentu Char1"/>
    <w:link w:val="Rozvrendokumentu"/>
    <w:rsid w:val="006945AD"/>
    <w:rPr>
      <w:rFonts w:ascii="Tahoma" w:hAnsi="Tahoma" w:cs="Tahoma"/>
      <w:sz w:val="16"/>
      <w:szCs w:val="16"/>
      <w:lang w:eastAsia="zh-CN"/>
    </w:rPr>
  </w:style>
  <w:style w:type="paragraph" w:customStyle="1" w:styleId="Normln1">
    <w:name w:val="Normální1"/>
    <w:uiPriority w:val="99"/>
    <w:rsid w:val="006945AD"/>
    <w:rPr>
      <w:rFonts w:ascii="EUAlbertina" w:hAnsi="EUAlbertina" w:cs="EUAlbertina"/>
      <w:color w:val="000000"/>
      <w:sz w:val="24"/>
      <w:szCs w:val="24"/>
      <w:lang w:eastAsia="zh-CN"/>
    </w:rPr>
  </w:style>
  <w:style w:type="character" w:customStyle="1" w:styleId="TextvysvtlivekChar">
    <w:name w:val="Text vysvětlivek Char"/>
    <w:basedOn w:val="Standardnpsmoodstavce"/>
    <w:link w:val="Textvysvtlivek"/>
    <w:rsid w:val="006945AD"/>
    <w:rPr>
      <w:lang w:eastAsia="zh-CN"/>
    </w:rPr>
  </w:style>
  <w:style w:type="paragraph" w:styleId="Textvysvtlivek">
    <w:name w:val="endnote text"/>
    <w:basedOn w:val="Normln"/>
    <w:link w:val="TextvysvtlivekChar"/>
    <w:unhideWhenUsed/>
    <w:rsid w:val="006945AD"/>
    <w:rPr>
      <w:sz w:val="20"/>
      <w:szCs w:val="20"/>
      <w:lang w:eastAsia="zh-CN"/>
    </w:rPr>
  </w:style>
  <w:style w:type="character" w:customStyle="1" w:styleId="TextvysvtlivekChar1">
    <w:name w:val="Text vysvětlivek Char1"/>
    <w:basedOn w:val="Standardnpsmoodstavce"/>
    <w:rsid w:val="006945AD"/>
  </w:style>
  <w:style w:type="paragraph" w:customStyle="1" w:styleId="p">
    <w:name w:val="p"/>
    <w:rsid w:val="006945AD"/>
    <w:pPr>
      <w:widowControl w:val="0"/>
      <w:spacing w:after="40" w:line="40" w:lineRule="atLeast"/>
      <w:jc w:val="both"/>
    </w:pPr>
    <w:rPr>
      <w:rFonts w:ascii="Helvetica" w:hAnsi="Helvetica" w:cs="Helvetica"/>
      <w:color w:val="000000"/>
      <w:sz w:val="18"/>
      <w:szCs w:val="18"/>
      <w:lang w:eastAsia="cs-CZ"/>
    </w:rPr>
  </w:style>
  <w:style w:type="character" w:customStyle="1" w:styleId="Odkaznakoment2">
    <w:name w:val="Odkaz na komentář2"/>
    <w:rsid w:val="006945AD"/>
    <w:rPr>
      <w:rFonts w:cs="Times New Roman"/>
      <w:sz w:val="16"/>
    </w:rPr>
  </w:style>
  <w:style w:type="character" w:customStyle="1" w:styleId="TextkomenteChar1">
    <w:name w:val="Text komentáře Char1"/>
    <w:rsid w:val="006945AD"/>
    <w:rPr>
      <w:lang w:eastAsia="zh-CN"/>
    </w:rPr>
  </w:style>
  <w:style w:type="paragraph" w:styleId="Rozloendokumentu">
    <w:name w:val="Document Map"/>
    <w:basedOn w:val="Normln"/>
    <w:link w:val="RozloendokumentuChar1"/>
    <w:uiPriority w:val="99"/>
    <w:rsid w:val="006945AD"/>
    <w:rPr>
      <w:rFonts w:ascii="Tahoma" w:hAnsi="Tahoma" w:cs="Tahoma"/>
      <w:sz w:val="16"/>
      <w:szCs w:val="16"/>
      <w:lang w:eastAsia="zh-CN"/>
    </w:rPr>
  </w:style>
  <w:style w:type="character" w:customStyle="1" w:styleId="RozloendokumentuChar">
    <w:name w:val="Rozložení dokumentu Char"/>
    <w:basedOn w:val="Standardnpsmoodstavce"/>
    <w:rsid w:val="006945AD"/>
    <w:rPr>
      <w:rFonts w:ascii="Segoe UI" w:hAnsi="Segoe UI" w:cs="Segoe UI"/>
      <w:sz w:val="16"/>
      <w:szCs w:val="16"/>
    </w:rPr>
  </w:style>
  <w:style w:type="character" w:customStyle="1" w:styleId="RozloendokumentuChar1">
    <w:name w:val="Rozložení dokumentu Char1"/>
    <w:basedOn w:val="Standardnpsmoodstavce"/>
    <w:link w:val="Rozloendokumentu"/>
    <w:uiPriority w:val="99"/>
    <w:rsid w:val="006945AD"/>
    <w:rPr>
      <w:rFonts w:ascii="Tahoma" w:hAnsi="Tahoma" w:cs="Tahoma"/>
      <w:sz w:val="16"/>
      <w:szCs w:val="16"/>
      <w:lang w:eastAsia="zh-CN"/>
    </w:rPr>
  </w:style>
  <w:style w:type="character" w:customStyle="1" w:styleId="RozvrendokumentuChar">
    <w:name w:val="Rozvržení dokumentu Char"/>
    <w:rsid w:val="006945AD"/>
    <w:rPr>
      <w:rFonts w:ascii="Tahoma" w:hAnsi="Tahoma"/>
      <w:sz w:val="16"/>
      <w:lang w:eastAsia="zh-CN"/>
    </w:rPr>
  </w:style>
  <w:style w:type="numbering" w:customStyle="1" w:styleId="Bezseznamu1">
    <w:name w:val="Bez seznamu1"/>
    <w:next w:val="Bezseznamu"/>
    <w:uiPriority w:val="99"/>
    <w:semiHidden/>
    <w:unhideWhenUsed/>
    <w:rsid w:val="006945AD"/>
  </w:style>
  <w:style w:type="character" w:customStyle="1" w:styleId="WW8Num4z0">
    <w:name w:val="WW8Num4z0"/>
    <w:rsid w:val="006945AD"/>
    <w:rPr>
      <w:rFonts w:cs="Times New Roman"/>
    </w:rPr>
  </w:style>
  <w:style w:type="character" w:customStyle="1" w:styleId="WW8Num7z0">
    <w:name w:val="WW8Num7z0"/>
    <w:rsid w:val="006945AD"/>
    <w:rPr>
      <w:rFonts w:cs="Times New Roman"/>
    </w:rPr>
  </w:style>
  <w:style w:type="character" w:customStyle="1" w:styleId="WW8Num8z0">
    <w:name w:val="WW8Num8z0"/>
    <w:rsid w:val="006945AD"/>
    <w:rPr>
      <w:rFonts w:cs="Times New Roman"/>
    </w:rPr>
  </w:style>
  <w:style w:type="character" w:customStyle="1" w:styleId="WW8Num9z0">
    <w:name w:val="WW8Num9z0"/>
    <w:rsid w:val="006945AD"/>
    <w:rPr>
      <w:rFonts w:cs="Times New Roman"/>
    </w:rPr>
  </w:style>
  <w:style w:type="character" w:customStyle="1" w:styleId="WW8Num10z0">
    <w:name w:val="WW8Num10z0"/>
    <w:rsid w:val="006945AD"/>
    <w:rPr>
      <w:rFonts w:cs="Times New Roman"/>
    </w:rPr>
  </w:style>
  <w:style w:type="character" w:customStyle="1" w:styleId="WW8Num11z1">
    <w:name w:val="WW8Num11z1"/>
    <w:rsid w:val="006945AD"/>
    <w:rPr>
      <w:rFonts w:cs="Times New Roman"/>
    </w:rPr>
  </w:style>
  <w:style w:type="character" w:customStyle="1" w:styleId="WW8Num16z0">
    <w:name w:val="WW8Num16z0"/>
    <w:rsid w:val="006945AD"/>
    <w:rPr>
      <w:rFonts w:cs="Times New Roman"/>
    </w:rPr>
  </w:style>
  <w:style w:type="character" w:customStyle="1" w:styleId="WW8Num17z0">
    <w:name w:val="WW8Num17z0"/>
    <w:rsid w:val="006945AD"/>
    <w:rPr>
      <w:rFonts w:cs="Times New Roman"/>
    </w:rPr>
  </w:style>
  <w:style w:type="character" w:customStyle="1" w:styleId="WW8Num18z0">
    <w:name w:val="WW8Num18z0"/>
    <w:rsid w:val="006945AD"/>
    <w:rPr>
      <w:rFonts w:cs="Times New Roman"/>
    </w:rPr>
  </w:style>
  <w:style w:type="character" w:customStyle="1" w:styleId="WW8Num19z0">
    <w:name w:val="WW8Num19z0"/>
    <w:rsid w:val="006945AD"/>
    <w:rPr>
      <w:rFonts w:cs="Times New Roman"/>
    </w:rPr>
  </w:style>
  <w:style w:type="character" w:customStyle="1" w:styleId="WW8Num20z0">
    <w:name w:val="WW8Num20z0"/>
    <w:rsid w:val="006945AD"/>
    <w:rPr>
      <w:rFonts w:cs="Times New Roman"/>
      <w:color w:val="auto"/>
    </w:rPr>
  </w:style>
  <w:style w:type="character" w:customStyle="1" w:styleId="WW8Num22z0">
    <w:name w:val="WW8Num22z0"/>
    <w:rsid w:val="006945AD"/>
    <w:rPr>
      <w:rFonts w:cs="Times New Roman"/>
    </w:rPr>
  </w:style>
  <w:style w:type="character" w:customStyle="1" w:styleId="WW8Num24z0">
    <w:name w:val="WW8Num24z0"/>
    <w:rsid w:val="006945AD"/>
    <w:rPr>
      <w:rFonts w:cs="Times New Roman"/>
    </w:rPr>
  </w:style>
  <w:style w:type="character" w:customStyle="1" w:styleId="WW8Num26z2">
    <w:name w:val="WW8Num26z2"/>
    <w:rsid w:val="006945AD"/>
    <w:rPr>
      <w:rFonts w:cs="Times New Roman"/>
    </w:rPr>
  </w:style>
  <w:style w:type="character" w:customStyle="1" w:styleId="Standardnpsmoodstavce12">
    <w:name w:val="Standardní písmo odstavce12"/>
    <w:rsid w:val="006945AD"/>
  </w:style>
  <w:style w:type="character" w:customStyle="1" w:styleId="WW8Num1z0">
    <w:name w:val="WW8Num1z0"/>
    <w:rsid w:val="006945AD"/>
    <w:rPr>
      <w:rFonts w:cs="Times New Roman"/>
    </w:rPr>
  </w:style>
  <w:style w:type="character" w:customStyle="1" w:styleId="WW8Num12z0">
    <w:name w:val="WW8Num12z0"/>
    <w:rsid w:val="006945AD"/>
    <w:rPr>
      <w:rFonts w:cs="Times New Roman"/>
      <w:b w:val="0"/>
      <w:i w:val="0"/>
      <w:strike w:val="0"/>
    </w:rPr>
  </w:style>
  <w:style w:type="character" w:customStyle="1" w:styleId="WW8Num20z1">
    <w:name w:val="WW8Num20z1"/>
    <w:rsid w:val="006945AD"/>
    <w:rPr>
      <w:rFonts w:cs="Times New Roman"/>
      <w:b/>
    </w:rPr>
  </w:style>
  <w:style w:type="character" w:customStyle="1" w:styleId="WW8Num27z0">
    <w:name w:val="WW8Num27z0"/>
    <w:rsid w:val="006945AD"/>
    <w:rPr>
      <w:rFonts w:cs="Times New Roman"/>
    </w:rPr>
  </w:style>
  <w:style w:type="character" w:customStyle="1" w:styleId="WW8Num28z0">
    <w:name w:val="WW8Num28z0"/>
    <w:rsid w:val="006945AD"/>
    <w:rPr>
      <w:rFonts w:cs="Times New Roman"/>
    </w:rPr>
  </w:style>
  <w:style w:type="character" w:customStyle="1" w:styleId="WW8Num29z0">
    <w:name w:val="WW8Num29z0"/>
    <w:rsid w:val="006945AD"/>
    <w:rPr>
      <w:rFonts w:cs="Times New Roman"/>
    </w:rPr>
  </w:style>
  <w:style w:type="character" w:customStyle="1" w:styleId="WW8Num31z0">
    <w:name w:val="WW8Num31z0"/>
    <w:rsid w:val="006945AD"/>
    <w:rPr>
      <w:rFonts w:cs="Times New Roman"/>
    </w:rPr>
  </w:style>
  <w:style w:type="character" w:customStyle="1" w:styleId="WW8Num32z0">
    <w:name w:val="WW8Num32z0"/>
    <w:rsid w:val="006945AD"/>
    <w:rPr>
      <w:rFonts w:cs="Times New Roman"/>
    </w:rPr>
  </w:style>
  <w:style w:type="character" w:customStyle="1" w:styleId="WW8Num34z0">
    <w:name w:val="WW8Num34z0"/>
    <w:rsid w:val="006945AD"/>
    <w:rPr>
      <w:rFonts w:cs="Times New Roman"/>
    </w:rPr>
  </w:style>
  <w:style w:type="character" w:customStyle="1" w:styleId="WW8Num36z0">
    <w:name w:val="WW8Num36z0"/>
    <w:rsid w:val="006945AD"/>
    <w:rPr>
      <w:rFonts w:cs="Times New Roman"/>
    </w:rPr>
  </w:style>
  <w:style w:type="character" w:customStyle="1" w:styleId="WW8Num37z0">
    <w:name w:val="WW8Num37z0"/>
    <w:rsid w:val="006945AD"/>
    <w:rPr>
      <w:rFonts w:cs="Times New Roman"/>
      <w:sz w:val="20"/>
      <w:szCs w:val="20"/>
    </w:rPr>
  </w:style>
  <w:style w:type="character" w:customStyle="1" w:styleId="WW8Num38z0">
    <w:name w:val="WW8Num38z0"/>
    <w:rsid w:val="006945AD"/>
    <w:rPr>
      <w:rFonts w:cs="Times New Roman"/>
    </w:rPr>
  </w:style>
  <w:style w:type="character" w:customStyle="1" w:styleId="WW8Num39z0">
    <w:name w:val="WW8Num39z0"/>
    <w:rsid w:val="006945AD"/>
    <w:rPr>
      <w:rFonts w:cs="Times New Roman"/>
    </w:rPr>
  </w:style>
  <w:style w:type="character" w:customStyle="1" w:styleId="WW8Num41z0">
    <w:name w:val="WW8Num41z0"/>
    <w:rsid w:val="006945AD"/>
    <w:rPr>
      <w:rFonts w:cs="Times New Roman"/>
    </w:rPr>
  </w:style>
  <w:style w:type="character" w:customStyle="1" w:styleId="WW8Num43z0">
    <w:name w:val="WW8Num43z0"/>
    <w:rsid w:val="006945AD"/>
    <w:rPr>
      <w:rFonts w:cs="Times New Roman"/>
    </w:rPr>
  </w:style>
  <w:style w:type="character" w:customStyle="1" w:styleId="WW8Num44z1">
    <w:name w:val="WW8Num44z1"/>
    <w:rsid w:val="006945AD"/>
    <w:rPr>
      <w:rFonts w:cs="Times New Roman"/>
      <w:b/>
    </w:rPr>
  </w:style>
  <w:style w:type="character" w:customStyle="1" w:styleId="WW8Num47z0">
    <w:name w:val="WW8Num47z0"/>
    <w:rsid w:val="006945AD"/>
    <w:rPr>
      <w:rFonts w:cs="Times New Roman"/>
    </w:rPr>
  </w:style>
  <w:style w:type="character" w:customStyle="1" w:styleId="WW8Num49z0">
    <w:name w:val="WW8Num49z0"/>
    <w:rsid w:val="006945AD"/>
    <w:rPr>
      <w:rFonts w:cs="Times New Roman"/>
    </w:rPr>
  </w:style>
  <w:style w:type="character" w:customStyle="1" w:styleId="WW8Num54z0">
    <w:name w:val="WW8Num54z0"/>
    <w:rsid w:val="006945AD"/>
    <w:rPr>
      <w:rFonts w:cs="Times New Roman"/>
    </w:rPr>
  </w:style>
  <w:style w:type="character" w:customStyle="1" w:styleId="WW8Num56z0">
    <w:name w:val="WW8Num56z0"/>
    <w:rsid w:val="006945AD"/>
    <w:rPr>
      <w:b w:val="0"/>
      <w:sz w:val="20"/>
      <w:szCs w:val="20"/>
    </w:rPr>
  </w:style>
  <w:style w:type="character" w:customStyle="1" w:styleId="WW8Num59z1">
    <w:name w:val="WW8Num59z1"/>
    <w:rsid w:val="006945AD"/>
    <w:rPr>
      <w:rFonts w:cs="Times New Roman"/>
    </w:rPr>
  </w:style>
  <w:style w:type="character" w:customStyle="1" w:styleId="WW8Num61z0">
    <w:name w:val="WW8Num61z0"/>
    <w:rsid w:val="006945AD"/>
    <w:rPr>
      <w:rFonts w:cs="Times New Roman"/>
    </w:rPr>
  </w:style>
  <w:style w:type="character" w:customStyle="1" w:styleId="WW8Num63z0">
    <w:name w:val="WW8Num63z0"/>
    <w:rsid w:val="006945AD"/>
    <w:rPr>
      <w:rFonts w:cs="Times New Roman"/>
    </w:rPr>
  </w:style>
  <w:style w:type="character" w:customStyle="1" w:styleId="WW8Num66z0">
    <w:name w:val="WW8Num66z0"/>
    <w:rsid w:val="006945AD"/>
    <w:rPr>
      <w:rFonts w:cs="Times New Roman"/>
    </w:rPr>
  </w:style>
  <w:style w:type="character" w:customStyle="1" w:styleId="WW8Num71z0">
    <w:name w:val="WW8Num71z0"/>
    <w:rsid w:val="006945AD"/>
    <w:rPr>
      <w:rFonts w:cs="Times New Roman"/>
    </w:rPr>
  </w:style>
  <w:style w:type="character" w:customStyle="1" w:styleId="WW8Num72z0">
    <w:name w:val="WW8Num72z0"/>
    <w:rsid w:val="006945AD"/>
    <w:rPr>
      <w:rFonts w:cs="Times New Roman"/>
    </w:rPr>
  </w:style>
  <w:style w:type="character" w:customStyle="1" w:styleId="WW8Num73z0">
    <w:name w:val="WW8Num73z0"/>
    <w:rsid w:val="006945AD"/>
    <w:rPr>
      <w:rFonts w:cs="Times New Roman"/>
    </w:rPr>
  </w:style>
  <w:style w:type="character" w:customStyle="1" w:styleId="WW8Num76z0">
    <w:name w:val="WW8Num76z0"/>
    <w:rsid w:val="006945AD"/>
    <w:rPr>
      <w:rFonts w:cs="Times New Roman"/>
    </w:rPr>
  </w:style>
  <w:style w:type="character" w:customStyle="1" w:styleId="WW8Num78z0">
    <w:name w:val="WW8Num78z0"/>
    <w:rsid w:val="006945AD"/>
    <w:rPr>
      <w:rFonts w:cs="Times New Roman"/>
    </w:rPr>
  </w:style>
  <w:style w:type="character" w:customStyle="1" w:styleId="WW8Num79z0">
    <w:name w:val="WW8Num79z0"/>
    <w:rsid w:val="006945AD"/>
    <w:rPr>
      <w:rFonts w:cs="Times New Roman"/>
    </w:rPr>
  </w:style>
  <w:style w:type="character" w:customStyle="1" w:styleId="WW8Num80z0">
    <w:name w:val="WW8Num80z0"/>
    <w:rsid w:val="006945AD"/>
    <w:rPr>
      <w:rFonts w:cs="Times New Roman"/>
    </w:rPr>
  </w:style>
  <w:style w:type="character" w:customStyle="1" w:styleId="WW8Num81z0">
    <w:name w:val="WW8Num81z0"/>
    <w:rsid w:val="006945AD"/>
    <w:rPr>
      <w:rFonts w:cs="Times New Roman"/>
    </w:rPr>
  </w:style>
  <w:style w:type="character" w:customStyle="1" w:styleId="WW8Num83z0">
    <w:name w:val="WW8Num83z0"/>
    <w:rsid w:val="006945AD"/>
    <w:rPr>
      <w:rFonts w:cs="Times New Roman"/>
    </w:rPr>
  </w:style>
  <w:style w:type="character" w:customStyle="1" w:styleId="WW8Num83z1">
    <w:name w:val="WW8Num83z1"/>
    <w:rsid w:val="006945AD"/>
    <w:rPr>
      <w:rFonts w:ascii="Wingdings" w:eastAsia="Times New Roman" w:hAnsi="Wingdings" w:cs="Wingdings"/>
    </w:rPr>
  </w:style>
  <w:style w:type="character" w:customStyle="1" w:styleId="WW8Num84z0">
    <w:name w:val="WW8Num84z0"/>
    <w:rsid w:val="006945AD"/>
    <w:rPr>
      <w:rFonts w:cs="Times New Roman"/>
    </w:rPr>
  </w:style>
  <w:style w:type="character" w:customStyle="1" w:styleId="WW8Num85z0">
    <w:name w:val="WW8Num85z0"/>
    <w:rsid w:val="006945AD"/>
    <w:rPr>
      <w:rFonts w:cs="Times New Roman"/>
    </w:rPr>
  </w:style>
  <w:style w:type="character" w:customStyle="1" w:styleId="WW8Num86z0">
    <w:name w:val="WW8Num86z0"/>
    <w:rsid w:val="006945AD"/>
    <w:rPr>
      <w:rFonts w:ascii="Times New Roman" w:hAnsi="Times New Roman" w:cs="Times New Roman"/>
    </w:rPr>
  </w:style>
  <w:style w:type="character" w:customStyle="1" w:styleId="WW8Num87z0">
    <w:name w:val="WW8Num87z0"/>
    <w:rsid w:val="006945AD"/>
    <w:rPr>
      <w:rFonts w:cs="Times New Roman"/>
    </w:rPr>
  </w:style>
  <w:style w:type="character" w:customStyle="1" w:styleId="WW8Num88z0">
    <w:name w:val="WW8Num88z0"/>
    <w:rsid w:val="006945AD"/>
    <w:rPr>
      <w:rFonts w:cs="Times New Roman"/>
    </w:rPr>
  </w:style>
  <w:style w:type="character" w:customStyle="1" w:styleId="WW8Num89z0">
    <w:name w:val="WW8Num89z0"/>
    <w:rsid w:val="006945AD"/>
    <w:rPr>
      <w:rFonts w:cs="Times New Roman"/>
    </w:rPr>
  </w:style>
  <w:style w:type="character" w:customStyle="1" w:styleId="WW8Num90z0">
    <w:name w:val="WW8Num90z0"/>
    <w:rsid w:val="006945AD"/>
    <w:rPr>
      <w:rFonts w:cs="Times New Roman"/>
    </w:rPr>
  </w:style>
  <w:style w:type="character" w:customStyle="1" w:styleId="WW8Num91z0">
    <w:name w:val="WW8Num91z0"/>
    <w:rsid w:val="006945AD"/>
    <w:rPr>
      <w:rFonts w:cs="Times New Roman"/>
    </w:rPr>
  </w:style>
  <w:style w:type="character" w:customStyle="1" w:styleId="WW8Num92z0">
    <w:name w:val="WW8Num92z0"/>
    <w:rsid w:val="006945AD"/>
    <w:rPr>
      <w:rFonts w:cs="Times New Roman"/>
    </w:rPr>
  </w:style>
  <w:style w:type="character" w:customStyle="1" w:styleId="WW8Num93z0">
    <w:name w:val="WW8Num93z0"/>
    <w:rsid w:val="006945AD"/>
    <w:rPr>
      <w:rFonts w:cs="Times New Roman"/>
    </w:rPr>
  </w:style>
  <w:style w:type="character" w:customStyle="1" w:styleId="WW8Num95z0">
    <w:name w:val="WW8Num95z0"/>
    <w:rsid w:val="006945AD"/>
    <w:rPr>
      <w:rFonts w:cs="Times New Roman"/>
    </w:rPr>
  </w:style>
  <w:style w:type="character" w:customStyle="1" w:styleId="WW8Num98z0">
    <w:name w:val="WW8Num98z0"/>
    <w:rsid w:val="006945AD"/>
    <w:rPr>
      <w:rFonts w:cs="Times New Roman"/>
    </w:rPr>
  </w:style>
  <w:style w:type="character" w:customStyle="1" w:styleId="WW8Num99z0">
    <w:name w:val="WW8Num99z0"/>
    <w:rsid w:val="006945AD"/>
    <w:rPr>
      <w:rFonts w:cs="Times New Roman"/>
    </w:rPr>
  </w:style>
  <w:style w:type="character" w:customStyle="1" w:styleId="WW8Num100z0">
    <w:name w:val="WW8Num100z0"/>
    <w:rsid w:val="006945AD"/>
    <w:rPr>
      <w:rFonts w:cs="Times New Roman"/>
    </w:rPr>
  </w:style>
  <w:style w:type="character" w:customStyle="1" w:styleId="WW8Num102z0">
    <w:name w:val="WW8Num102z0"/>
    <w:rsid w:val="006945AD"/>
    <w:rPr>
      <w:rFonts w:cs="Times New Roman"/>
    </w:rPr>
  </w:style>
  <w:style w:type="character" w:customStyle="1" w:styleId="WW8Num103z1">
    <w:name w:val="WW8Num103z1"/>
    <w:rsid w:val="006945AD"/>
    <w:rPr>
      <w:rFonts w:ascii="Wingdings" w:eastAsia="Times New Roman" w:hAnsi="Wingdings" w:cs="Wingdings"/>
    </w:rPr>
  </w:style>
  <w:style w:type="character" w:customStyle="1" w:styleId="WW8Num104z0">
    <w:name w:val="WW8Num104z0"/>
    <w:rsid w:val="006945AD"/>
    <w:rPr>
      <w:rFonts w:cs="Times New Roman"/>
    </w:rPr>
  </w:style>
  <w:style w:type="character" w:customStyle="1" w:styleId="WW8Num105z0">
    <w:name w:val="WW8Num105z0"/>
    <w:rsid w:val="006945AD"/>
    <w:rPr>
      <w:rFonts w:cs="Times New Roman"/>
    </w:rPr>
  </w:style>
  <w:style w:type="character" w:customStyle="1" w:styleId="WW8Num108z0">
    <w:name w:val="WW8Num108z0"/>
    <w:rsid w:val="006945AD"/>
    <w:rPr>
      <w:rFonts w:cs="Times New Roman"/>
    </w:rPr>
  </w:style>
  <w:style w:type="character" w:customStyle="1" w:styleId="WW8Num109z0">
    <w:name w:val="WW8Num109z0"/>
    <w:rsid w:val="006945AD"/>
    <w:rPr>
      <w:rFonts w:cs="Times New Roman"/>
    </w:rPr>
  </w:style>
  <w:style w:type="character" w:customStyle="1" w:styleId="WW8Num110z0">
    <w:name w:val="WW8Num110z0"/>
    <w:rsid w:val="006945AD"/>
    <w:rPr>
      <w:rFonts w:cs="Times New Roman"/>
    </w:rPr>
  </w:style>
  <w:style w:type="character" w:customStyle="1" w:styleId="WW8Num112z0">
    <w:name w:val="WW8Num112z0"/>
    <w:rsid w:val="006945AD"/>
    <w:rPr>
      <w:rFonts w:cs="Times New Roman"/>
    </w:rPr>
  </w:style>
  <w:style w:type="character" w:customStyle="1" w:styleId="WW8Num113z0">
    <w:name w:val="WW8Num113z0"/>
    <w:rsid w:val="006945AD"/>
    <w:rPr>
      <w:rFonts w:cs="Times New Roman"/>
    </w:rPr>
  </w:style>
  <w:style w:type="character" w:customStyle="1" w:styleId="WW8Num114z0">
    <w:name w:val="WW8Num114z0"/>
    <w:rsid w:val="006945AD"/>
    <w:rPr>
      <w:rFonts w:cs="Times New Roman"/>
    </w:rPr>
  </w:style>
  <w:style w:type="character" w:customStyle="1" w:styleId="WW8Num114z2">
    <w:name w:val="WW8Num114z2"/>
    <w:rsid w:val="006945AD"/>
    <w:rPr>
      <w:rFonts w:ascii="Wingdings" w:eastAsia="Times New Roman" w:hAnsi="Wingdings" w:cs="Times New Roman"/>
    </w:rPr>
  </w:style>
  <w:style w:type="character" w:customStyle="1" w:styleId="WW8Num114z3">
    <w:name w:val="WW8Num114z3"/>
    <w:rsid w:val="006945AD"/>
    <w:rPr>
      <w:b w:val="0"/>
      <w:sz w:val="20"/>
    </w:rPr>
  </w:style>
  <w:style w:type="character" w:customStyle="1" w:styleId="WW8Num116z0">
    <w:name w:val="WW8Num116z0"/>
    <w:rsid w:val="006945AD"/>
    <w:rPr>
      <w:rFonts w:cs="Times New Roman"/>
    </w:rPr>
  </w:style>
  <w:style w:type="character" w:customStyle="1" w:styleId="WW8Num117z0">
    <w:name w:val="WW8Num117z0"/>
    <w:rsid w:val="006945AD"/>
    <w:rPr>
      <w:rFonts w:cs="Times New Roman"/>
    </w:rPr>
  </w:style>
  <w:style w:type="character" w:customStyle="1" w:styleId="WW8Num119z0">
    <w:name w:val="WW8Num119z0"/>
    <w:rsid w:val="006945AD"/>
    <w:rPr>
      <w:rFonts w:cs="Times New Roman"/>
    </w:rPr>
  </w:style>
  <w:style w:type="character" w:customStyle="1" w:styleId="WW8Num119z2">
    <w:name w:val="WW8Num119z2"/>
    <w:rsid w:val="006945AD"/>
    <w:rPr>
      <w:rFonts w:cs="Times New Roman"/>
      <w:b/>
    </w:rPr>
  </w:style>
  <w:style w:type="character" w:customStyle="1" w:styleId="WW8Num120z0">
    <w:name w:val="WW8Num120z0"/>
    <w:rsid w:val="006945AD"/>
    <w:rPr>
      <w:rFonts w:cs="Times New Roman"/>
    </w:rPr>
  </w:style>
  <w:style w:type="character" w:customStyle="1" w:styleId="WW8Num122z1">
    <w:name w:val="WW8Num122z1"/>
    <w:rsid w:val="006945AD"/>
    <w:rPr>
      <w:rFonts w:ascii="Courier New" w:hAnsi="Courier New" w:cs="Courier New"/>
    </w:rPr>
  </w:style>
  <w:style w:type="character" w:customStyle="1" w:styleId="WW8Num122z2">
    <w:name w:val="WW8Num122z2"/>
    <w:rsid w:val="006945AD"/>
    <w:rPr>
      <w:rFonts w:ascii="Wingdings" w:hAnsi="Wingdings" w:cs="Wingdings"/>
    </w:rPr>
  </w:style>
  <w:style w:type="character" w:customStyle="1" w:styleId="WW8Num122z3">
    <w:name w:val="WW8Num122z3"/>
    <w:rsid w:val="006945AD"/>
    <w:rPr>
      <w:rFonts w:ascii="Symbol" w:hAnsi="Symbol" w:cs="Symbol"/>
    </w:rPr>
  </w:style>
  <w:style w:type="character" w:customStyle="1" w:styleId="WW8Num123z0">
    <w:name w:val="WW8Num123z0"/>
    <w:rsid w:val="006945AD"/>
    <w:rPr>
      <w:rFonts w:cs="Times New Roman"/>
    </w:rPr>
  </w:style>
  <w:style w:type="character" w:customStyle="1" w:styleId="WW8Num124z0">
    <w:name w:val="WW8Num124z0"/>
    <w:rsid w:val="006945AD"/>
    <w:rPr>
      <w:rFonts w:cs="Times New Roman"/>
    </w:rPr>
  </w:style>
  <w:style w:type="character" w:customStyle="1" w:styleId="WW8Num125z0">
    <w:name w:val="WW8Num125z0"/>
    <w:rsid w:val="006945AD"/>
    <w:rPr>
      <w:rFonts w:cs="Times New Roman"/>
    </w:rPr>
  </w:style>
  <w:style w:type="character" w:customStyle="1" w:styleId="WW8Num126z0">
    <w:name w:val="WW8Num126z0"/>
    <w:rsid w:val="006945AD"/>
    <w:rPr>
      <w:rFonts w:cs="Times New Roman"/>
    </w:rPr>
  </w:style>
  <w:style w:type="character" w:customStyle="1" w:styleId="WW8Num128z0">
    <w:name w:val="WW8Num128z0"/>
    <w:rsid w:val="006945AD"/>
    <w:rPr>
      <w:rFonts w:cs="Times New Roman"/>
    </w:rPr>
  </w:style>
  <w:style w:type="character" w:customStyle="1" w:styleId="WW8Num129z0">
    <w:name w:val="WW8Num129z0"/>
    <w:rsid w:val="006945AD"/>
    <w:rPr>
      <w:rFonts w:cs="Times New Roman"/>
    </w:rPr>
  </w:style>
  <w:style w:type="character" w:customStyle="1" w:styleId="WW8Num130z0">
    <w:name w:val="WW8Num130z0"/>
    <w:rsid w:val="006945AD"/>
    <w:rPr>
      <w:rFonts w:cs="Times New Roman"/>
    </w:rPr>
  </w:style>
  <w:style w:type="character" w:customStyle="1" w:styleId="WW8Num131z0">
    <w:name w:val="WW8Num131z0"/>
    <w:rsid w:val="006945AD"/>
    <w:rPr>
      <w:rFonts w:cs="Times New Roman"/>
    </w:rPr>
  </w:style>
  <w:style w:type="character" w:customStyle="1" w:styleId="WW8Num132z2">
    <w:name w:val="WW8Num132z2"/>
    <w:rsid w:val="006945AD"/>
    <w:rPr>
      <w:rFonts w:cs="Times New Roman"/>
    </w:rPr>
  </w:style>
  <w:style w:type="character" w:customStyle="1" w:styleId="Standardnpsmoodstavce11">
    <w:name w:val="Standardní písmo odstavce11"/>
    <w:rsid w:val="006945AD"/>
  </w:style>
  <w:style w:type="character" w:customStyle="1" w:styleId="Znakapoznpodarou7">
    <w:name w:val="Značka pozn. pod čarou7"/>
    <w:rsid w:val="006945AD"/>
    <w:rPr>
      <w:rFonts w:cs="Times New Roman"/>
      <w:vertAlign w:val="superscript"/>
    </w:rPr>
  </w:style>
  <w:style w:type="character" w:customStyle="1" w:styleId="Odkaznavysvtlivky6">
    <w:name w:val="Odkaz na vysvětlivky6"/>
    <w:rsid w:val="006945AD"/>
    <w:rPr>
      <w:rFonts w:cs="Times New Roman"/>
      <w:vertAlign w:val="superscript"/>
    </w:rPr>
  </w:style>
  <w:style w:type="character" w:customStyle="1" w:styleId="Znakapoznpodarou8">
    <w:name w:val="Značka pozn. pod čarou8"/>
    <w:rsid w:val="006945AD"/>
    <w:rPr>
      <w:vertAlign w:val="superscript"/>
    </w:rPr>
  </w:style>
  <w:style w:type="character" w:customStyle="1" w:styleId="Odkaznavysvtlivky7">
    <w:name w:val="Odkaz na vysvětlivky7"/>
    <w:rsid w:val="006945AD"/>
    <w:rPr>
      <w:vertAlign w:val="superscript"/>
    </w:rPr>
  </w:style>
  <w:style w:type="character" w:customStyle="1" w:styleId="Odkaznakoment3">
    <w:name w:val="Odkaz na komentář3"/>
    <w:rsid w:val="006945AD"/>
    <w:rPr>
      <w:sz w:val="16"/>
      <w:szCs w:val="16"/>
    </w:rPr>
  </w:style>
  <w:style w:type="character" w:customStyle="1" w:styleId="TextkomenteChar3">
    <w:name w:val="Text komentáře Char3"/>
    <w:rsid w:val="006945AD"/>
    <w:rPr>
      <w:lang w:eastAsia="zh-CN"/>
    </w:rPr>
  </w:style>
  <w:style w:type="character" w:customStyle="1" w:styleId="ZkladntextChar2">
    <w:name w:val="Základní text Char2"/>
    <w:basedOn w:val="Standardnpsmoodstavce"/>
    <w:rsid w:val="006945AD"/>
    <w:rPr>
      <w:b/>
      <w:sz w:val="28"/>
      <w:lang w:eastAsia="zh-CN"/>
    </w:rPr>
  </w:style>
  <w:style w:type="paragraph" w:customStyle="1" w:styleId="Titulek3">
    <w:name w:val="Titulek3"/>
    <w:basedOn w:val="Normln"/>
    <w:rsid w:val="006945AD"/>
    <w:pPr>
      <w:suppressLineNumbers/>
      <w:spacing w:before="120" w:after="120"/>
    </w:pPr>
    <w:rPr>
      <w:rFonts w:cs="Mangal"/>
      <w:i/>
      <w:iCs/>
      <w:lang w:eastAsia="zh-CN"/>
    </w:rPr>
  </w:style>
  <w:style w:type="paragraph" w:customStyle="1" w:styleId="Titulek2">
    <w:name w:val="Titulek2"/>
    <w:basedOn w:val="Normln"/>
    <w:rsid w:val="006945AD"/>
    <w:pPr>
      <w:suppressLineNumbers/>
      <w:spacing w:before="120" w:after="120"/>
    </w:pPr>
    <w:rPr>
      <w:rFonts w:cs="Tahoma"/>
      <w:i/>
      <w:iCs/>
      <w:sz w:val="20"/>
      <w:szCs w:val="20"/>
      <w:lang w:eastAsia="zh-CN"/>
    </w:rPr>
  </w:style>
  <w:style w:type="character" w:customStyle="1" w:styleId="ZpatChar2">
    <w:name w:val="Zápatí Char2"/>
    <w:basedOn w:val="Standardnpsmoodstavce"/>
    <w:rsid w:val="006945AD"/>
    <w:rPr>
      <w:sz w:val="24"/>
      <w:lang w:eastAsia="zh-CN"/>
    </w:rPr>
  </w:style>
  <w:style w:type="character" w:customStyle="1" w:styleId="ZkladntextodsazenChar2">
    <w:name w:val="Základní text odsazený Char2"/>
    <w:basedOn w:val="Standardnpsmoodstavce"/>
    <w:rsid w:val="006945AD"/>
    <w:rPr>
      <w:sz w:val="24"/>
      <w:lang w:eastAsia="zh-CN"/>
    </w:rPr>
  </w:style>
  <w:style w:type="character" w:customStyle="1" w:styleId="TextpoznpodarouChar2">
    <w:name w:val="Text pozn. pod čarou Char2"/>
    <w:basedOn w:val="Standardnpsmoodstavce"/>
    <w:rsid w:val="006945AD"/>
    <w:rPr>
      <w:lang w:eastAsia="zh-CN"/>
    </w:rPr>
  </w:style>
  <w:style w:type="character" w:customStyle="1" w:styleId="ZhlavChar2">
    <w:name w:val="Záhlaví Char2"/>
    <w:basedOn w:val="Standardnpsmoodstavce"/>
    <w:rsid w:val="006945AD"/>
    <w:rPr>
      <w:sz w:val="24"/>
      <w:szCs w:val="24"/>
      <w:lang w:eastAsia="zh-CN"/>
    </w:rPr>
  </w:style>
  <w:style w:type="character" w:customStyle="1" w:styleId="TextbublinyChar2">
    <w:name w:val="Text bubliny Char2"/>
    <w:basedOn w:val="Standardnpsmoodstavce"/>
    <w:rsid w:val="006945AD"/>
    <w:rPr>
      <w:rFonts w:ascii="Tahoma" w:hAnsi="Tahoma" w:cs="Tahoma"/>
      <w:sz w:val="16"/>
      <w:szCs w:val="16"/>
      <w:lang w:eastAsia="zh-CN"/>
    </w:rPr>
  </w:style>
  <w:style w:type="paragraph" w:customStyle="1" w:styleId="Textkomente3">
    <w:name w:val="Text komentáře3"/>
    <w:basedOn w:val="Normln"/>
    <w:rsid w:val="006945AD"/>
    <w:rPr>
      <w:sz w:val="20"/>
      <w:szCs w:val="20"/>
      <w:lang w:eastAsia="zh-CN"/>
    </w:rPr>
  </w:style>
  <w:style w:type="character" w:customStyle="1" w:styleId="TextkomenteChar4">
    <w:name w:val="Text komentáře Char4"/>
    <w:basedOn w:val="Standardnpsmoodstavce"/>
    <w:uiPriority w:val="99"/>
    <w:semiHidden/>
    <w:rsid w:val="006945AD"/>
    <w:rPr>
      <w:lang w:eastAsia="zh-CN"/>
    </w:rPr>
  </w:style>
  <w:style w:type="character" w:customStyle="1" w:styleId="PedmtkomenteChar2">
    <w:name w:val="Předmět komentáře Char2"/>
    <w:basedOn w:val="TextkomenteChar4"/>
    <w:rsid w:val="006945AD"/>
    <w:rPr>
      <w:b/>
      <w:bCs/>
      <w:lang w:eastAsia="zh-CN"/>
    </w:rPr>
  </w:style>
  <w:style w:type="paragraph" w:customStyle="1" w:styleId="Normln2">
    <w:name w:val="Normální2"/>
    <w:rsid w:val="006945AD"/>
    <w:rPr>
      <w:rFonts w:ascii="EUAlbertina" w:hAnsi="EUAlbertina" w:cs="EUAlbertina"/>
      <w:color w:val="000000"/>
      <w:sz w:val="24"/>
      <w:szCs w:val="24"/>
      <w:lang w:eastAsia="zh-CN"/>
    </w:rPr>
  </w:style>
  <w:style w:type="paragraph" w:customStyle="1" w:styleId="Textkomente4">
    <w:name w:val="Text komentáře4"/>
    <w:basedOn w:val="Normln"/>
    <w:rsid w:val="006945AD"/>
    <w:rPr>
      <w:sz w:val="20"/>
      <w:szCs w:val="20"/>
      <w:lang w:eastAsia="zh-CN"/>
    </w:rPr>
  </w:style>
  <w:style w:type="paragraph" w:customStyle="1" w:styleId="docdata">
    <w:name w:val="docdata"/>
    <w:basedOn w:val="Normln"/>
    <w:rsid w:val="006945AD"/>
    <w:pPr>
      <w:spacing w:before="100" w:beforeAutospacing="1" w:after="100" w:afterAutospacing="1"/>
    </w:pPr>
    <w:rPr>
      <w:lang w:eastAsia="cs-CZ"/>
    </w:rPr>
  </w:style>
  <w:style w:type="table" w:customStyle="1" w:styleId="Mkatabulky1">
    <w:name w:val="Mřížka tabulky1"/>
    <w:basedOn w:val="Normlntabulka"/>
    <w:next w:val="Mkatabulky"/>
    <w:uiPriority w:val="59"/>
    <w:rsid w:val="0013049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draznnintenzivn">
    <w:name w:val="Intense Emphasis"/>
    <w:basedOn w:val="Standardnpsmoodstavce"/>
    <w:uiPriority w:val="21"/>
    <w:qFormat/>
    <w:rsid w:val="008F52C8"/>
    <w:rPr>
      <w:i/>
      <w:iCs/>
      <w:color w:val="365F91" w:themeColor="accent1" w:themeShade="BF"/>
    </w:rPr>
  </w:style>
  <w:style w:type="character" w:styleId="Odkazintenzivn">
    <w:name w:val="Intense Reference"/>
    <w:basedOn w:val="Standardnpsmoodstavce"/>
    <w:uiPriority w:val="32"/>
    <w:qFormat/>
    <w:rsid w:val="008F52C8"/>
    <w:rPr>
      <w:b/>
      <w:bCs/>
      <w:smallCaps/>
      <w:color w:val="365F91" w:themeColor="accent1" w:themeShade="BF"/>
      <w:spacing w:val="5"/>
    </w:rPr>
  </w:style>
  <w:style w:type="character" w:customStyle="1" w:styleId="RozloendokumentuChar2">
    <w:name w:val="Rozložení dokumentu Char2"/>
    <w:basedOn w:val="Standardnpsmoodstavce"/>
    <w:uiPriority w:val="99"/>
    <w:semiHidden/>
    <w:locked/>
    <w:rsid w:val="008F52C8"/>
    <w:rPr>
      <w:rFonts w:ascii="Tahoma" w:eastAsia="Times New Roman" w:hAnsi="Tahoma" w:cs="Tahoma"/>
      <w:kern w:val="0"/>
      <w:sz w:val="16"/>
      <w:szCs w:val="16"/>
      <w:lang w:eastAsia="zh-CN"/>
      <w14:ligatures w14:val="none"/>
    </w:rPr>
  </w:style>
  <w:style w:type="character" w:customStyle="1" w:styleId="OdstavecseseznamemChar">
    <w:name w:val="Odstavec se seznamem Char"/>
    <w:aliases w:val="Dot pt Char,Indicator Text Char,LISTA Char,List Paragraph Char Char Char Char,List Paragraph à moi Char,Listaszerű bekezdés1 Char,Listaszerű bekezdés2 Char,Listaszerű bekezdés3 Char,No Spacing1 Char,Numbered Para 1 Char"/>
    <w:basedOn w:val="Standardnpsmoodstavce"/>
    <w:link w:val="Odstavecseseznamem"/>
    <w:uiPriority w:val="34"/>
    <w:qFormat/>
    <w:locked/>
    <w:rsid w:val="005E2B56"/>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417AE-615C-4332-BA0C-86925269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246</Pages>
  <Words>74216</Words>
  <Characters>437876</Characters>
  <Application>Microsoft Office Word</Application>
  <DocSecurity>0</DocSecurity>
  <Lines>3648</Lines>
  <Paragraphs>1022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Bejčková</dc:creator>
  <cp:lastModifiedBy>Bejckova Pavla</cp:lastModifiedBy>
  <cp:revision>4</cp:revision>
  <dcterms:created xsi:type="dcterms:W3CDTF">2025-03-07T08:53:00Z</dcterms:created>
  <dcterms:modified xsi:type="dcterms:W3CDTF">2025-03-07T09:58:00Z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160.2</vt:lpwstr>
  </property>
  <property fmtid="{D5CDD505-2E9C-101B-9397-08002B2CF9AE}" pid="4" name="Cislo_PostaOdesPisemnostDokumentVerze_PostaOdesPisemnost">
    <vt:lpwstr>VÝTISK Č. ...</vt:lpwstr>
  </property>
  <property fmtid="{D5CDD505-2E9C-101B-9397-08002B2CF9AE}" pid="5" name="CJ">
    <vt:lpwstr>MZP/2025/280/102</vt:lpwstr>
  </property>
  <property fmtid="{D5CDD505-2E9C-101B-9397-08002B2CF9AE}" pid="6" name="CJ_PostaDoruc_PisemnostOdpovedNa_Pisemnost">
    <vt:lpwstr>XXX-XXX-XXX</vt:lpwstr>
  </property>
  <property fmtid="{D5CDD505-2E9C-101B-9397-08002B2CF9AE}" pid="7" name="CJ_Spis_Pisemnost">
    <vt:lpwstr>MZP/2024/280/796</vt:lpwstr>
  </property>
  <property fmtid="{D5CDD505-2E9C-101B-9397-08002B2CF9AE}" pid="8" name="Contact_PostaOdes">
    <vt:lpwstr>{NameAddress_Contact_PostaOdes}
{FullAddress_Contact_PostaOdes}</vt:lpwstr>
  </property>
  <property fmtid="{D5CDD505-2E9C-101B-9397-08002B2CF9AE}" pid="9" name="Contact_PostaOdes_All">
    <vt:lpwstr>ROZDĚLOVNÍK...</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4.3.2025</vt:lpwstr>
  </property>
  <property fmtid="{D5CDD505-2E9C-101B-9397-08002B2CF9AE}" pid="13" name="DisplayName_CisloObalky_PostaOdes">
    <vt:lpwstr>ČÍSLO OBÁLKY</vt:lpwstr>
  </property>
  <property fmtid="{D5CDD505-2E9C-101B-9397-08002B2CF9AE}" pid="14" name="DisplayName_CJCol">
    <vt:lpwstr>&lt;TABLE&gt;&lt;TR&gt;&lt;TD&gt;Č.j.:&lt;/TD&gt;&lt;TD&gt;MZP/2025/280/102&lt;/TD&gt;&lt;/TR&gt;&lt;TR&gt;&lt;TD&gt;&lt;/TD&gt;&lt;TD&gt;&lt;/TD&gt;&lt;/TR&gt;&lt;/TABLE&gt;</vt:lpwstr>
  </property>
  <property fmtid="{D5CDD505-2E9C-101B-9397-08002B2CF9AE}" pid="15" name="DisplayName_PoziceMa_Pisemnost">
    <vt:lpwstr>JUDr. Pavla Bejčková, Ph.D.</vt:lpwstr>
  </property>
  <property fmtid="{D5CDD505-2E9C-101B-9397-08002B2CF9AE}" pid="16" name="DisplayName_SlozkaStupenUtajeniCollection_Slozka_Pisemnost">
    <vt:lpwstr/>
  </property>
  <property fmtid="{D5CDD505-2E9C-101B-9397-08002B2CF9AE}" pid="17" name="DisplayName_SpisovyUzel_PoziceZodpo_Pisemnost">
    <vt:lpwstr>Odbor legislativní</vt:lpwstr>
  </property>
  <property fmtid="{D5CDD505-2E9C-101B-9397-08002B2CF9AE}" pid="18" name="DisplayName_Spis_Pisemnost">
    <vt:lpwstr>Novela vyhlášky č. 415/2012 Sb.</vt:lpwstr>
  </property>
  <property fmtid="{D5CDD505-2E9C-101B-9397-08002B2CF9AE}" pid="19" name="DisplayName_UserPoriz_Pisemnost">
    <vt:lpwstr>JUDr. Pavla Bejčková, Ph.D.</vt:lpwstr>
  </property>
  <property fmtid="{D5CDD505-2E9C-101B-9397-08002B2CF9AE}" pid="20" name="DuvodZmeny_SlozkaStupenUtajeniCollection_Slozka_Pisemnost">
    <vt:lpwstr/>
  </property>
  <property fmtid="{D5CDD505-2E9C-101B-9397-08002B2CF9AE}" pid="21" name="EC_Pisemnost">
    <vt:lpwstr>ENV/2025/159730</vt:lpwstr>
  </property>
  <property fmtid="{D5CDD505-2E9C-101B-9397-08002B2CF9AE}" pid="22" name="Key_BarCode_Pisemnost">
    <vt:lpwstr>*B002907590*</vt:lpwstr>
  </property>
  <property fmtid="{D5CDD505-2E9C-101B-9397-08002B2CF9AE}" pid="23" name="Key_BarCode_PostaOdes">
    <vt:lpwstr>11101001011</vt:lpwstr>
  </property>
  <property fmtid="{D5CDD505-2E9C-101B-9397-08002B2CF9AE}" pid="24" name="KRukam">
    <vt:lpwstr>{KRukam}</vt:lpwstr>
  </property>
  <property fmtid="{D5CDD505-2E9C-101B-9397-08002B2CF9AE}" pid="25" name="NameAddress_Contact_SpisovyUzel_PoziceZodpo_Pisemnost">
    <vt:lpwstr>ADRESÁT SU...</vt:lpwstr>
  </property>
  <property fmtid="{D5CDD505-2E9C-101B-9397-08002B2CF9AE}" pid="26" name="NamePostalAddress_Contact_PostaOdes">
    <vt:lpwstr>{NameAddress_Contact_PostaOdes}
{PostalAddress_Contact_PostaOdes}</vt:lpwstr>
  </property>
  <property fmtid="{D5CDD505-2E9C-101B-9397-08002B2CF9AE}" pid="27" name="Odkaz">
    <vt:lpwstr>ODKAZ</vt:lpwstr>
  </property>
  <property fmtid="{D5CDD505-2E9C-101B-9397-08002B2CF9AE}" pid="28" name="Password_PisemnostTypZpristupneniInformaciZOSZ_Pisemnost">
    <vt:lpwstr>ZOSZ_Password</vt:lpwstr>
  </property>
  <property fmtid="{D5CDD505-2E9C-101B-9397-08002B2CF9AE}" pid="29" name="PocetListuDokumentu_Pisemnost">
    <vt:lpwstr>1</vt:lpwstr>
  </property>
  <property fmtid="{D5CDD505-2E9C-101B-9397-08002B2CF9AE}" pid="30" name="PocetListu_Pisemnost">
    <vt:lpwstr>1</vt:lpwstr>
  </property>
  <property fmtid="{D5CDD505-2E9C-101B-9397-08002B2CF9AE}" pid="31" name="PocetPriloh_Pisemnost">
    <vt:lpwstr>0</vt:lpwstr>
  </property>
  <property fmtid="{D5CDD505-2E9C-101B-9397-08002B2CF9AE}" pid="32" name="Podpis">
    <vt:lpwstr/>
  </property>
  <property fmtid="{D5CDD505-2E9C-101B-9397-08002B2CF9AE}" pid="33" name="PoleVlastnost">
    <vt:lpwstr/>
  </property>
  <property fmtid="{D5CDD505-2E9C-101B-9397-08002B2CF9AE}" pid="34" name="PostalAddress_Contact_SpisovyUzel_PoziceZodpo_Pisemnost">
    <vt:lpwstr>ADRESA SU...</vt:lpwstr>
  </property>
  <property fmtid="{D5CDD505-2E9C-101B-9397-08002B2CF9AE}" pid="35" name="QREC_Pisemnost">
    <vt:lpwstr>ENV/2025/159730</vt:lpwstr>
  </property>
  <property fmtid="{D5CDD505-2E9C-101B-9397-08002B2CF9AE}" pid="36" name="RC">
    <vt:lpwstr/>
  </property>
  <property fmtid="{D5CDD505-2E9C-101B-9397-08002B2CF9AE}" pid="37" name="SkartacniZnakLhuta_PisemnostZnak">
    <vt:lpwstr>A/10</vt:lpwstr>
  </property>
  <property fmtid="{D5CDD505-2E9C-101B-9397-08002B2CF9AE}" pid="38" name="SmlouvaCislo">
    <vt:lpwstr>ČÍSLO SMLOUVY</vt:lpwstr>
  </property>
  <property fmtid="{D5CDD505-2E9C-101B-9397-08002B2CF9AE}" pid="39" name="SZ_Spis_Pisemnost">
    <vt:lpwstr>ZN/MZP/2024/280/50</vt:lpwstr>
  </property>
  <property fmtid="{D5CDD505-2E9C-101B-9397-08002B2CF9AE}" pid="40" name="TEST">
    <vt:lpwstr>testovací pole</vt:lpwstr>
  </property>
  <property fmtid="{D5CDD505-2E9C-101B-9397-08002B2CF9AE}" pid="41" name="TypPrilohy_Pisemnost">
    <vt:lpwstr>TYP PŘÍLOHY</vt:lpwstr>
  </property>
  <property fmtid="{D5CDD505-2E9C-101B-9397-08002B2CF9AE}" pid="42" name="UserName_PisemnostTypZpristupneniInformaciZOSZ_Pisemnost">
    <vt:lpwstr>ZOSZ_UserName</vt:lpwstr>
  </property>
  <property fmtid="{D5CDD505-2E9C-101B-9397-08002B2CF9AE}" pid="43" name="Vec_Pisemnost">
    <vt:lpwstr>Do MPŘ - návrh vyhlášky, kterou se mění vyhláška č. 415/2012 Sb., o přípustné úrovni znečišťování a jejím zjišťování a o provedení některých dalších ustanovení zákona o ochraně ovzduší, ve znění pozdějších předpisů</vt:lpwstr>
  </property>
  <property fmtid="{D5CDD505-2E9C-101B-9397-08002B2CF9AE}" pid="44" name="Zkratka_SpisovyUzel_PoziceZodpo_Pisemnost">
    <vt:lpwstr>280</vt:lpwstr>
  </property>
</Properties>
</file>