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3886" w14:textId="77777777" w:rsidR="00FF2E95" w:rsidRDefault="00000000">
      <w:pPr>
        <w:spacing w:before="240" w:after="120" w:line="276" w:lineRule="auto"/>
        <w:jc w:val="right"/>
        <w:rPr>
          <w:rFonts w:ascii="Arial" w:hAnsi="Arial" w:cs="Arial"/>
          <w:bCs/>
          <w:color w:val="000000" w:themeColor="text1"/>
          <w:lang w:bidi="en-US"/>
        </w:rPr>
      </w:pPr>
      <w:r>
        <w:rPr>
          <w:rFonts w:ascii="Arial" w:hAnsi="Arial" w:cs="Arial"/>
          <w:bCs/>
          <w:color w:val="000000" w:themeColor="text1"/>
          <w:lang w:bidi="en-US"/>
        </w:rPr>
        <w:t>III.</w:t>
      </w:r>
    </w:p>
    <w:p w14:paraId="59485115" w14:textId="2F7D4EA1" w:rsidR="00FF2E95" w:rsidRDefault="00000000">
      <w:pPr>
        <w:spacing w:before="240" w:after="120" w:line="276" w:lineRule="auto"/>
        <w:jc w:val="center"/>
        <w:rPr>
          <w:rFonts w:ascii="Arial" w:hAnsi="Arial" w:cs="Arial"/>
          <w:b/>
          <w:color w:val="000000" w:themeColor="text1"/>
          <w:sz w:val="24"/>
          <w:szCs w:val="24"/>
          <w:lang w:bidi="en-US"/>
        </w:rPr>
      </w:pPr>
      <w:r>
        <w:rPr>
          <w:rFonts w:ascii="Arial" w:hAnsi="Arial" w:cs="Arial"/>
          <w:b/>
          <w:color w:val="000000" w:themeColor="text1"/>
          <w:sz w:val="24"/>
          <w:szCs w:val="24"/>
          <w:lang w:bidi="en-US"/>
        </w:rPr>
        <w:t>DŮVODOVÁ ZPRÁVA</w:t>
      </w:r>
    </w:p>
    <w:p w14:paraId="465B7BC1" w14:textId="77777777" w:rsidR="00FF2E95" w:rsidRDefault="00000000">
      <w:pPr>
        <w:spacing w:before="240" w:after="120" w:line="276" w:lineRule="auto"/>
        <w:ind w:left="357" w:hanging="357"/>
        <w:jc w:val="both"/>
        <w:outlineLvl w:val="0"/>
        <w:rPr>
          <w:rFonts w:ascii="Arial" w:eastAsiaTheme="majorEastAsia" w:hAnsi="Arial" w:cs="Arial"/>
          <w:b/>
          <w:caps/>
          <w:color w:val="000000" w:themeColor="text1"/>
          <w:szCs w:val="32"/>
          <w:lang w:bidi="en-US"/>
        </w:rPr>
      </w:pPr>
      <w:r>
        <w:rPr>
          <w:rFonts w:ascii="Arial" w:eastAsiaTheme="majorEastAsia" w:hAnsi="Arial" w:cs="Arial"/>
          <w:b/>
          <w:caps/>
          <w:color w:val="000000" w:themeColor="text1"/>
          <w:szCs w:val="32"/>
          <w:lang w:bidi="en-US"/>
        </w:rPr>
        <w:t>I.</w:t>
      </w:r>
      <w:r>
        <w:rPr>
          <w:rFonts w:ascii="Arial" w:eastAsiaTheme="majorEastAsia" w:hAnsi="Arial" w:cs="Arial"/>
          <w:b/>
          <w:caps/>
          <w:color w:val="000000" w:themeColor="text1"/>
          <w:szCs w:val="32"/>
          <w:lang w:bidi="en-US"/>
        </w:rPr>
        <w:tab/>
        <w:t>OBECNÁ ČÁST</w:t>
      </w:r>
    </w:p>
    <w:p w14:paraId="3EA76EE2"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A</w:t>
      </w:r>
      <w:r>
        <w:rPr>
          <w:rFonts w:ascii="Arial" w:eastAsiaTheme="majorEastAsia" w:hAnsi="Arial" w:cs="Arial"/>
          <w:b/>
          <w:color w:val="000000" w:themeColor="text1"/>
          <w:szCs w:val="24"/>
          <w:lang w:bidi="en-US"/>
        </w:rPr>
        <w:tab/>
        <w:t>Vysvětlení nezbytnosti právní úpravy a odůvodnění jejích hlavních principů</w:t>
      </w:r>
    </w:p>
    <w:p w14:paraId="3855B0CA" w14:textId="0467F0C9" w:rsidR="00FF2E95" w:rsidRDefault="00000000" w:rsidP="00712271">
      <w:pPr>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Návrh změny vyhlášky se předkládá v návaznosti na</w:t>
      </w:r>
      <w:r w:rsidR="00712271">
        <w:rPr>
          <w:rFonts w:ascii="Arial" w:eastAsiaTheme="majorEastAsia" w:hAnsi="Arial" w:cs="Arial"/>
          <w:color w:val="000000" w:themeColor="text1"/>
          <w:lang w:bidi="en-US"/>
        </w:rPr>
        <w:t xml:space="preserve"> novelu zákona o ochraně ovzduší provedenou zákonem č. </w:t>
      </w:r>
      <w:r w:rsidR="00712271" w:rsidRPr="00712271">
        <w:rPr>
          <w:rFonts w:ascii="Arial" w:eastAsiaTheme="majorEastAsia" w:hAnsi="Arial" w:cs="Arial"/>
          <w:color w:val="000000" w:themeColor="text1"/>
          <w:lang w:bidi="en-US"/>
        </w:rPr>
        <w:t>42/2025 Sb.</w:t>
      </w:r>
      <w:r w:rsidR="00712271">
        <w:rPr>
          <w:rFonts w:ascii="Arial" w:eastAsiaTheme="majorEastAsia" w:hAnsi="Arial" w:cs="Arial"/>
          <w:color w:val="000000" w:themeColor="text1"/>
          <w:lang w:bidi="en-US"/>
        </w:rPr>
        <w:t xml:space="preserve">, </w:t>
      </w:r>
      <w:r w:rsidR="00712271" w:rsidRPr="00712271">
        <w:rPr>
          <w:rFonts w:ascii="Arial" w:eastAsiaTheme="majorEastAsia" w:hAnsi="Arial" w:cs="Arial"/>
          <w:color w:val="000000" w:themeColor="text1"/>
          <w:lang w:bidi="en-US"/>
        </w:rPr>
        <w:t>kterým se mění zákon č. 201/2012 Sb., o ochraně ovzduší, ve znění pozdějších předpisů, a další související zákony</w:t>
      </w:r>
      <w:r>
        <w:rPr>
          <w:rFonts w:ascii="Arial" w:eastAsiaTheme="majorEastAsia" w:hAnsi="Arial" w:cs="Arial"/>
          <w:color w:val="000000" w:themeColor="text1"/>
          <w:lang w:bidi="en-US"/>
        </w:rPr>
        <w:t>,</w:t>
      </w:r>
      <w:r w:rsidR="00712271">
        <w:rPr>
          <w:rFonts w:ascii="Arial" w:eastAsiaTheme="majorEastAsia" w:hAnsi="Arial" w:cs="Arial"/>
          <w:color w:val="000000" w:themeColor="text1"/>
          <w:lang w:bidi="en-US"/>
        </w:rPr>
        <w:t xml:space="preserve"> která nabyla účinnosti</w:t>
      </w:r>
      <w:r>
        <w:rPr>
          <w:rFonts w:ascii="Arial" w:eastAsiaTheme="majorEastAsia" w:hAnsi="Arial" w:cs="Arial"/>
          <w:color w:val="000000" w:themeColor="text1"/>
          <w:lang w:bidi="en-US"/>
        </w:rPr>
        <w:t xml:space="preserve"> 1. března 2025</w:t>
      </w:r>
      <w:r w:rsidR="00712271">
        <w:rPr>
          <w:rFonts w:ascii="Arial" w:eastAsiaTheme="majorEastAsia" w:hAnsi="Arial" w:cs="Arial"/>
          <w:color w:val="000000" w:themeColor="text1"/>
          <w:lang w:bidi="en-US"/>
        </w:rPr>
        <w:t xml:space="preserve"> (s výjimkou vybraných ustanovení, která mají účinnost odloženu až k 1. lednu 2026, resp. 1. lednu 2028)</w:t>
      </w:r>
      <w:r>
        <w:rPr>
          <w:rFonts w:ascii="Arial" w:eastAsiaTheme="majorEastAsia" w:hAnsi="Arial" w:cs="Arial"/>
          <w:color w:val="000000" w:themeColor="text1"/>
          <w:lang w:bidi="en-US"/>
        </w:rPr>
        <w:t>.</w:t>
      </w:r>
    </w:p>
    <w:p w14:paraId="4A6C034F" w14:textId="754B47FF" w:rsidR="00FF2E95" w:rsidRDefault="00000000">
      <w:pPr>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Cílem předkládaného návrhu vyhlášky je uvedení</w:t>
      </w:r>
      <w:r w:rsidR="00223169">
        <w:rPr>
          <w:rFonts w:ascii="Arial" w:eastAsiaTheme="majorEastAsia" w:hAnsi="Arial" w:cs="Arial"/>
          <w:color w:val="000000" w:themeColor="text1"/>
          <w:lang w:bidi="en-US"/>
        </w:rPr>
        <w:t xml:space="preserve"> vyhlášky č. 415/2012 Sb.</w:t>
      </w:r>
      <w:r>
        <w:rPr>
          <w:rFonts w:ascii="Arial" w:eastAsiaTheme="majorEastAsia" w:hAnsi="Arial" w:cs="Arial"/>
          <w:color w:val="000000" w:themeColor="text1"/>
          <w:lang w:bidi="en-US"/>
        </w:rPr>
        <w:t xml:space="preserve"> do souladu s novou právní úpravou zakotvenou uvedenou novelou zákona o ochraně ovzduší. Vyhláška by proto měla nad rámec svého platného právní stavu nově upravovat níže uvedené okruhy témat.</w:t>
      </w:r>
    </w:p>
    <w:p w14:paraId="2CC7C3F1" w14:textId="77B4F945" w:rsidR="00FF2E95" w:rsidRDefault="00000000">
      <w:pPr>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 xml:space="preserve">Vzhledem k tomu, že je žádoucí, aby navrhovaná vyhláška nabyla </w:t>
      </w:r>
      <w:r w:rsidR="00D533AD">
        <w:rPr>
          <w:rFonts w:ascii="Arial" w:eastAsiaTheme="majorEastAsia" w:hAnsi="Arial" w:cs="Arial"/>
          <w:color w:val="000000" w:themeColor="text1"/>
          <w:lang w:bidi="en-US"/>
        </w:rPr>
        <w:t xml:space="preserve">co nejdříve po </w:t>
      </w:r>
      <w:r>
        <w:rPr>
          <w:rFonts w:ascii="Arial" w:eastAsiaTheme="majorEastAsia" w:hAnsi="Arial" w:cs="Arial"/>
          <w:color w:val="000000" w:themeColor="text1"/>
          <w:lang w:bidi="en-US"/>
        </w:rPr>
        <w:t>účinnosti novel</w:t>
      </w:r>
      <w:r w:rsidR="00D533AD">
        <w:rPr>
          <w:rFonts w:ascii="Arial" w:eastAsiaTheme="majorEastAsia" w:hAnsi="Arial" w:cs="Arial"/>
          <w:color w:val="000000" w:themeColor="text1"/>
          <w:lang w:bidi="en-US"/>
        </w:rPr>
        <w:t>y</w:t>
      </w:r>
      <w:r>
        <w:rPr>
          <w:rFonts w:ascii="Arial" w:eastAsiaTheme="majorEastAsia" w:hAnsi="Arial" w:cs="Arial"/>
          <w:color w:val="000000" w:themeColor="text1"/>
          <w:lang w:bidi="en-US"/>
        </w:rPr>
        <w:t xml:space="preserve"> zákona o ochraně ovzduší, navrhuje se termín nabytí účinnosti této vyhlášky prvním dnem kalendářního měsíce následujícího po dni jejího vyhlášení.  </w:t>
      </w:r>
    </w:p>
    <w:p w14:paraId="06B4D104" w14:textId="77777777" w:rsidR="00FF2E95" w:rsidRDefault="00000000">
      <w:pPr>
        <w:jc w:val="both"/>
        <w:rPr>
          <w:rFonts w:ascii="Arial" w:eastAsiaTheme="majorEastAsia" w:hAnsi="Arial" w:cs="Arial"/>
          <w:b/>
          <w:bCs/>
          <w:color w:val="000000" w:themeColor="text1"/>
          <w:lang w:bidi="en-US"/>
        </w:rPr>
      </w:pPr>
      <w:bookmarkStart w:id="0" w:name="_Hlk191978760"/>
      <w:bookmarkStart w:id="1" w:name="_Hlk191979966"/>
      <w:r>
        <w:rPr>
          <w:rFonts w:ascii="Arial" w:eastAsiaTheme="majorEastAsia" w:hAnsi="Arial" w:cs="Arial"/>
          <w:b/>
          <w:bCs/>
          <w:color w:val="000000" w:themeColor="text1"/>
          <w:lang w:bidi="en-US"/>
        </w:rPr>
        <w:t xml:space="preserve">Průběžné sledování a zaznamenávání provozního parametru v povolení provozu </w:t>
      </w:r>
    </w:p>
    <w:bookmarkEnd w:id="0"/>
    <w:p w14:paraId="61C33F79" w14:textId="77777777" w:rsidR="00FF2E95" w:rsidRDefault="00000000">
      <w:pPr>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 xml:space="preserve">Dle nové úpravy v § 6 odst. 4 zákona o ochraně ovzduší má být v případě vybraných zdrojů stanovených vyhláškou, u kterých provozovatel zdroje zjišťuje úroveň znečišťování pravidelným jednorázovým měřením emisí, současně provozovateli v povolení provozu uloženo, aby prováděl současně nepřetržité sledování a zaznamenávání určitého provozního parametru. Sledování provozního parametru má umožnit kontrolu správné funkce technologie ke snižování emisí nebo opatření ke snížení emisí. Na základě zmocnění v § 6 odst. 10 zákona se navrhuje </w:t>
      </w:r>
      <w:bookmarkStart w:id="2" w:name="_Hlk191978867"/>
      <w:r>
        <w:rPr>
          <w:rFonts w:ascii="Arial" w:eastAsiaTheme="majorEastAsia" w:hAnsi="Arial" w:cs="Arial"/>
          <w:color w:val="000000" w:themeColor="text1"/>
          <w:lang w:bidi="en-US"/>
        </w:rPr>
        <w:t xml:space="preserve">upravit seznam stacionárních zdrojů, pro které bude vyžadováno stanovení průběžného sledování a zaznamenávání provozního parametru v povolení provozu zdroje, a dále se stanoví rozsah, způsob a podmínky stanovení tohoto provozního parametru. </w:t>
      </w:r>
      <w:bookmarkEnd w:id="2"/>
    </w:p>
    <w:p w14:paraId="1A66E791" w14:textId="77777777" w:rsidR="00FF2E95" w:rsidRDefault="00000000">
      <w:pPr>
        <w:jc w:val="both"/>
        <w:rPr>
          <w:rFonts w:ascii="Arial" w:eastAsiaTheme="majorEastAsia" w:hAnsi="Arial" w:cs="Arial"/>
          <w:b/>
          <w:bCs/>
          <w:color w:val="000000" w:themeColor="text1"/>
          <w:lang w:bidi="en-US"/>
        </w:rPr>
      </w:pPr>
      <w:bookmarkStart w:id="3" w:name="_Hlk191978791"/>
      <w:r>
        <w:rPr>
          <w:rFonts w:ascii="Arial" w:eastAsiaTheme="majorEastAsia" w:hAnsi="Arial" w:cs="Arial"/>
          <w:b/>
          <w:bCs/>
          <w:color w:val="000000" w:themeColor="text1"/>
          <w:lang w:bidi="en-US"/>
        </w:rPr>
        <w:t>Postup prokazování spalování odpadu ve spalovacím stacionárním zdroji o celkovém jmenovitém tepelném příkonu do 300 kW včetně a rozsah kontroly technického stavu a provozu spalovacího stacionárního zdroje</w:t>
      </w:r>
    </w:p>
    <w:bookmarkEnd w:id="3"/>
    <w:p w14:paraId="78CE5AA6" w14:textId="77777777" w:rsidR="00FF2E95" w:rsidRDefault="00000000">
      <w:pPr>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Na základě zmocnění v § 16 odst. 11 se navrhuje stanovit postup, jakým bude moci kontrolní orgán v rámci kontrol spalovacích stacionárních zdrojů o celkovém jmenovitém tepelném příkonu do 300 kW včetně prokázat, zda v kontrolovaném zdroji dochází ke spalování odpadu.</w:t>
      </w:r>
    </w:p>
    <w:p w14:paraId="1F787C41" w14:textId="77777777" w:rsidR="00FF2E95" w:rsidRDefault="00000000">
      <w:pPr>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Zmocnění v § 17 odst. 7 zákona potom nově ukládá, aby ministerstvo stanovilo vyhláškou rozsah kontroly technického stavu a provozu prováděné odborně způsobilou osobou podle § 17 odst. 1 písm. h) zákona o ochraně ovzduší na spalovacích stacionárních zdrojích na pevná paliva o jmenovitém tepelném příkonu od 10 do 300 kW včetně, které slouží jako zdroj tepla pro teplovodní soustavu ústředního vytápění.</w:t>
      </w:r>
    </w:p>
    <w:p w14:paraId="6C439D75" w14:textId="635CD71F" w:rsidR="00FF2E95" w:rsidRDefault="00000000">
      <w:pPr>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 xml:space="preserve">Rozsah kontroly prováděné odborně způsobilou osobou a postup prokazování spalování odpadu je nyní upraven v metodickém pokynu ministerstva životního prostředí určeném pro odborně způsobilé osoby a pro orgány ochrany ovzduší, zejména obecní úřady obcí s rozšířenou působností. Cílem úpravy ve vyhlášce </w:t>
      </w:r>
      <w:r w:rsidR="00F67140">
        <w:rPr>
          <w:rFonts w:ascii="Arial" w:eastAsiaTheme="majorEastAsia" w:hAnsi="Arial" w:cs="Arial"/>
          <w:color w:val="000000" w:themeColor="text1"/>
          <w:lang w:bidi="en-US"/>
        </w:rPr>
        <w:t xml:space="preserve">je </w:t>
      </w:r>
      <w:r>
        <w:rPr>
          <w:rFonts w:ascii="Arial" w:eastAsiaTheme="majorEastAsia" w:hAnsi="Arial" w:cs="Arial"/>
          <w:color w:val="000000" w:themeColor="text1"/>
          <w:lang w:bidi="en-US"/>
        </w:rPr>
        <w:t xml:space="preserve">zajistit, aby kontrola technického stavu a provozu zdroje byla všemi odborně způsobilými osobami prováděna jednotně. V případě </w:t>
      </w:r>
      <w:r>
        <w:rPr>
          <w:rFonts w:ascii="Arial" w:eastAsiaTheme="majorEastAsia" w:hAnsi="Arial" w:cs="Arial"/>
          <w:color w:val="000000" w:themeColor="text1"/>
          <w:lang w:bidi="en-US"/>
        </w:rPr>
        <w:lastRenderedPageBreak/>
        <w:t>prokazování spalování odpadu má být úpravou ve vyhlášce posílena důkazní pozic</w:t>
      </w:r>
      <w:r w:rsidR="00F67140">
        <w:rPr>
          <w:rFonts w:ascii="Arial" w:eastAsiaTheme="majorEastAsia" w:hAnsi="Arial" w:cs="Arial"/>
          <w:color w:val="000000" w:themeColor="text1"/>
          <w:lang w:bidi="en-US"/>
        </w:rPr>
        <w:t>e</w:t>
      </w:r>
      <w:r>
        <w:rPr>
          <w:rFonts w:ascii="Arial" w:eastAsiaTheme="majorEastAsia" w:hAnsi="Arial" w:cs="Arial"/>
          <w:color w:val="000000" w:themeColor="text1"/>
          <w:lang w:bidi="en-US"/>
        </w:rPr>
        <w:t xml:space="preserve"> správních orgánů při postupu kontroly a dokazování spáchání přestupku spočívajícím ve spalování odpadu ve zdroji, kde to není povoleno. Rozsah kontroly a postup prokazování bude závazně stanoven na úrovni obecně závazného právního předpisu, nikoliv pouze interní metodikou ministerstva. Aktuální znění metodického sdělení je dostupné zde: </w:t>
      </w:r>
      <w:hyperlink r:id="rId7" w:anchor="kontrola_technickeho_stavu" w:tooltip="https://www.mzp.cz/cz/lokalni_topeniste#kontrola_technickeho_stavu" w:history="1">
        <w:r w:rsidR="00FF2E95">
          <w:rPr>
            <w:rStyle w:val="Hypertextovodkaz"/>
            <w:rFonts w:ascii="Arial" w:eastAsiaTheme="majorEastAsia" w:hAnsi="Arial" w:cs="Arial"/>
            <w:lang w:bidi="en-US"/>
          </w:rPr>
          <w:t>https://www.mzp.cz/cz/lokalni_topeniste#kontrola_technickeho_stavu</w:t>
        </w:r>
      </w:hyperlink>
      <w:r>
        <w:rPr>
          <w:rFonts w:ascii="Arial" w:eastAsiaTheme="majorEastAsia" w:hAnsi="Arial" w:cs="Arial"/>
          <w:color w:val="000000" w:themeColor="text1"/>
          <w:lang w:bidi="en-US"/>
        </w:rPr>
        <w:t xml:space="preserve"> (cit. 15.11.2024).</w:t>
      </w:r>
    </w:p>
    <w:p w14:paraId="78FC7528" w14:textId="77777777" w:rsidR="00FF2E95" w:rsidRDefault="00000000">
      <w:pPr>
        <w:jc w:val="both"/>
        <w:rPr>
          <w:rFonts w:ascii="Arial" w:eastAsiaTheme="majorEastAsia" w:hAnsi="Arial" w:cs="Arial"/>
          <w:b/>
          <w:bCs/>
          <w:color w:val="000000" w:themeColor="text1"/>
          <w:lang w:bidi="en-US"/>
        </w:rPr>
      </w:pPr>
      <w:r>
        <w:rPr>
          <w:rFonts w:ascii="Arial" w:eastAsiaTheme="majorEastAsia" w:hAnsi="Arial" w:cs="Arial"/>
          <w:b/>
          <w:bCs/>
          <w:color w:val="000000" w:themeColor="text1"/>
          <w:lang w:bidi="en-US"/>
        </w:rPr>
        <w:t>Minimální vzdálenosti</w:t>
      </w:r>
    </w:p>
    <w:p w14:paraId="08276FDA" w14:textId="77777777" w:rsidR="00FF2E95" w:rsidRDefault="00000000">
      <w:pPr>
        <w:widowControl w:val="0"/>
        <w:spacing w:after="120" w:line="240" w:lineRule="auto"/>
        <w:jc w:val="both"/>
        <w:rPr>
          <w:rFonts w:ascii="Arial" w:hAnsi="Arial" w:cs="Arial"/>
        </w:rPr>
      </w:pPr>
      <w:r>
        <w:rPr>
          <w:rFonts w:ascii="Arial" w:eastAsia="Calibri" w:hAnsi="Arial" w:cs="Arial"/>
        </w:rPr>
        <w:t xml:space="preserve">V návaznosti na úpravu nového institutu tzv. minimálních vzdáleností v § 12a zákona o ochraně ovzduší se dle zmocnění v § 12a odst. 6 doplňují </w:t>
      </w:r>
      <w:bookmarkStart w:id="4" w:name="_Hlk191978831"/>
      <w:r>
        <w:rPr>
          <w:rFonts w:ascii="Arial" w:eastAsia="Calibri" w:hAnsi="Arial" w:cs="Arial"/>
        </w:rPr>
        <w:t>minimální vzdálenosti mezi stacionárním zdrojem uvedeným v příloze č. 2a zákona a stanovenými plochami vymezenými v územním plánu včetně způsobu jejich použití</w:t>
      </w:r>
      <w:bookmarkEnd w:id="4"/>
      <w:r>
        <w:rPr>
          <w:rFonts w:ascii="Arial" w:eastAsia="Calibri" w:hAnsi="Arial" w:cs="Arial"/>
        </w:rPr>
        <w:t xml:space="preserve">. </w:t>
      </w:r>
      <w:r>
        <w:rPr>
          <w:rFonts w:ascii="Arial" w:hAnsi="Arial" w:cs="Arial"/>
        </w:rPr>
        <w:t>Minimální vzdálenosti určují nejkratší možnou vzdálenost mezi plochou s rozdílným způsobem využití a stacionárním zdrojem.</w:t>
      </w:r>
    </w:p>
    <w:p w14:paraId="6BFABC75" w14:textId="77777777" w:rsidR="00FF2E95" w:rsidRDefault="00000000">
      <w:pPr>
        <w:widowControl w:val="0"/>
        <w:spacing w:after="120" w:line="240" w:lineRule="auto"/>
        <w:jc w:val="both"/>
        <w:rPr>
          <w:rFonts w:ascii="Arial" w:hAnsi="Arial" w:cs="Arial"/>
          <w:b/>
          <w:bCs/>
        </w:rPr>
      </w:pPr>
      <w:r>
        <w:rPr>
          <w:rFonts w:ascii="Arial" w:hAnsi="Arial" w:cs="Arial"/>
          <w:b/>
          <w:bCs/>
        </w:rPr>
        <w:t>Stanovení specifického emisního limitu</w:t>
      </w:r>
    </w:p>
    <w:p w14:paraId="0D1CD289" w14:textId="27FF7870"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 xml:space="preserve">V návaznosti na novelizované zmocnění v § 4 odst. 7 zákona o ochraně ovzduší se navrhuje upravit způsob stanovení specifických emisních limitů v povolení provozu zdroje. Jedná se o případy, kdy je v souladu s § 4 odst. 2 a 3 zákona o ochraně ovzduší krajským úřadem stanovován v povolení provozu stacionárního zdroje specifický emisní limit na hodnotě, která je nižší než hodnota specifického emisního limitu uvedeného v této vyhlášce nebo je stanovován pro znečišťující látku, pro kterou v této vyhlášce specifický emisní limit vůbec není. Navrhuje se proto v příloze č. 17 na základě zákonného zmocnění stanovit </w:t>
      </w:r>
      <w:bookmarkStart w:id="5" w:name="_Hlk191979047"/>
      <w:r>
        <w:rPr>
          <w:rFonts w:ascii="Arial" w:eastAsia="Calibri" w:hAnsi="Arial" w:cs="Arial"/>
        </w:rPr>
        <w:t>zásady pro ukládání specifických emisních limitů nad rámec této vyhlášky nebo pro jejich zpřísňování</w:t>
      </w:r>
      <w:bookmarkEnd w:id="5"/>
      <w:r>
        <w:rPr>
          <w:rFonts w:ascii="Arial" w:eastAsia="Calibri" w:hAnsi="Arial" w:cs="Arial"/>
        </w:rPr>
        <w:t>. Většina zásad vychází z premisy, že specifický emisní limit by měl mít regulační účinek. Což znamená, že jeho plnění zajišťuje řádný provoz zařízení ke snižování emisí nebo provádění opatření ke snižování emisí.</w:t>
      </w:r>
    </w:p>
    <w:p w14:paraId="25C59954" w14:textId="77777777" w:rsidR="00FF2E95" w:rsidRDefault="00000000">
      <w:pPr>
        <w:widowControl w:val="0"/>
        <w:spacing w:after="120" w:line="240" w:lineRule="auto"/>
        <w:jc w:val="both"/>
        <w:rPr>
          <w:rFonts w:ascii="Arial" w:hAnsi="Arial" w:cs="Arial"/>
          <w:b/>
          <w:bCs/>
        </w:rPr>
      </w:pPr>
      <w:bookmarkStart w:id="6" w:name="_Hlk191979104"/>
      <w:r>
        <w:rPr>
          <w:rFonts w:ascii="Arial" w:hAnsi="Arial" w:cs="Arial"/>
          <w:b/>
          <w:bCs/>
        </w:rPr>
        <w:t>Změny v příloze č. 2</w:t>
      </w:r>
    </w:p>
    <w:p w14:paraId="2897F0E7" w14:textId="77777777" w:rsidR="00FF2E95" w:rsidRDefault="00000000">
      <w:pPr>
        <w:widowControl w:val="0"/>
        <w:spacing w:after="120" w:line="240" w:lineRule="auto"/>
        <w:jc w:val="both"/>
        <w:rPr>
          <w:rFonts w:ascii="Arial" w:hAnsi="Arial" w:cs="Arial"/>
          <w:b/>
          <w:bCs/>
        </w:rPr>
      </w:pPr>
      <w:r>
        <w:rPr>
          <w:rFonts w:ascii="Arial" w:eastAsia="Calibri" w:hAnsi="Arial" w:cs="Arial"/>
        </w:rPr>
        <w:t>V části I dochází k úpravě emisních limitů na základě požadavků ekoauditu. Z přílohy č. 2 je také navrženo odstranit obsoletní části (specifické emisní limity, jejichž aplikace byla omezena pouze do určitého data) systémem rušení dílčích bodů a tabulek, aby byla zachována stávající struktura části II, která je v aplikační praxi zažita.</w:t>
      </w:r>
    </w:p>
    <w:bookmarkEnd w:id="6"/>
    <w:p w14:paraId="68018909" w14:textId="77777777" w:rsidR="00FF2E95" w:rsidRDefault="00000000">
      <w:pPr>
        <w:widowControl w:val="0"/>
        <w:spacing w:after="120" w:line="240" w:lineRule="auto"/>
        <w:jc w:val="both"/>
        <w:rPr>
          <w:rFonts w:ascii="Arial" w:hAnsi="Arial" w:cs="Arial"/>
          <w:b/>
          <w:bCs/>
        </w:rPr>
      </w:pPr>
      <w:r>
        <w:rPr>
          <w:rFonts w:ascii="Arial" w:hAnsi="Arial" w:cs="Arial"/>
          <w:b/>
          <w:bCs/>
        </w:rPr>
        <w:t>Změny v příloze č. 8 - podmínky provozu pro ostatní stacionární zdroje</w:t>
      </w:r>
    </w:p>
    <w:p w14:paraId="1DF3042D" w14:textId="77777777" w:rsidR="00FF2E95" w:rsidRDefault="00000000">
      <w:pPr>
        <w:spacing w:after="120"/>
        <w:jc w:val="both"/>
        <w:rPr>
          <w:rFonts w:ascii="Arial" w:eastAsia="Calibri" w:hAnsi="Arial" w:cs="Arial"/>
        </w:rPr>
      </w:pPr>
      <w:bookmarkStart w:id="7" w:name="_Hlk191979324"/>
      <w:r>
        <w:rPr>
          <w:rFonts w:ascii="Arial" w:eastAsia="Calibri" w:hAnsi="Arial" w:cs="Arial"/>
        </w:rPr>
        <w:t>V příloze č. 8 v reakci na podněty z praxe dochází zejména k úpravě nových technických podmínek provozu ke skládkám, upřesnění technických podmínek provozu pro čistírny odpadních vod, úpravě specifických emisních limitů a technických podmínek provozu pro 3 nové kódy (sušení čistírenských kalů, elektroodpad, výroba lihu), stanovení nových technických podmínek provozu pro koksovny a pro výrobu bioplynu, zobecnění technických podmínek provozu pro výrobu oceli (manipulace), doplnění technických podmínek provozu pro slévárny železných kovů, stanovení nových technických podmínek provozu pro obalovny, rozšíření technických podmínek provozu u kódu 6.5 plasty a doplnění nového specifického emisního limitu pro TZL, úpravě znění kódu 7.7. (dřevo), zahrnutí sušení pilin a zpřísnění specifických emisních limitů pro TZL u broušení, stanovení technických podmínek provozu pro manipulace se sypkými materiály.</w:t>
      </w:r>
    </w:p>
    <w:p w14:paraId="0EF3E707" w14:textId="77777777" w:rsidR="00FF2E95" w:rsidRDefault="00000000">
      <w:pPr>
        <w:spacing w:after="120"/>
        <w:jc w:val="both"/>
        <w:rPr>
          <w:rFonts w:ascii="Arial" w:eastAsia="Calibri" w:hAnsi="Arial" w:cs="Arial"/>
          <w:b/>
          <w:bCs/>
        </w:rPr>
      </w:pPr>
      <w:r>
        <w:rPr>
          <w:rFonts w:ascii="Arial" w:eastAsia="Calibri" w:hAnsi="Arial" w:cs="Arial"/>
          <w:b/>
          <w:bCs/>
        </w:rPr>
        <w:t>Úprava nových formulářů</w:t>
      </w:r>
    </w:p>
    <w:p w14:paraId="3DF29F41" w14:textId="77777777" w:rsidR="00FF2E95" w:rsidRDefault="00000000">
      <w:pPr>
        <w:spacing w:after="120"/>
        <w:jc w:val="both"/>
        <w:rPr>
          <w:rFonts w:ascii="Arial" w:eastAsia="Calibri" w:hAnsi="Arial" w:cs="Arial"/>
        </w:rPr>
      </w:pPr>
      <w:r>
        <w:rPr>
          <w:rFonts w:ascii="Arial" w:eastAsia="Calibri" w:hAnsi="Arial" w:cs="Arial"/>
        </w:rPr>
        <w:t>V návaznosti na zákonné zmocnění v § 15 odst. 8 zákona o ochraně ovzduší se stanoví formát a struktura řádného a dodatečného poplatkového přiznání. Dle zmocnění v § 9 odst. 4 a 5 zákona pak náležitosti hlášení o plnění opatření programu zlepšování kvality ovzduší a náležitosti časového plánu provádění opatření programu zlepšování kvality ovzduší.</w:t>
      </w:r>
    </w:p>
    <w:p w14:paraId="1FD464CB" w14:textId="77777777" w:rsidR="00FF2E95" w:rsidRDefault="00000000">
      <w:pPr>
        <w:spacing w:after="120"/>
        <w:jc w:val="both"/>
        <w:rPr>
          <w:rFonts w:ascii="Arial" w:eastAsia="Calibri" w:hAnsi="Arial" w:cs="Arial"/>
          <w:b/>
          <w:bCs/>
        </w:rPr>
      </w:pPr>
      <w:r>
        <w:rPr>
          <w:rFonts w:ascii="Arial" w:eastAsia="Calibri" w:hAnsi="Arial" w:cs="Arial"/>
          <w:b/>
          <w:bCs/>
        </w:rPr>
        <w:lastRenderedPageBreak/>
        <w:t>Další změny v oblasti zjišťování úrovně znečišťování a vyhodnocení plnění emisních limitů</w:t>
      </w:r>
    </w:p>
    <w:p w14:paraId="322B93F7"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 xml:space="preserve">Změny reagující na nová zákonná zmocnění v § 6 odst. 10 novelizovaného znění zákona o ochraně ovzduší s ohledem na kontinuální měření emisí a ohlašování jeho výsledků, ohlašování jednorázového měření emisí a podmínky zjišťování emisí výpočtem. </w:t>
      </w:r>
    </w:p>
    <w:p w14:paraId="4CD84ADD" w14:textId="77777777" w:rsidR="00FF2E95" w:rsidRDefault="00000000">
      <w:pPr>
        <w:widowControl w:val="0"/>
        <w:spacing w:after="120" w:line="240" w:lineRule="auto"/>
        <w:jc w:val="both"/>
        <w:rPr>
          <w:rFonts w:ascii="Arial" w:eastAsia="Calibri" w:hAnsi="Arial" w:cs="Arial"/>
          <w:b/>
          <w:bCs/>
        </w:rPr>
      </w:pPr>
      <w:r>
        <w:rPr>
          <w:rFonts w:ascii="Arial" w:eastAsia="Calibri" w:hAnsi="Arial" w:cs="Arial"/>
          <w:b/>
          <w:bCs/>
        </w:rPr>
        <w:t>Revize obecných emisních limitů</w:t>
      </w:r>
    </w:p>
    <w:p w14:paraId="20BCDBDA"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Nově stanovené hodnoty obecných emisních limitů vychází z hodnot hmotnostních toků v kódech 11.1 až 11.9 přílohy č. 2 zákona. Obecně se jedná o horní hodnoty specifických emisních limitů pro nižší kapacity nebo příkonové intervaly, kde se předpokládají pouze základní opatření ke snížení emisí. Dosavadní obecné emisní limity byly již velmi zastaralé a dalece přesahovaly současnou technologickou realitu.</w:t>
      </w:r>
    </w:p>
    <w:bookmarkEnd w:id="1"/>
    <w:bookmarkEnd w:id="7"/>
    <w:p w14:paraId="084AEC53"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B</w:t>
      </w:r>
      <w:r>
        <w:rPr>
          <w:rFonts w:ascii="Arial" w:eastAsiaTheme="majorEastAsia" w:hAnsi="Arial" w:cs="Arial"/>
          <w:b/>
          <w:color w:val="000000" w:themeColor="text1"/>
          <w:szCs w:val="24"/>
          <w:lang w:bidi="en-US"/>
        </w:rPr>
        <w:tab/>
        <w:t>Zhodnocení souladu navrhované právní úpravy se zákonem, k jehož provedení je navržena</w:t>
      </w:r>
    </w:p>
    <w:p w14:paraId="3D58F37C" w14:textId="77777777" w:rsidR="00FF2E95" w:rsidRDefault="00000000">
      <w:pPr>
        <w:spacing w:after="120" w:line="276" w:lineRule="auto"/>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 xml:space="preserve">Zákonná zmocnění k vydání navrhované vyhlášky jsou obsažena v ustanoveních </w:t>
      </w:r>
      <w:r>
        <w:rPr>
          <w:rFonts w:ascii="Arial" w:hAnsi="Arial" w:cs="Arial"/>
          <w:color w:val="000000" w:themeColor="text1"/>
        </w:rPr>
        <w:t xml:space="preserve">v </w:t>
      </w:r>
      <w:r>
        <w:rPr>
          <w:rFonts w:ascii="Arial" w:eastAsia="Calibri" w:hAnsi="Arial" w:cs="Arial"/>
        </w:rPr>
        <w:t>§ 4 odst. 7, § 6 odst. 10, § 9 odst. 4 a 5, § 11 odst. 11, § 12a odst. 6, § 15 odst. 8, § 16 odst. 11, § 17 odst. 7, § 18 odst. 5 a § 32 odst. 8</w:t>
      </w:r>
      <w:r>
        <w:rPr>
          <w:rFonts w:ascii="Arial" w:hAnsi="Arial" w:cs="Arial"/>
          <w:color w:val="000000" w:themeColor="text1"/>
        </w:rPr>
        <w:t>.</w:t>
      </w:r>
      <w:r>
        <w:rPr>
          <w:rFonts w:ascii="Arial" w:eastAsiaTheme="majorEastAsia" w:hAnsi="Arial" w:cs="Arial"/>
          <w:color w:val="000000" w:themeColor="text1"/>
          <w:lang w:bidi="en-US"/>
        </w:rPr>
        <w:t xml:space="preserve">  </w:t>
      </w:r>
    </w:p>
    <w:p w14:paraId="1881B2E4" w14:textId="77777777" w:rsidR="00FF2E95" w:rsidRDefault="00000000">
      <w:pPr>
        <w:spacing w:after="120" w:line="276" w:lineRule="auto"/>
        <w:jc w:val="both"/>
        <w:rPr>
          <w:rFonts w:ascii="Arial" w:eastAsiaTheme="majorEastAsia" w:hAnsi="Arial" w:cs="Arial"/>
          <w:color w:val="000000" w:themeColor="text1"/>
          <w:lang w:bidi="en-US"/>
        </w:rPr>
      </w:pPr>
      <w:r>
        <w:rPr>
          <w:rFonts w:ascii="Arial" w:eastAsiaTheme="majorEastAsia" w:hAnsi="Arial" w:cs="Arial"/>
          <w:color w:val="000000" w:themeColor="text1"/>
          <w:lang w:bidi="en-US"/>
        </w:rPr>
        <w:t>Navrhovaná právní úprava plně odpovídá uvedeným zákonným zmocněním a je v každém jednotlivém případě v mezích daného zákonného zmocnění. Navrhovaná vyhláška je plně v souladu i se zákonem o ochraně ovzduší jako celkem.</w:t>
      </w:r>
    </w:p>
    <w:p w14:paraId="42B89C4F"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C</w:t>
      </w:r>
      <w:r>
        <w:rPr>
          <w:rFonts w:ascii="Arial" w:eastAsiaTheme="majorEastAsia" w:hAnsi="Arial" w:cs="Arial"/>
          <w:b/>
          <w:color w:val="000000" w:themeColor="text1"/>
          <w:szCs w:val="24"/>
          <w:lang w:bidi="en-US"/>
        </w:rPr>
        <w:tab/>
        <w:t>Zhodnocení souladu navrhované právní úpravy s předpisy Evropské unie a obecnými právními zásadami práva Evropské unie</w:t>
      </w:r>
    </w:p>
    <w:p w14:paraId="3F51677A" w14:textId="77777777" w:rsidR="00FF2E95" w:rsidRDefault="00000000">
      <w:pPr>
        <w:tabs>
          <w:tab w:val="left" w:pos="6660"/>
        </w:tabs>
        <w:spacing w:after="120"/>
        <w:jc w:val="both"/>
        <w:rPr>
          <w:rFonts w:ascii="Arial" w:hAnsi="Arial" w:cs="Arial"/>
          <w:bCs/>
        </w:rPr>
      </w:pPr>
      <w:r>
        <w:rPr>
          <w:rFonts w:ascii="Arial" w:hAnsi="Arial" w:cs="Arial"/>
          <w:bCs/>
        </w:rPr>
        <w:t xml:space="preserve">Navrhovaná právní úprava je plně v souladu s předpisy Evropské unie, judikaturou Soudního dvora Evropské unie a obecnými právními zásadami práva Evropské unie. </w:t>
      </w:r>
    </w:p>
    <w:p w14:paraId="30FB98ED" w14:textId="77777777" w:rsidR="00FF2E95" w:rsidRDefault="00000000">
      <w:pPr>
        <w:tabs>
          <w:tab w:val="left" w:pos="6660"/>
        </w:tabs>
        <w:spacing w:after="120"/>
        <w:jc w:val="both"/>
        <w:rPr>
          <w:rFonts w:ascii="Arial" w:hAnsi="Arial" w:cs="Arial"/>
          <w:bCs/>
        </w:rPr>
      </w:pPr>
      <w:r>
        <w:rPr>
          <w:rFonts w:ascii="Arial" w:hAnsi="Arial" w:cs="Arial"/>
          <w:bCs/>
        </w:rPr>
        <w:t>Navržená úprava se dotýká těchto předpisů Evropské unie</w:t>
      </w:r>
    </w:p>
    <w:p w14:paraId="3F267B43" w14:textId="77777777" w:rsidR="00FF2E95" w:rsidRDefault="00000000">
      <w:pPr>
        <w:pStyle w:val="Odstavecseseznamem"/>
        <w:numPr>
          <w:ilvl w:val="0"/>
          <w:numId w:val="3"/>
        </w:numPr>
        <w:tabs>
          <w:tab w:val="left" w:pos="6660"/>
        </w:tabs>
        <w:spacing w:after="120" w:line="240" w:lineRule="auto"/>
        <w:jc w:val="both"/>
        <w:rPr>
          <w:rFonts w:ascii="Arial" w:eastAsia="Calibri" w:hAnsi="Arial" w:cs="Arial"/>
        </w:rPr>
      </w:pPr>
      <w:r>
        <w:rPr>
          <w:rFonts w:ascii="Arial" w:eastAsia="Calibri" w:hAnsi="Arial" w:cs="Arial"/>
        </w:rPr>
        <w:t>Směrnice Evropského parlamentu a Rady 2008/50/ES ze dne 21. května 2008 o kvalitě vnějšího ovzduší a čistším ovzduší pro Evropu</w:t>
      </w:r>
    </w:p>
    <w:p w14:paraId="425397E6" w14:textId="77777777" w:rsidR="00FF2E95" w:rsidRDefault="00000000">
      <w:pPr>
        <w:pStyle w:val="Odstavecseseznamem"/>
        <w:numPr>
          <w:ilvl w:val="0"/>
          <w:numId w:val="3"/>
        </w:numPr>
        <w:tabs>
          <w:tab w:val="left" w:pos="6660"/>
        </w:tabs>
        <w:spacing w:after="120" w:line="240" w:lineRule="auto"/>
        <w:jc w:val="both"/>
        <w:rPr>
          <w:rFonts w:ascii="Arial" w:eastAsia="Calibri" w:hAnsi="Arial" w:cs="Arial"/>
        </w:rPr>
      </w:pPr>
      <w:r>
        <w:rPr>
          <w:rFonts w:ascii="Arial" w:eastAsia="Calibri" w:hAnsi="Arial" w:cs="Arial"/>
        </w:rPr>
        <w:t>Směrnice Evropského Parlamentu a Rady 2004/107/ES ze dne 15. prosince 2004 o obsahu arsenu, kadmia, rtuti, niklu a polycyklických aromatických uhlovodíků ve vnějším ovzduší</w:t>
      </w:r>
    </w:p>
    <w:p w14:paraId="1BF7353D" w14:textId="77777777" w:rsidR="00FF2E95" w:rsidRDefault="00000000">
      <w:pPr>
        <w:pStyle w:val="Odstavecseseznamem"/>
        <w:numPr>
          <w:ilvl w:val="0"/>
          <w:numId w:val="3"/>
        </w:numPr>
        <w:tabs>
          <w:tab w:val="left" w:pos="6660"/>
        </w:tabs>
        <w:spacing w:after="120" w:line="240" w:lineRule="auto"/>
        <w:jc w:val="both"/>
        <w:rPr>
          <w:rFonts w:ascii="Arial" w:eastAsia="Calibri" w:hAnsi="Arial" w:cs="Arial"/>
        </w:rPr>
      </w:pPr>
      <w:r>
        <w:rPr>
          <w:rFonts w:ascii="Arial" w:eastAsia="Calibri" w:hAnsi="Arial" w:cs="Arial"/>
        </w:rPr>
        <w:t>Směrnice Evropského parlamentu a Rady 2004/42/ES ze dne 21. dubna 2004 o omezování emisí těkavých organických sloučenin vznikajících při používání organických rozpouštědel v některých barvách a lacích a výrobcích pro opravy nátěru vozidel a o změně směrnice 1999/13/ES</w:t>
      </w:r>
    </w:p>
    <w:p w14:paraId="75C2211A" w14:textId="77777777" w:rsidR="00FF2E95" w:rsidRDefault="00000000">
      <w:pPr>
        <w:pStyle w:val="Odstavecseseznamem"/>
        <w:numPr>
          <w:ilvl w:val="0"/>
          <w:numId w:val="3"/>
        </w:numPr>
        <w:tabs>
          <w:tab w:val="left" w:pos="6660"/>
        </w:tabs>
        <w:spacing w:after="120" w:line="240" w:lineRule="auto"/>
        <w:jc w:val="both"/>
        <w:rPr>
          <w:rFonts w:ascii="Arial" w:eastAsia="Calibri" w:hAnsi="Arial" w:cs="Arial"/>
        </w:rPr>
      </w:pPr>
      <w:r>
        <w:rPr>
          <w:rFonts w:ascii="Arial" w:eastAsia="Calibri" w:hAnsi="Arial" w:cs="Arial"/>
        </w:rPr>
        <w:t>Směrnice Evropského parlamentu a Rady 2009/30/ES ze dne 23. dubna 2009, kterou se mění směrnice 98/70/ES, pokud jde o specifikaci benzinu, motorové nafty a plynových olejů, zavedení mechanismu pro sledování a snížení emisí skleníkových plynů, a směrnice Rady 1999/32/ES, pokud jde o specifikaci paliva používaného plavidly vnitrozemské plavby, a kterou se ruší směrnice 93/12/EHS</w:t>
      </w:r>
    </w:p>
    <w:p w14:paraId="337CC846" w14:textId="77777777" w:rsidR="00FF2E95" w:rsidRDefault="00000000">
      <w:pPr>
        <w:pStyle w:val="Odstavecseseznamem"/>
        <w:numPr>
          <w:ilvl w:val="0"/>
          <w:numId w:val="3"/>
        </w:numPr>
        <w:tabs>
          <w:tab w:val="left" w:pos="6660"/>
        </w:tabs>
        <w:spacing w:after="120" w:line="240" w:lineRule="auto"/>
        <w:jc w:val="both"/>
        <w:rPr>
          <w:rFonts w:ascii="Arial" w:eastAsia="Calibri" w:hAnsi="Arial" w:cs="Arial"/>
        </w:rPr>
      </w:pPr>
      <w:bookmarkStart w:id="8" w:name="_Hlk182387226"/>
      <w:r>
        <w:rPr>
          <w:rFonts w:ascii="Arial" w:eastAsia="Calibri" w:hAnsi="Arial" w:cs="Arial"/>
        </w:rPr>
        <w:t>Směrnice Evropského Parlamentu a Rady 2010/75/EU ze dne 24. listopadu 2010 o průmyslových emisích (integrované prevenci a omezování znečištění)</w:t>
      </w:r>
      <w:bookmarkEnd w:id="8"/>
    </w:p>
    <w:p w14:paraId="551BF993" w14:textId="77777777" w:rsidR="00FF2E95" w:rsidRDefault="00000000">
      <w:pPr>
        <w:pStyle w:val="Odstavecseseznamem"/>
        <w:numPr>
          <w:ilvl w:val="0"/>
          <w:numId w:val="3"/>
        </w:numPr>
        <w:tabs>
          <w:tab w:val="left" w:pos="6660"/>
        </w:tabs>
        <w:spacing w:after="120" w:line="240" w:lineRule="auto"/>
        <w:jc w:val="both"/>
        <w:rPr>
          <w:rFonts w:ascii="Arial" w:eastAsia="Calibri" w:hAnsi="Arial" w:cs="Arial"/>
        </w:rPr>
      </w:pPr>
      <w:r>
        <w:rPr>
          <w:rFonts w:ascii="Arial" w:eastAsia="Calibri" w:hAnsi="Arial" w:cs="Arial"/>
        </w:rPr>
        <w:t>Směrnice Evropského parlamentu a Rady 2015/2193/EU ze dne 25. listopadu 2015 o omezení emisí některých znečišťujících látek do ovzduší ze středních spalovacích zařízení</w:t>
      </w:r>
    </w:p>
    <w:p w14:paraId="2D425592" w14:textId="77777777" w:rsidR="00FF2E95" w:rsidRDefault="00000000">
      <w:pPr>
        <w:pStyle w:val="Odstavecseseznamem"/>
        <w:numPr>
          <w:ilvl w:val="0"/>
          <w:numId w:val="3"/>
        </w:numPr>
        <w:tabs>
          <w:tab w:val="left" w:pos="6660"/>
        </w:tabs>
        <w:spacing w:after="120" w:line="240" w:lineRule="auto"/>
        <w:jc w:val="both"/>
        <w:rPr>
          <w:rFonts w:ascii="Arial" w:eastAsia="Calibri" w:hAnsi="Arial" w:cs="Arial"/>
        </w:rPr>
      </w:pPr>
      <w:r>
        <w:rPr>
          <w:rFonts w:ascii="Arial" w:eastAsia="Calibri" w:hAnsi="Arial" w:cs="Arial"/>
        </w:rPr>
        <w:t>Směrnice Evropského parlamentu a Rady (EU) 2016/2284 ze dne 14. prosince 2016 o snížení národních emisí některých látek znečišťujících ovzduší, o změně směrnice 2003/35/ES a o zrušení směrnice 2001/81/ES</w:t>
      </w:r>
    </w:p>
    <w:p w14:paraId="64D97B5B" w14:textId="775891A2" w:rsidR="00FF2E95" w:rsidRDefault="00000000">
      <w:pPr>
        <w:spacing w:after="120" w:line="276" w:lineRule="auto"/>
        <w:jc w:val="both"/>
        <w:rPr>
          <w:rFonts w:ascii="Arial" w:hAnsi="Arial" w:cs="Arial"/>
          <w:color w:val="000000" w:themeColor="text1"/>
          <w:szCs w:val="24"/>
        </w:rPr>
      </w:pPr>
      <w:r>
        <w:rPr>
          <w:rFonts w:ascii="Arial" w:hAnsi="Arial" w:cs="Arial"/>
          <w:color w:val="000000" w:themeColor="text1"/>
          <w:szCs w:val="24"/>
        </w:rPr>
        <w:lastRenderedPageBreak/>
        <w:t>Navrhovanou úpravou dochází k transpozici ně</w:t>
      </w:r>
      <w:r w:rsidR="007B55EF">
        <w:rPr>
          <w:rFonts w:ascii="Arial" w:hAnsi="Arial" w:cs="Arial"/>
          <w:color w:val="000000" w:themeColor="text1"/>
          <w:szCs w:val="24"/>
        </w:rPr>
        <w:t>kolika</w:t>
      </w:r>
      <w:r>
        <w:rPr>
          <w:rFonts w:ascii="Arial" w:hAnsi="Arial" w:cs="Arial"/>
          <w:color w:val="000000" w:themeColor="text1"/>
          <w:szCs w:val="24"/>
        </w:rPr>
        <w:t xml:space="preserve"> ustanovení revidované směrnice Evropského Parlamentu a Rady 2010/75/EU ze dne 24. listopadu 2010 o průmyslových emisích (integrované prevenci a omezování znečištění), v platném znění</w:t>
      </w:r>
      <w:r w:rsidR="007B55EF">
        <w:rPr>
          <w:rFonts w:ascii="Arial" w:hAnsi="Arial" w:cs="Arial"/>
          <w:color w:val="000000" w:themeColor="text1"/>
          <w:szCs w:val="24"/>
        </w:rPr>
        <w:t xml:space="preserve">, u nichž je vhodné provést transpozici do této vyhlášky. </w:t>
      </w:r>
      <w:r w:rsidR="007B55EF" w:rsidRPr="007B55EF">
        <w:rPr>
          <w:rFonts w:ascii="Arial" w:hAnsi="Arial" w:cs="Arial"/>
          <w:color w:val="000000" w:themeColor="text1"/>
          <w:szCs w:val="24"/>
        </w:rPr>
        <w:t>Směrnice Evropského parlamentu a Rady (EU) 2024/1785 ze dne 24. dubna 2024, kterou se mění směrnice Evropského parlamentu a Rady 2010/75/EU o průmyslových emisích (integrované prevenci a omezování znečištění) a směrnice Rady 1999/31/ES o skládkách odpadů</w:t>
      </w:r>
      <w:r w:rsidR="007B55EF">
        <w:rPr>
          <w:rFonts w:ascii="Arial" w:hAnsi="Arial" w:cs="Arial"/>
          <w:color w:val="000000" w:themeColor="text1"/>
          <w:szCs w:val="24"/>
        </w:rPr>
        <w:t xml:space="preserve"> bude ve zbytku transponována jiným návrhem.</w:t>
      </w:r>
    </w:p>
    <w:p w14:paraId="688C4822" w14:textId="3C55EA14" w:rsidR="00B675FC" w:rsidRDefault="00000000" w:rsidP="00B675FC">
      <w:pPr>
        <w:spacing w:after="120" w:line="276" w:lineRule="auto"/>
        <w:jc w:val="both"/>
        <w:rPr>
          <w:rFonts w:ascii="Arial" w:hAnsi="Arial" w:cs="Arial"/>
          <w:color w:val="000000" w:themeColor="text1"/>
          <w:szCs w:val="24"/>
        </w:rPr>
      </w:pPr>
      <w:r w:rsidRPr="00575AB0">
        <w:rPr>
          <w:rFonts w:ascii="Arial" w:hAnsi="Arial" w:cs="Arial"/>
          <w:color w:val="000000" w:themeColor="text1"/>
          <w:szCs w:val="24"/>
        </w:rPr>
        <w:t xml:space="preserve">Navrhovanou úpravou dochází </w:t>
      </w:r>
      <w:r>
        <w:rPr>
          <w:rFonts w:ascii="Arial" w:hAnsi="Arial" w:cs="Arial"/>
          <w:color w:val="000000" w:themeColor="text1"/>
          <w:szCs w:val="24"/>
        </w:rPr>
        <w:t xml:space="preserve">dále </w:t>
      </w:r>
      <w:r w:rsidRPr="00575AB0">
        <w:rPr>
          <w:rFonts w:ascii="Arial" w:hAnsi="Arial" w:cs="Arial"/>
          <w:color w:val="000000" w:themeColor="text1"/>
          <w:szCs w:val="24"/>
        </w:rPr>
        <w:t>k re-transpozici něk</w:t>
      </w:r>
      <w:r>
        <w:rPr>
          <w:rFonts w:ascii="Arial" w:hAnsi="Arial" w:cs="Arial"/>
          <w:color w:val="000000" w:themeColor="text1"/>
          <w:szCs w:val="24"/>
        </w:rPr>
        <w:t>olika</w:t>
      </w:r>
      <w:r w:rsidRPr="00575AB0">
        <w:rPr>
          <w:rFonts w:ascii="Arial" w:hAnsi="Arial" w:cs="Arial"/>
          <w:color w:val="000000" w:themeColor="text1"/>
          <w:szCs w:val="24"/>
        </w:rPr>
        <w:t xml:space="preserve"> ustanovení směrnic 2010/75/EU</w:t>
      </w:r>
      <w:r>
        <w:rPr>
          <w:rFonts w:ascii="Arial" w:hAnsi="Arial" w:cs="Arial"/>
          <w:color w:val="000000" w:themeColor="text1"/>
          <w:szCs w:val="24"/>
        </w:rPr>
        <w:t xml:space="preserve"> a</w:t>
      </w:r>
      <w:r w:rsidRPr="00575AB0">
        <w:rPr>
          <w:rFonts w:ascii="Arial" w:hAnsi="Arial" w:cs="Arial"/>
          <w:color w:val="000000" w:themeColor="text1"/>
          <w:szCs w:val="24"/>
        </w:rPr>
        <w:t xml:space="preserve"> 2015/2193/EU. U </w:t>
      </w:r>
      <w:r>
        <w:rPr>
          <w:rFonts w:ascii="Arial" w:hAnsi="Arial" w:cs="Arial"/>
          <w:color w:val="000000" w:themeColor="text1"/>
          <w:szCs w:val="24"/>
        </w:rPr>
        <w:t xml:space="preserve">změny </w:t>
      </w:r>
      <w:r w:rsidRPr="00B675FC">
        <w:rPr>
          <w:rFonts w:ascii="Arial" w:hAnsi="Arial" w:cs="Arial"/>
          <w:color w:val="000000" w:themeColor="text1"/>
          <w:szCs w:val="24"/>
        </w:rPr>
        <w:t>§ 2 písm. e)</w:t>
      </w:r>
      <w:r>
        <w:rPr>
          <w:rFonts w:ascii="Arial" w:hAnsi="Arial" w:cs="Arial"/>
          <w:color w:val="000000" w:themeColor="text1"/>
          <w:szCs w:val="24"/>
        </w:rPr>
        <w:t xml:space="preserve"> je provedena úprava definice v návaznosti na výtky Evropské komise v rámci infringmentového řízení </w:t>
      </w:r>
      <w:r w:rsidRPr="00B675FC">
        <w:rPr>
          <w:rFonts w:ascii="Arial" w:hAnsi="Arial" w:cs="Arial"/>
          <w:color w:val="000000" w:themeColor="text1"/>
          <w:szCs w:val="24"/>
        </w:rPr>
        <w:t>k transpozici směrnice Evropského parlamentu a Rady 2015/2193/EU</w:t>
      </w:r>
      <w:r>
        <w:rPr>
          <w:rFonts w:ascii="Arial" w:hAnsi="Arial" w:cs="Arial"/>
          <w:color w:val="000000" w:themeColor="text1"/>
          <w:szCs w:val="24"/>
        </w:rPr>
        <w:t>.</w:t>
      </w:r>
    </w:p>
    <w:p w14:paraId="065E508B" w14:textId="07A49B22" w:rsidR="00FF2E95" w:rsidRDefault="00000000">
      <w:pPr>
        <w:spacing w:after="120" w:line="276" w:lineRule="auto"/>
        <w:jc w:val="both"/>
        <w:rPr>
          <w:rFonts w:ascii="Arial" w:eastAsiaTheme="majorEastAsia" w:hAnsi="Arial" w:cs="Arial"/>
          <w:color w:val="000000" w:themeColor="text1"/>
          <w:sz w:val="20"/>
          <w:szCs w:val="20"/>
          <w:lang w:bidi="en-US"/>
        </w:rPr>
      </w:pPr>
      <w:r>
        <w:rPr>
          <w:rFonts w:ascii="Arial" w:hAnsi="Arial" w:cs="Arial"/>
          <w:color w:val="000000" w:themeColor="text1"/>
          <w:szCs w:val="24"/>
        </w:rPr>
        <w:t>Návrh vyhlášky je plně v souladu s předpisy Evropské unie.</w:t>
      </w:r>
    </w:p>
    <w:p w14:paraId="6B4488FC"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D</w:t>
      </w:r>
      <w:r>
        <w:rPr>
          <w:rFonts w:ascii="Arial" w:eastAsiaTheme="majorEastAsia" w:hAnsi="Arial" w:cs="Arial"/>
          <w:b/>
          <w:color w:val="000000" w:themeColor="text1"/>
          <w:szCs w:val="24"/>
          <w:lang w:bidi="en-US"/>
        </w:rPr>
        <w:tab/>
        <w:t>Zhodnocení platného právního stavu a odůvodnění nezbytnosti jeho změny</w:t>
      </w:r>
    </w:p>
    <w:p w14:paraId="44E2B54E" w14:textId="1D025E98" w:rsidR="00E67EF6" w:rsidRPr="00712271" w:rsidRDefault="00000000">
      <w:pPr>
        <w:jc w:val="both"/>
        <w:rPr>
          <w:rFonts w:ascii="Arial" w:eastAsiaTheme="majorEastAsia" w:hAnsi="Arial" w:cs="Arial"/>
          <w:color w:val="000000" w:themeColor="text1"/>
          <w:lang w:bidi="en-US"/>
        </w:rPr>
      </w:pPr>
      <w:r>
        <w:rPr>
          <w:rFonts w:ascii="Arial" w:hAnsi="Arial" w:cs="Arial"/>
          <w:color w:val="000000" w:themeColor="text1"/>
          <w:szCs w:val="24"/>
        </w:rPr>
        <w:t xml:space="preserve">Jak již bylo podrobně popsáno v části A, stávající úprava ve vyhlášce č. 415/2012 Sb. </w:t>
      </w:r>
      <w:r w:rsidR="00712271">
        <w:rPr>
          <w:rFonts w:ascii="Arial" w:hAnsi="Arial" w:cs="Arial"/>
          <w:color w:val="000000" w:themeColor="text1"/>
          <w:szCs w:val="24"/>
        </w:rPr>
        <w:t>po</w:t>
      </w:r>
      <w:r>
        <w:rPr>
          <w:rFonts w:ascii="Arial" w:hAnsi="Arial" w:cs="Arial"/>
          <w:color w:val="000000" w:themeColor="text1"/>
          <w:szCs w:val="24"/>
        </w:rPr>
        <w:t xml:space="preserve"> nabytí účinnosti novely zákona o ochraně ovzduší dostatečně </w:t>
      </w:r>
      <w:r w:rsidR="00712271">
        <w:rPr>
          <w:rFonts w:ascii="Arial" w:hAnsi="Arial" w:cs="Arial"/>
          <w:color w:val="000000" w:themeColor="text1"/>
          <w:szCs w:val="24"/>
        </w:rPr>
        <w:t>ne</w:t>
      </w:r>
      <w:r>
        <w:rPr>
          <w:rFonts w:ascii="Arial" w:hAnsi="Arial" w:cs="Arial"/>
          <w:color w:val="000000" w:themeColor="text1"/>
          <w:szCs w:val="24"/>
        </w:rPr>
        <w:t>reflekt</w:t>
      </w:r>
      <w:r w:rsidR="00712271">
        <w:rPr>
          <w:rFonts w:ascii="Arial" w:hAnsi="Arial" w:cs="Arial"/>
          <w:color w:val="000000" w:themeColor="text1"/>
          <w:szCs w:val="24"/>
        </w:rPr>
        <w:t>uje</w:t>
      </w:r>
      <w:r>
        <w:rPr>
          <w:rFonts w:ascii="Arial" w:hAnsi="Arial" w:cs="Arial"/>
          <w:color w:val="000000" w:themeColor="text1"/>
          <w:szCs w:val="24"/>
        </w:rPr>
        <w:t xml:space="preserve"> platný právní stav a zákonná zmocnění v zákoně o ochraně ovzduší uvedená. </w:t>
      </w:r>
      <w:r w:rsidR="00712271">
        <w:rPr>
          <w:rFonts w:ascii="Arial" w:eastAsiaTheme="majorEastAsia" w:hAnsi="Arial" w:cs="Arial"/>
          <w:color w:val="000000" w:themeColor="text1"/>
          <w:lang w:bidi="en-US"/>
        </w:rPr>
        <w:t xml:space="preserve">Novela zákona o ochraně ovzduší provedená zákonem č. </w:t>
      </w:r>
      <w:r w:rsidR="00712271" w:rsidRPr="00712271">
        <w:rPr>
          <w:rFonts w:ascii="Arial" w:eastAsiaTheme="majorEastAsia" w:hAnsi="Arial" w:cs="Arial"/>
          <w:color w:val="000000" w:themeColor="text1"/>
          <w:lang w:bidi="en-US"/>
        </w:rPr>
        <w:t>42/2025 Sb.</w:t>
      </w:r>
      <w:r w:rsidR="00712271">
        <w:rPr>
          <w:rFonts w:ascii="Arial" w:eastAsiaTheme="majorEastAsia" w:hAnsi="Arial" w:cs="Arial"/>
          <w:color w:val="000000" w:themeColor="text1"/>
          <w:lang w:bidi="en-US"/>
        </w:rPr>
        <w:t xml:space="preserve">, </w:t>
      </w:r>
      <w:r w:rsidR="00712271" w:rsidRPr="00712271">
        <w:rPr>
          <w:rFonts w:ascii="Arial" w:eastAsiaTheme="majorEastAsia" w:hAnsi="Arial" w:cs="Arial"/>
          <w:color w:val="000000" w:themeColor="text1"/>
          <w:lang w:bidi="en-US"/>
        </w:rPr>
        <w:t>kterým se mění zákon č. 201/2012 Sb., o ochraně ovzduší, ve znění pozdějších předpisů, a další související zákony</w:t>
      </w:r>
      <w:r w:rsidR="00712271">
        <w:rPr>
          <w:rFonts w:ascii="Arial" w:eastAsiaTheme="majorEastAsia" w:hAnsi="Arial" w:cs="Arial"/>
          <w:color w:val="000000" w:themeColor="text1"/>
          <w:lang w:bidi="en-US"/>
        </w:rPr>
        <w:t>, nabyla účinnosti 1. března 2025 (s výjimkou vybraných ustanovení, která mají účinnost odloženu až k 1. lednu 2026, resp. 1. lednu 2028)</w:t>
      </w:r>
      <w:r>
        <w:rPr>
          <w:rFonts w:ascii="Arial" w:hAnsi="Arial" w:cs="Arial"/>
          <w:color w:val="000000" w:themeColor="text1"/>
          <w:szCs w:val="24"/>
        </w:rPr>
        <w:t>. Předkládaný návrh vyhlášky si proto klade za cíl uvést vyhlášku do souladu s novou právní úpravou zakotvenou novelou zákona o ochraně ovzduší. Bez provedení změn ve vyhlášce by byla řada povinností stanovených zákonem o ochraně ovzduší v praxi neaplikovatelná a nevynutitelná a současně by adresáti povinností v zákoně o ochraně ovzduší postrádali prováděcí právní úpravu, která jim stanoví, jakým způsobem povinnosti vyplývající ze zákona naplnit.</w:t>
      </w:r>
    </w:p>
    <w:p w14:paraId="17741686" w14:textId="1EEAD185" w:rsidR="00E67EF6" w:rsidRDefault="00000000" w:rsidP="00E67EF6">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sidRPr="00E67EF6">
        <w:rPr>
          <w:rFonts w:ascii="Arial" w:eastAsiaTheme="majorEastAsia" w:hAnsi="Arial" w:cs="Arial"/>
          <w:b/>
          <w:color w:val="000000" w:themeColor="text1"/>
          <w:szCs w:val="24"/>
          <w:lang w:bidi="en-US"/>
        </w:rPr>
        <w:t xml:space="preserve">E </w:t>
      </w:r>
      <w:r>
        <w:rPr>
          <w:rFonts w:ascii="Arial" w:eastAsiaTheme="majorEastAsia" w:hAnsi="Arial" w:cs="Arial"/>
          <w:b/>
          <w:color w:val="000000" w:themeColor="text1"/>
          <w:szCs w:val="24"/>
          <w:lang w:bidi="en-US"/>
        </w:rPr>
        <w:t>Z</w:t>
      </w:r>
      <w:r w:rsidRPr="00E67EF6">
        <w:rPr>
          <w:rFonts w:ascii="Arial" w:eastAsiaTheme="majorEastAsia" w:hAnsi="Arial" w:cs="Arial"/>
          <w:b/>
          <w:color w:val="000000" w:themeColor="text1"/>
          <w:szCs w:val="24"/>
          <w:lang w:bidi="en-US"/>
        </w:rPr>
        <w:t xml:space="preserve">hodnocení, zda návrhem </w:t>
      </w:r>
      <w:r>
        <w:rPr>
          <w:rFonts w:ascii="Arial" w:eastAsiaTheme="majorEastAsia" w:hAnsi="Arial" w:cs="Arial"/>
          <w:b/>
          <w:color w:val="000000" w:themeColor="text1"/>
          <w:szCs w:val="24"/>
          <w:lang w:bidi="en-US"/>
        </w:rPr>
        <w:t>vyhlášky</w:t>
      </w:r>
      <w:r w:rsidRPr="00E67EF6">
        <w:rPr>
          <w:rFonts w:ascii="Arial" w:eastAsiaTheme="majorEastAsia" w:hAnsi="Arial" w:cs="Arial"/>
          <w:b/>
          <w:color w:val="000000" w:themeColor="text1"/>
          <w:szCs w:val="24"/>
          <w:lang w:bidi="en-US"/>
        </w:rPr>
        <w:t xml:space="preserve"> není zakládána veřejná podpora</w:t>
      </w:r>
    </w:p>
    <w:p w14:paraId="5FA252E6" w14:textId="55AC4206" w:rsidR="00E67EF6" w:rsidRPr="00E67EF6" w:rsidRDefault="00000000" w:rsidP="00E67EF6">
      <w:pPr>
        <w:rPr>
          <w:rFonts w:ascii="Arial" w:hAnsi="Arial" w:cs="Arial"/>
          <w:color w:val="000000" w:themeColor="text1"/>
          <w:szCs w:val="24"/>
        </w:rPr>
      </w:pPr>
      <w:r w:rsidRPr="00E67EF6">
        <w:rPr>
          <w:rFonts w:ascii="Arial" w:hAnsi="Arial" w:cs="Arial"/>
          <w:color w:val="000000" w:themeColor="text1"/>
          <w:szCs w:val="24"/>
        </w:rPr>
        <w:t>Návrhem není zakládána veřejná podpora.</w:t>
      </w:r>
    </w:p>
    <w:p w14:paraId="4BA6FA65" w14:textId="3CDDDA8B"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bookmarkStart w:id="9" w:name="_Hlk182388568"/>
      <w:r>
        <w:rPr>
          <w:rFonts w:ascii="Arial" w:eastAsiaTheme="majorEastAsia" w:hAnsi="Arial" w:cs="Arial"/>
          <w:b/>
          <w:color w:val="000000" w:themeColor="text1"/>
          <w:szCs w:val="24"/>
          <w:lang w:bidi="en-US"/>
        </w:rPr>
        <w:t>F</w:t>
      </w:r>
      <w:r>
        <w:rPr>
          <w:rFonts w:ascii="Arial" w:eastAsiaTheme="majorEastAsia" w:hAnsi="Arial" w:cs="Arial"/>
          <w:b/>
          <w:color w:val="000000" w:themeColor="text1"/>
          <w:szCs w:val="24"/>
          <w:lang w:bidi="en-US"/>
        </w:rPr>
        <w:tab/>
        <w:t>Předpokládaný hospodářský a finanční dosah navrhované právní úpravy na státní rozpočet, ostatní veřejné rozpočty, na podnikatelské prostředí České republiky</w:t>
      </w:r>
      <w:bookmarkEnd w:id="9"/>
      <w:r>
        <w:rPr>
          <w:rFonts w:ascii="Arial" w:eastAsiaTheme="majorEastAsia" w:hAnsi="Arial" w:cs="Arial"/>
          <w:b/>
          <w:color w:val="000000" w:themeColor="text1"/>
          <w:szCs w:val="24"/>
          <w:lang w:bidi="en-US"/>
        </w:rPr>
        <w:t>, dále sociální dopady, včetně dopadů na specifické skupiny obyvatel, zejména osoby sociálně slabé, osoby se zdravotním postižením a národnostní menšiny, a dopady na životní prostředí</w:t>
      </w:r>
    </w:p>
    <w:p w14:paraId="5FE0D2A6" w14:textId="60792F16"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Dopisem ministra pro legislativu a předsedy Legislativní rady vlády ze dne 8. října 2024 (čj. 59000-2024-UVCR) byla na základě žádosti v souladu s čl. 76 odst. 2 Legislativních pravidel vlády a bodem 5.7 Obecných zásad pro hodnocení dopadů regulace udělena výjimka z provedení hodnocení dopadů regulace (RIA) k návrhu vyhlášky.</w:t>
      </w:r>
    </w:p>
    <w:p w14:paraId="4EFE21F7"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Varianty řešení předmětu úpravy a dopady byly vyhodnoceny v rámci Závěrečné zprávy RIA k novelizaci zákona č. 201/2012 Sb., o ochraně ovzduší. Novelizace vyhlášky představuje technické provedení ustanovení zákona. Níže jsou uvedeny dopady, které mají vazbu pouze na návrh změny vyhlášky č. 415/2012 Sb.</w:t>
      </w:r>
    </w:p>
    <w:p w14:paraId="0669DDA5"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 xml:space="preserve">Upravovaná oblast nemůže nikterak zasáhnout sociální skupiny, včetně specifických skupin obyvatel. Úprava nebude mít žádné dopady na rodiny ani sociální dopady, včetně dopadů na </w:t>
      </w:r>
      <w:r>
        <w:rPr>
          <w:rFonts w:ascii="Arial" w:hAnsi="Arial" w:cs="Arial"/>
          <w:color w:val="000000" w:themeColor="text1"/>
          <w:lang w:eastAsia="cs-CZ" w:bidi="en-US"/>
        </w:rPr>
        <w:lastRenderedPageBreak/>
        <w:t>specifické skupiny obyvatel, zejména osoby sociálně slabé, osoby se zdravotním postižením a národnostní menšiny.</w:t>
      </w:r>
    </w:p>
    <w:p w14:paraId="2668BF69"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Pozitivní budou dopady na životní prostředí. Ochrana životního prostředí bude posílena s ohledem na zefektivnění regulace a zavedení nové environmentálně motivované regulace (minimální vzdálenosti, závazné postupy pro kontroly lokálního vytápění, nové emisní limity a další závazné podmínky pro provoz, nepřetržité sledování provozního parametru atd.).</w:t>
      </w:r>
    </w:p>
    <w:p w14:paraId="1B83E907" w14:textId="77777777" w:rsidR="00FF2E95" w:rsidRPr="00FE7D8F" w:rsidRDefault="00000000">
      <w:pPr>
        <w:spacing w:after="120" w:line="276" w:lineRule="auto"/>
        <w:jc w:val="both"/>
        <w:rPr>
          <w:rFonts w:ascii="Arial" w:hAnsi="Arial" w:cs="Arial"/>
          <w:bCs/>
          <w:color w:val="000000" w:themeColor="text1"/>
          <w:u w:val="single"/>
          <w:lang w:eastAsia="cs-CZ" w:bidi="en-US"/>
        </w:rPr>
      </w:pPr>
      <w:bookmarkStart w:id="10" w:name="_Hlk185240765"/>
      <w:r w:rsidRPr="00FE7D8F">
        <w:rPr>
          <w:rFonts w:ascii="Arial" w:hAnsi="Arial" w:cs="Arial"/>
          <w:bCs/>
          <w:color w:val="000000" w:themeColor="text1"/>
          <w:u w:val="single"/>
          <w:lang w:eastAsia="cs-CZ" w:bidi="en-US"/>
        </w:rPr>
        <w:t>Dopady na státní rozpočet a ostatní veřejné rozpočty</w:t>
      </w:r>
    </w:p>
    <w:p w14:paraId="4EB2FC05"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V souvislosti se změnami, které bude nutné promítnout do stávajících povolení provozu stacionárních zdrojů znečišťování, vyplývá následující jednorázové navýšení administrativní zátěže krajských úřadů:</w:t>
      </w:r>
    </w:p>
    <w:bookmarkEnd w:id="10"/>
    <w:p w14:paraId="69ECC6D5"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Změny, které je nutno promítnout do povolení provozu v rámci správního řízení o změně povolení provozu, nebudou realizovány jednotlivě v samostatných správních řízeních, ale najednou nebo ve větších celcích. To znamená, že výše uvedené náklady povolujícího orgánu (KÚ) budou v praxi nižší, avšak nelze určit o kolik budou v reálu sníženy.</w:t>
      </w:r>
    </w:p>
    <w:p w14:paraId="3B94DB3B" w14:textId="77777777" w:rsidR="00FF2E95" w:rsidRPr="00FE7D8F" w:rsidRDefault="00000000">
      <w:pPr>
        <w:spacing w:after="120" w:line="276" w:lineRule="auto"/>
        <w:jc w:val="both"/>
        <w:rPr>
          <w:rFonts w:ascii="Arial" w:hAnsi="Arial" w:cs="Arial"/>
          <w:color w:val="000000" w:themeColor="text1"/>
          <w:u w:val="single"/>
          <w:lang w:eastAsia="cs-CZ" w:bidi="en-US"/>
        </w:rPr>
      </w:pPr>
      <w:r w:rsidRPr="00FE7D8F">
        <w:rPr>
          <w:rFonts w:ascii="Arial" w:hAnsi="Arial" w:cs="Arial"/>
          <w:color w:val="000000" w:themeColor="text1"/>
          <w:u w:val="single"/>
          <w:lang w:eastAsia="cs-CZ" w:bidi="en-US"/>
        </w:rPr>
        <w:t>Dopady na podnikatelské prostředí</w:t>
      </w:r>
    </w:p>
    <w:p w14:paraId="58AB37F4"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 xml:space="preserve">Povinnost nepřetržitého sledování určitého provozního parametru pro kontrolu správné funkce technologie ke snižování emisí nebo opatření ke snížení emisí (u provozovatelů, kteří mají stanoveno jednorázového měření emisí) (dle § 6 odst. 4 zákona a § 6a vyhlášky) si vyžádá jednorázové investiční náklady na pořízení dané měřící jednotky. Při počtu cca 7 700 stacionárních zdrojů jsou celkové jednorázové náklady cca 385 mil. Kč. </w:t>
      </w:r>
    </w:p>
    <w:p w14:paraId="3B8E7D75" w14:textId="77777777" w:rsidR="00FF2E95" w:rsidRDefault="00000000">
      <w:pPr>
        <w:spacing w:after="120" w:line="276" w:lineRule="auto"/>
        <w:jc w:val="both"/>
        <w:rPr>
          <w:rFonts w:ascii="Arial" w:hAnsi="Arial" w:cs="Arial"/>
          <w:color w:val="000000" w:themeColor="text1"/>
          <w:lang w:eastAsia="cs-CZ" w:bidi="en-US"/>
        </w:rPr>
      </w:pPr>
      <w:bookmarkStart w:id="11" w:name="_Hlk94260495"/>
      <w:r>
        <w:rPr>
          <w:rFonts w:ascii="Arial" w:hAnsi="Arial" w:cs="Arial"/>
          <w:color w:val="000000" w:themeColor="text1"/>
          <w:lang w:eastAsia="cs-CZ" w:bidi="en-US"/>
        </w:rPr>
        <w:t>Pro ohlašování výsledků kontinuálního měření prostřednictvím informačního systému bude nutná úprava softwaru kontinuálního měření emisí pro automatizované zasílání výsledků. Celkové jednorázové náklady při počtu cca 280 stacionárních zdrojů jsou odhadovány na 14–28 mil. Kč (lze pokrýt z OPŽP z opatření 1.6.10 s alokací 100 mil. Kč).</w:t>
      </w:r>
      <w:bookmarkEnd w:id="11"/>
      <w:r>
        <w:rPr>
          <w:rFonts w:ascii="Arial" w:hAnsi="Arial" w:cs="Arial"/>
          <w:color w:val="000000" w:themeColor="text1"/>
          <w:lang w:eastAsia="cs-CZ" w:bidi="en-US"/>
        </w:rPr>
        <w:t xml:space="preserve"> Následný běžný provoz ohlašování výsledků bude probíhat s nutností ověřování ohlašovaných výsledků a jejich zpětné kontroly. V souvislosti s tím dojde při počtu cca 280 stacionárních zdrojů k navýšení administrativní zátěže o 22–43 mil. Kč/rok.</w:t>
      </w:r>
    </w:p>
    <w:p w14:paraId="646FC7F8" w14:textId="77777777" w:rsidR="00FF2E95" w:rsidRDefault="00000000">
      <w:pPr>
        <w:spacing w:after="120" w:line="276" w:lineRule="auto"/>
        <w:jc w:val="both"/>
        <w:rPr>
          <w:rFonts w:ascii="Arial" w:hAnsi="Arial" w:cs="Arial"/>
          <w:color w:val="000000" w:themeColor="text1"/>
          <w:lang w:eastAsia="cs-CZ" w:bidi="en-US"/>
        </w:rPr>
      </w:pPr>
      <w:bookmarkStart w:id="12" w:name="_Hlk128001937"/>
      <w:r>
        <w:rPr>
          <w:rFonts w:ascii="Arial" w:hAnsi="Arial" w:cs="Arial"/>
          <w:color w:val="000000" w:themeColor="text1"/>
          <w:lang w:eastAsia="cs-CZ" w:bidi="en-US"/>
        </w:rPr>
        <w:t>U provozovatelů stacionárních zdrojů znečišťování s udělenou výjimkou ze zjišťování znečišťování emisí měřením dojde k jednorázovému navýšení administrativní zátěže v souvislosti s nutností vypočítat množství vypouštěných emisí a podáním žádosti o změnu povolení provozu z důvodu přezkoumání této výjimky, resp. v souvislosti s udělením výjimky dle § 17 odst. 3 písm. d) zákona (§ 12 vyhlášky). Při počtu 1 900 zdrojů je celková administrativní zátěž provozovatelů stacionárních zdrojů znečišťování 800 tis.–1,6 mil. Kč, a dále náklady za správní poplatky na žádost o změnu povolení jsou cca 7,6 mil. Kč.</w:t>
      </w:r>
      <w:bookmarkEnd w:id="12"/>
    </w:p>
    <w:p w14:paraId="47028FE3"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 xml:space="preserve">V příloze č. 8 jsou stanoveny nové technické podmínky provozu u některých kódů, z nichž budou vyplývat pro provozovatele daných stacionárních zdrojů nové náklady. Výše těchto nákladů se bude lišit podle toho, jaké konkrétní podmínky provozu krajský úřad (KÚ) danému provozovateli stanoví, neboť vyhláška uvádí širokou škálu možných opatření, z nichž je možné vybrat některé s přihlédnutím k místním podmínkám, velikosti provozu, dalším možnostem zařízení atd. Z toho důvodu je výše nákladů uváděna vždy v rozpětí hodnot (často i v rozpětí několika řádů), ve kterém se mohou náklady pro jednoho provozovatele pohybovat dle provedených opatření. Zároveň uvádíme odhadované počty provozovatelů, u nichž očekáváme vícenáklady související s novými technickými podmínkami provozu, avšak skutečný počet se může lišit, neboť v některých případech nelze určit kolik provozovatelů </w:t>
      </w:r>
      <w:r>
        <w:rPr>
          <w:rFonts w:ascii="Arial" w:hAnsi="Arial" w:cs="Arial"/>
          <w:color w:val="000000" w:themeColor="text1"/>
          <w:lang w:eastAsia="cs-CZ" w:bidi="en-US"/>
        </w:rPr>
        <w:lastRenderedPageBreak/>
        <w:t>opatření, která jim budou stanovena KÚ v povolení provozu, v současnosti již plní. Na základě těchto skutečností tudíž nelze udělat celkový souhrnný dopad na provozovatele stacionárních zdrojů související se splněním nových technických podmínek provozu. Z těchto důvodů uvádíme náklady odděleně u jednotlivých kódů dle přílohy č. 2 k zákonu, u nichž dochází ke změnám.</w:t>
      </w:r>
    </w:p>
    <w:p w14:paraId="4856DB32" w14:textId="1A4ADF39"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Skládky, které přijímají 10 t odpadu denně a více nebo mají celkovou projektovanou kapacitu 25 000 t a více (kód 2.2.) – Jedná se o cca 50 největších zdrojů, které mají spodní kapacitní práh 25 000 tun přijímaných odpadů ročně.</w:t>
      </w:r>
      <w:r w:rsidR="00D533AD">
        <w:rPr>
          <w:rFonts w:ascii="Arial" w:hAnsi="Arial" w:cs="Arial"/>
          <w:color w:val="000000" w:themeColor="text1"/>
          <w:lang w:eastAsia="cs-CZ" w:bidi="en-US"/>
        </w:rPr>
        <w:t xml:space="preserve"> </w:t>
      </w:r>
      <w:r>
        <w:rPr>
          <w:rFonts w:ascii="Arial" w:hAnsi="Arial" w:cs="Arial"/>
          <w:color w:val="000000" w:themeColor="text1"/>
          <w:lang w:eastAsia="cs-CZ" w:bidi="en-US"/>
        </w:rPr>
        <w:t>Povinnost se vztahuje na monitoring aktivních etap skládky, kde probíhá ukládání odpadu s nutností sledovat celou plochu pomocí IR kamer. Prvotní investice na pořízení zařízení pro monitoring skládky proti zahoření se pohybují přibližně kolem 500 tisíc Kč bez DPH, záleží na velikosti aktivní plochy. Náklady na jednu kameru jsou přibližně 130 tisíc KČ a záleží na počtu usazených zařízení.  Každoroční náklady na servis/údržbu (čištění, revize, provoz systému atd.) monitorovacího zařízení jsou cca 50 tisíc Kč/provozovnu (2x ročně údržba po 20 tisíc KČ a náklady na napájení ve výši přibližně 3 tisíce KČ. Potřeba dodatečných nákladů bude potřebná jen u omezeného počtu zařízení, opatření bylo konzultováno s provozovateli a dle informací MŽP již velká část z nich monitoring pro vlastní potřeby provádí nyní.</w:t>
      </w:r>
    </w:p>
    <w:p w14:paraId="4723DDF0"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Čistírny odpadních vod s celkovou projektovanou kapacitou pro 10 000 a více ekvivalentních obyvatel (kód 2.7.) – Jedná se celkem o 192 zdrojů, ale nelze určit, kolika z nich se bude opatření týkat, neboť v případě, že TPP splňují, nebudou mít náklady žádné. Náklady (např. na zakrytování a budování uzavřených objektů, odsávání s koncovým zařízením) se pohybují v rozmezí stovek tisíc až jednotek milionů Kč/provozovnu.</w:t>
      </w:r>
    </w:p>
    <w:p w14:paraId="460612AF"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Sušení čistírenských kalů, sušení znečištěného skla nebo opalování znečištěných kovů nebo znečištěného skla (kód 2.8.) – Jedná se o desítky zdrojů s náklady v řádu stovek tisíc až desítek milionů Kč/provozovnu.</w:t>
      </w:r>
    </w:p>
    <w:p w14:paraId="72079CE3"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Mechanické zpracování elektroodpadu o celkové projektované kapacitě 50 t elektroodpadu za den a více (kód 2.9.) – Počet zdrojů nelze odhadnout. Náklady na pořízení nových technologií a na jejich roční údržbu a servis se pohybují v řádu statisíců až jednotek milionů Kč/provozovnu.</w:t>
      </w:r>
    </w:p>
    <w:p w14:paraId="291A9E16"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Třídění a úprava uhlí, briketárny (kódy 3.3. a 3.4.) - Velká část provozovatelů již podmínky splňuje. Náklady na aplikaci postupů snižujících prašnost se pohybují v řádu stovek tisíc až jednotek milionů Kč/provozovnu</w:t>
      </w:r>
    </w:p>
    <w:p w14:paraId="7D2F81F0"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Výroba koksu a třídění koksu (kódy 3.5.1, 3.5.2, 3.5.4., 3.5.5.) – Jedná se o 3 zdroje a náklady se neočekávají, protože daná opatření jsou u těchto provozovatelů již plněna.</w:t>
      </w:r>
    </w:p>
    <w:p w14:paraId="2298CD20"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Rafinace minerálních nebo pyrolýzních olejů, rafinace plynů, zplyňování nebo pyrolýza uhlí, biomasy, odpadů nebo jiných organických látek (nespadají-li tyto procesy pod kód 2.1.) (kód 3.6.) - Bez dopadů. V praxi se nic nemění a dochází pouze k odstranění hodnoty platné před rokem 2020.</w:t>
      </w:r>
    </w:p>
    <w:p w14:paraId="5B01FEB1"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Výroba bioplynu o projektované kapacitě 200 kg vstupního materiálu za den a vyšší (kód 3.7.) – Bez dopadů, neboť v praxi nedochází ke změně oproti současnosti.</w:t>
      </w:r>
    </w:p>
    <w:p w14:paraId="7694C3BC"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Spékací pásy aglomerace (kód 4.1.2.) – Bez dopadů, neboť provozovatelé současných zařízení mají v povolení k provozu stanoveny ještě přísnější limity.</w:t>
      </w:r>
    </w:p>
    <w:p w14:paraId="4425F1AB" w14:textId="3A3CBC1A"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lastRenderedPageBreak/>
        <w:t xml:space="preserve">Doprava a manipulace se vsázkou nebo produktem (kód 4.3.1.) – Jedná se o jednotky až desítky provozů. Náklady na odsávání a odlučování znečišťujících látek při dělení těžkého kovového odpadu </w:t>
      </w:r>
      <w:r w:rsidR="009D7029">
        <w:rPr>
          <w:rFonts w:ascii="Arial" w:hAnsi="Arial" w:cs="Arial"/>
          <w:color w:val="000000" w:themeColor="text1"/>
          <w:lang w:eastAsia="cs-CZ" w:bidi="en-US"/>
        </w:rPr>
        <w:t>řezáním,</w:t>
      </w:r>
      <w:r>
        <w:rPr>
          <w:rFonts w:ascii="Arial" w:hAnsi="Arial" w:cs="Arial"/>
          <w:color w:val="000000" w:themeColor="text1"/>
          <w:lang w:eastAsia="cs-CZ" w:bidi="en-US"/>
        </w:rPr>
        <w:t xml:space="preserve"> pokud je to technicky možné, se pohybují v řádu statisíců až nižších desítek milionů Kč/provozovnu.</w:t>
      </w:r>
    </w:p>
    <w:p w14:paraId="7EB4F606"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Válcovny za tepla a za studena, včetně ohřívacích pecí a pecí na tepelné zpracování (kód 4.4.) – Jedná se o 24 provozoven/85 zdrojů. V případě, že splnění limitu TZL bude řešeno odsáváním, poté jsou náklady v řádu nižších jednotek milionů Kč. Pokud nebude odsáváno, pak jsou náklady spojeny pouze s měřením TZL (jednorázové měření) a administrací, a to v řádech jednotek tisíc Kč/rok.</w:t>
      </w:r>
    </w:p>
    <w:p w14:paraId="7F4F3A43"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Slévárny železných kovů (kód 4.6.3 – 4.6.7.) – Jedná se o jednotky provozů, ale některé provozovny už mohou plnit. Náklady se pohybují v jednotkách milionů Kč v případě odsávání a odlučování při řezání a v desítkách milionů Kč u zařízení pro záchyt emisí a svedení do zařízení ke snižování emisí.</w:t>
      </w:r>
    </w:p>
    <w:p w14:paraId="1D7B26BC"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Povrchová úpravu kovů a plastů a jiných nekovových předmětů s celkovou projektovanou kapacitou objemu lázně od 1 m</w:t>
      </w:r>
      <w:r>
        <w:rPr>
          <w:rFonts w:ascii="Arial" w:hAnsi="Arial" w:cs="Arial"/>
          <w:color w:val="000000" w:themeColor="text1"/>
          <w:vertAlign w:val="superscript"/>
          <w:lang w:eastAsia="cs-CZ" w:bidi="en-US"/>
        </w:rPr>
        <w:t>3</w:t>
      </w:r>
      <w:r>
        <w:rPr>
          <w:rFonts w:ascii="Arial" w:hAnsi="Arial" w:cs="Arial"/>
          <w:color w:val="000000" w:themeColor="text1"/>
          <w:lang w:eastAsia="cs-CZ" w:bidi="en-US"/>
        </w:rPr>
        <w:t xml:space="preserve"> do 30 m</w:t>
      </w:r>
      <w:r>
        <w:rPr>
          <w:rFonts w:ascii="Arial" w:hAnsi="Arial" w:cs="Arial"/>
          <w:color w:val="000000" w:themeColor="text1"/>
          <w:vertAlign w:val="superscript"/>
          <w:lang w:eastAsia="cs-CZ" w:bidi="en-US"/>
        </w:rPr>
        <w:t>3</w:t>
      </w:r>
      <w:r>
        <w:rPr>
          <w:rFonts w:ascii="Arial" w:hAnsi="Arial" w:cs="Arial"/>
          <w:color w:val="000000" w:themeColor="text1"/>
          <w:lang w:eastAsia="cs-CZ" w:bidi="en-US"/>
        </w:rPr>
        <w:t xml:space="preserve"> včetně (vyjma oplachu), procesy bez použití lázní (kód 4.12.) – Jedná se o jednotky provozů, neboť většina provozovatelů tento limit plní již nyní bez zařízení. Náklady na splnění limitu pro TZL se pohybují v řádu jednotek až desítek milionů Kč (dle velikosti provozu/výroby).</w:t>
      </w:r>
    </w:p>
    <w:p w14:paraId="1889C0A8"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Obalovny živičných směsí a mísírny živic, recyklace živičných povrchů anebo zpracování a nakládání s živicemi s výjimkou konečného nanášení na vozovku (kód 5.14.) – Jedná se o desítky provozoven. Náklady na splnění opatření ke snižování emisí znečišťujících látek obtěžujících zápachem a emisemi TZL se pohybují v řádu stovek tisíc až desítek milionů Kč/provozovnu.</w:t>
      </w:r>
    </w:p>
    <w:p w14:paraId="77B0B602"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Výroba nebo zpracování syntetických polymerů nebo kompozitů, s výjimkou výroby syntetických polymerů a kompozitů uvedených pod jiným kódem, o celkové projektované kapacitě 100 t za rok a více nebo s celkovou projektovanou spotřebou organických rozpouštědel 0,6 t za rok a více; řezání syntetických polymerů laserem nebo odporovým drátem o celkové projektované kapacitě 10 tun za rok a více (kód 6.5.) – Jedná se o desítky zdrojů. Na splnění emisního limitu TZL bude třeba provádět měření s náklady cca 100 tis. Kč/rok na provozovatele. Předpokládá se, že většina zdrojů limit pro TZL splní. Pokud provozovatel limit nesplní, bude třeba vynaložit náklady na pořízení cyklony, tzn. náklady do milionu Kč.</w:t>
      </w:r>
    </w:p>
    <w:p w14:paraId="514367C8"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Udírny s celkovou projektovanou kapacitou na zpracování 1 t výrobků denně a více (kód 7.6.) - Bez dopadů, jde jen o upřesnění, kde se má měřit, ale už nyní se měří provádí a provozovatelé současných zařízení již daná opatření plní.</w:t>
      </w:r>
    </w:p>
    <w:p w14:paraId="21F143A4"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Zpracování dřeva, včetně truhlářské výroby a výroby dřevních štěpek a pelet, vyjma výroby uvedené pod kódem 7.8., o celkové projektované spotřebě materiálu 150 m</w:t>
      </w:r>
      <w:r>
        <w:rPr>
          <w:rFonts w:ascii="Arial" w:hAnsi="Arial" w:cs="Arial"/>
          <w:color w:val="000000" w:themeColor="text1"/>
          <w:vertAlign w:val="superscript"/>
          <w:lang w:eastAsia="cs-CZ" w:bidi="en-US"/>
        </w:rPr>
        <w:t>3</w:t>
      </w:r>
      <w:r>
        <w:rPr>
          <w:rFonts w:ascii="Arial" w:hAnsi="Arial" w:cs="Arial"/>
          <w:color w:val="000000" w:themeColor="text1"/>
          <w:lang w:eastAsia="cs-CZ" w:bidi="en-US"/>
        </w:rPr>
        <w:t xml:space="preserve"> a více za rok (kód 7.7.) – Jedná se o desítky provozoven (pozn.: celkový počet zdrojů je 717 stacionárních a 362 mobilních, ale velká většina z nich plní již nyní, tzn. odhad zdrojů, na které budou mít nové TPP dopad jsou řádově desítky). Náklady na záchyt TZL na filtračním zařízení jsou v řádu stovek tisíc až milionů Kč.</w:t>
      </w:r>
    </w:p>
    <w:p w14:paraId="3FBCB834"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 xml:space="preserve">Výroba lihu, včetně biolihu, o celkové projektované kapacitě 10 000 hl bezvodého lihu za rok a více (kód 7.18) – Jedná se o jednotky provozovatelů (většina velkých lihovarů). </w:t>
      </w:r>
      <w:r>
        <w:rPr>
          <w:rFonts w:ascii="Arial" w:hAnsi="Arial" w:cs="Arial"/>
          <w:color w:val="000000" w:themeColor="text1"/>
          <w:lang w:eastAsia="cs-CZ" w:bidi="en-US"/>
        </w:rPr>
        <w:lastRenderedPageBreak/>
        <w:t>Náklady na splnění emisních limitů pro TZL a TOC se pohybují v řádu statisíců až jednotek milionů Kč/provozovnu.</w:t>
      </w:r>
    </w:p>
    <w:p w14:paraId="45F3839F" w14:textId="77777777" w:rsidR="00FF2E95" w:rsidRDefault="00000000">
      <w:pPr>
        <w:numPr>
          <w:ilvl w:val="0"/>
          <w:numId w:val="10"/>
        </w:num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Manipulace se sypkými materiály včetně jejich skladování na otevřených plochách jinde neuvedené s celkovou projektovanou plochou deponií 3000 m</w:t>
      </w:r>
      <w:r>
        <w:rPr>
          <w:rFonts w:ascii="Arial" w:hAnsi="Arial" w:cs="Arial"/>
          <w:color w:val="000000" w:themeColor="text1"/>
          <w:vertAlign w:val="superscript"/>
          <w:lang w:eastAsia="cs-CZ" w:bidi="en-US"/>
        </w:rPr>
        <w:t>2</w:t>
      </w:r>
      <w:r>
        <w:rPr>
          <w:rFonts w:ascii="Arial" w:hAnsi="Arial" w:cs="Arial"/>
          <w:color w:val="000000" w:themeColor="text1"/>
          <w:lang w:eastAsia="cs-CZ" w:bidi="en-US"/>
        </w:rPr>
        <w:t xml:space="preserve"> a více s výjimkou stavenišť (kód 12.1.) – Odhadem se jedná o stovky až tisíce provozovatelů (počet nelze určit, neboť se jedná o nový kód a provozovatelé dosud nehlásili přes ISPOP v rámci SPE). Náklady na splnění opatření ke snížení prašnosti se pohybují v řádu desítek až stovek tisíc Kč.</w:t>
      </w:r>
    </w:p>
    <w:p w14:paraId="2A0D57B6" w14:textId="77777777" w:rsidR="00FF2E95" w:rsidRPr="00FE7D8F" w:rsidRDefault="00000000">
      <w:pPr>
        <w:spacing w:after="120" w:line="276" w:lineRule="auto"/>
        <w:jc w:val="both"/>
        <w:rPr>
          <w:rFonts w:ascii="Arial" w:hAnsi="Arial" w:cs="Arial"/>
          <w:color w:val="000000" w:themeColor="text1"/>
          <w:u w:val="single"/>
          <w:lang w:eastAsia="cs-CZ" w:bidi="en-US"/>
        </w:rPr>
      </w:pPr>
      <w:r w:rsidRPr="00FE7D8F">
        <w:rPr>
          <w:rFonts w:ascii="Arial" w:hAnsi="Arial" w:cs="Arial"/>
          <w:color w:val="000000" w:themeColor="text1"/>
          <w:u w:val="single"/>
          <w:lang w:eastAsia="cs-CZ" w:bidi="en-US"/>
        </w:rPr>
        <w:t>Dopady na územní samosprávné celky</w:t>
      </w:r>
    </w:p>
    <w:p w14:paraId="5CEA98A3" w14:textId="03FBCE2B"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Stanovování minimálních vzdáleností bude mít dopad na obce a kraje při územním plánování, neboť způsob aplikace minimálních vzdáleností bude řešen v rámci pořizování územních plánů. Tím dojde k mírnému zvýšení nákladů obcí a krajů při sestavování a aktualizaci územně plánovací dokumentace, v případě, že na území obce se nachází stacionární zdroj, popř. při rozvržení nové průmyslové zástavby. Předpokládáme však, že půjde o jednorázové navýšení z důvodu dopracování územní dokumentace při její pravidelné aktualizaci v řádu několika tis. Kč (v závislosti na velikosti obce).</w:t>
      </w:r>
    </w:p>
    <w:p w14:paraId="2EEE95E9" w14:textId="6642D07C"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G Zhodnocení současného stavu a dopadů navrhovaného řešení ve vztahu k zákazu diskriminace a ve vztahu k rovnosti mužů a žen</w:t>
      </w:r>
    </w:p>
    <w:p w14:paraId="11F9C651" w14:textId="77777777" w:rsidR="00FF2E95" w:rsidRDefault="00000000">
      <w:pPr>
        <w:spacing w:after="120" w:line="276" w:lineRule="auto"/>
        <w:jc w:val="both"/>
        <w:rPr>
          <w:rFonts w:ascii="Arial" w:hAnsi="Arial" w:cs="Arial"/>
          <w:b/>
          <w:color w:val="000000" w:themeColor="text1"/>
          <w:lang w:eastAsia="cs-CZ" w:bidi="en-US"/>
        </w:rPr>
      </w:pPr>
      <w:r>
        <w:rPr>
          <w:rFonts w:ascii="Arial" w:hAnsi="Arial" w:cs="Arial"/>
          <w:color w:val="000000" w:themeColor="text1"/>
          <w:lang w:eastAsia="cs-CZ" w:bidi="en-US"/>
        </w:rPr>
        <w:t xml:space="preserve">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w:t>
      </w:r>
    </w:p>
    <w:p w14:paraId="3639CD85" w14:textId="77777777" w:rsidR="00FF2E95" w:rsidRDefault="00000000">
      <w:pPr>
        <w:keepNext/>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 xml:space="preserve">Lze proto konstatovat, že tato právní úprava nemá žádné dopady ve vztahu k zákazu diskriminace. </w:t>
      </w:r>
    </w:p>
    <w:p w14:paraId="628E34B7" w14:textId="77777777" w:rsidR="00FF2E95" w:rsidRDefault="00000000">
      <w:pPr>
        <w:spacing w:after="120" w:line="276" w:lineRule="auto"/>
        <w:jc w:val="both"/>
        <w:rPr>
          <w:rFonts w:ascii="Arial" w:hAnsi="Arial" w:cs="Arial"/>
          <w:color w:val="000000" w:themeColor="text1"/>
          <w:lang w:eastAsia="cs-CZ" w:bidi="en-US"/>
        </w:rPr>
      </w:pPr>
      <w:r>
        <w:rPr>
          <w:rFonts w:ascii="Arial" w:hAnsi="Arial" w:cs="Arial"/>
          <w:color w:val="000000" w:themeColor="text1"/>
          <w:lang w:eastAsia="cs-CZ" w:bidi="en-US"/>
        </w:rPr>
        <w:t xml:space="preserve">Z hlediska principů rovnosti žen a mužů je návrh právních opatření neutrální, neboť navrhovaná regulace nemá bezprostřední, ani sekundární dopady na rovnost žen a mužů a nevede k diskriminaci jednoho z pohlaví, neboť nijak nerozlišuje, ani nezvýhodňuje jedno z pohlaví a nestanoví pro něj odlišné podmínky. </w:t>
      </w:r>
    </w:p>
    <w:p w14:paraId="048942AD" w14:textId="70969DBE"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H Zhodnocení dopadů navrhovaného řešení ve vztahu k ochraně soukromí</w:t>
      </w:r>
      <w:r>
        <w:rPr>
          <w:rFonts w:ascii="Arial" w:eastAsiaTheme="majorEastAsia" w:hAnsi="Arial" w:cs="Arial"/>
          <w:b/>
          <w:color w:val="000000" w:themeColor="text1"/>
          <w:szCs w:val="24"/>
          <w:lang w:bidi="en-US"/>
        </w:rPr>
        <w:br/>
        <w:t>a osobních údajů</w:t>
      </w:r>
    </w:p>
    <w:p w14:paraId="20CF936F" w14:textId="7E87B8F8" w:rsidR="00FF2E95" w:rsidRDefault="00000000">
      <w:pPr>
        <w:keepNext/>
        <w:spacing w:before="240" w:after="120" w:line="276" w:lineRule="auto"/>
        <w:jc w:val="both"/>
        <w:outlineLvl w:val="1"/>
        <w:rPr>
          <w:rFonts w:ascii="Arial" w:hAnsi="Arial" w:cs="Arial"/>
          <w:color w:val="000000" w:themeColor="text1"/>
          <w:lang w:bidi="en-US"/>
        </w:rPr>
      </w:pPr>
      <w:r>
        <w:rPr>
          <w:rFonts w:ascii="Arial" w:hAnsi="Arial" w:cs="Arial"/>
          <w:color w:val="000000" w:themeColor="text1"/>
          <w:lang w:bidi="en-US"/>
        </w:rPr>
        <w:t xml:space="preserve">Návrh nezakládá žádné </w:t>
      </w:r>
      <w:r w:rsidR="00E67EF6">
        <w:rPr>
          <w:rFonts w:ascii="Arial" w:hAnsi="Arial" w:cs="Arial"/>
          <w:color w:val="000000" w:themeColor="text1"/>
          <w:lang w:bidi="en-US"/>
        </w:rPr>
        <w:t xml:space="preserve">nové </w:t>
      </w:r>
      <w:r>
        <w:rPr>
          <w:rFonts w:ascii="Arial" w:hAnsi="Arial" w:cs="Arial"/>
          <w:color w:val="000000" w:themeColor="text1"/>
          <w:lang w:bidi="en-US"/>
        </w:rPr>
        <w:t>zpracování osobních údajů.</w:t>
      </w:r>
      <w:r>
        <w:rPr>
          <w:rFonts w:ascii="Arial" w:hAnsi="Arial" w:cs="Arial"/>
        </w:rPr>
        <w:t xml:space="preserve"> </w:t>
      </w:r>
      <w:r>
        <w:rPr>
          <w:rFonts w:ascii="Arial" w:hAnsi="Arial" w:cs="Arial"/>
          <w:color w:val="000000" w:themeColor="text1"/>
          <w:lang w:bidi="en-US"/>
        </w:rPr>
        <w:t>Rozsah údajů nepřesahuje rozsah údajů evidovaných a ohlašovaných již dle platn</w:t>
      </w:r>
      <w:r w:rsidR="00E67EF6">
        <w:rPr>
          <w:rFonts w:ascii="Arial" w:hAnsi="Arial" w:cs="Arial"/>
          <w:color w:val="000000" w:themeColor="text1"/>
          <w:lang w:bidi="en-US"/>
        </w:rPr>
        <w:t>ého znění vyhlášky</w:t>
      </w:r>
      <w:r>
        <w:rPr>
          <w:rFonts w:ascii="Arial" w:hAnsi="Arial" w:cs="Arial"/>
          <w:color w:val="000000" w:themeColor="text1"/>
          <w:lang w:bidi="en-US"/>
        </w:rPr>
        <w:t xml:space="preserve">. </w:t>
      </w:r>
    </w:p>
    <w:p w14:paraId="5657BFB9" w14:textId="00FD6EE4"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I Zhodnocení</w:t>
      </w:r>
      <w:r w:rsidR="00E67EF6">
        <w:rPr>
          <w:rFonts w:ascii="Arial" w:eastAsiaTheme="majorEastAsia" w:hAnsi="Arial" w:cs="Arial"/>
          <w:b/>
          <w:color w:val="000000" w:themeColor="text1"/>
          <w:szCs w:val="24"/>
          <w:lang w:bidi="en-US"/>
        </w:rPr>
        <w:t xml:space="preserve"> korupčních rizik</w:t>
      </w:r>
    </w:p>
    <w:p w14:paraId="7F62F119" w14:textId="77777777" w:rsidR="00FF2E95" w:rsidRDefault="00000000">
      <w:pPr>
        <w:spacing w:after="120" w:line="276" w:lineRule="auto"/>
        <w:ind w:left="86" w:hanging="86"/>
        <w:jc w:val="both"/>
        <w:rPr>
          <w:rFonts w:ascii="Arial" w:hAnsi="Arial" w:cs="Arial"/>
          <w:color w:val="000000" w:themeColor="text1"/>
          <w:lang w:bidi="en-US"/>
        </w:rPr>
      </w:pPr>
      <w:r>
        <w:rPr>
          <w:rFonts w:ascii="Arial" w:hAnsi="Arial" w:cs="Arial"/>
          <w:color w:val="000000" w:themeColor="text1"/>
          <w:lang w:bidi="en-US"/>
        </w:rPr>
        <w:t>Navrhovaná právní úprava má nízká korupční rizika.</w:t>
      </w:r>
    </w:p>
    <w:p w14:paraId="11C84492" w14:textId="60BAE33C" w:rsidR="00FF2E95" w:rsidRDefault="00000000">
      <w:pPr>
        <w:keepNext/>
        <w:spacing w:before="240" w:after="120" w:line="276" w:lineRule="auto"/>
        <w:ind w:left="357" w:hanging="357"/>
        <w:jc w:val="both"/>
        <w:outlineLvl w:val="1"/>
        <w:rPr>
          <w:rFonts w:ascii="Arial" w:hAnsi="Arial" w:cs="Arial"/>
          <w:color w:val="000000" w:themeColor="text1"/>
          <w:lang w:bidi="en-US"/>
        </w:rPr>
      </w:pPr>
      <w:r>
        <w:rPr>
          <w:rFonts w:ascii="Arial" w:eastAsiaTheme="majorEastAsia" w:hAnsi="Arial" w:cs="Arial"/>
          <w:b/>
          <w:color w:val="000000" w:themeColor="text1"/>
          <w:szCs w:val="24"/>
          <w:lang w:bidi="en-US"/>
        </w:rPr>
        <w:t>J Zhodnocení</w:t>
      </w:r>
      <w:r w:rsidR="00E67EF6">
        <w:rPr>
          <w:rFonts w:ascii="Arial" w:eastAsiaTheme="majorEastAsia" w:hAnsi="Arial" w:cs="Arial"/>
          <w:b/>
          <w:color w:val="000000" w:themeColor="text1"/>
          <w:szCs w:val="24"/>
          <w:lang w:bidi="en-US"/>
        </w:rPr>
        <w:t xml:space="preserve"> dopadů na bezpečnost nebo obranu státu</w:t>
      </w:r>
    </w:p>
    <w:p w14:paraId="4AFB4B83" w14:textId="77777777" w:rsidR="00FF2E95" w:rsidRDefault="00000000">
      <w:pPr>
        <w:spacing w:after="120" w:line="276" w:lineRule="auto"/>
        <w:jc w:val="both"/>
        <w:rPr>
          <w:rFonts w:ascii="Arial" w:hAnsi="Arial" w:cs="Arial"/>
          <w:color w:val="000000" w:themeColor="text1"/>
          <w:lang w:bidi="en-US"/>
        </w:rPr>
      </w:pPr>
      <w:r>
        <w:rPr>
          <w:rFonts w:ascii="Arial" w:hAnsi="Arial" w:cs="Arial"/>
          <w:color w:val="000000" w:themeColor="text1"/>
          <w:lang w:bidi="en-US"/>
        </w:rPr>
        <w:t xml:space="preserve">Navrhovaná právní úprava nemá žádné dopady na bezpečnost nebo obranu státu. </w:t>
      </w:r>
    </w:p>
    <w:p w14:paraId="258CBC74" w14:textId="153B0537" w:rsidR="00FF2E95" w:rsidRDefault="00000000">
      <w:pPr>
        <w:spacing w:after="120" w:line="276" w:lineRule="auto"/>
        <w:jc w:val="both"/>
        <w:rPr>
          <w:rFonts w:ascii="Arial" w:hAnsi="Arial" w:cs="Arial"/>
          <w:color w:val="000000" w:themeColor="text1"/>
          <w:lang w:bidi="en-US"/>
        </w:rPr>
      </w:pPr>
      <w:r>
        <w:rPr>
          <w:rFonts w:ascii="Arial" w:eastAsiaTheme="majorEastAsia" w:hAnsi="Arial" w:cs="Arial"/>
          <w:b/>
          <w:color w:val="000000" w:themeColor="text1"/>
          <w:szCs w:val="24"/>
          <w:lang w:bidi="en-US"/>
        </w:rPr>
        <w:t>K Zhodnocení dopadů na rodiny</w:t>
      </w:r>
    </w:p>
    <w:p w14:paraId="23267C25" w14:textId="77777777" w:rsidR="00FF2E95" w:rsidRDefault="00000000">
      <w:pPr>
        <w:spacing w:after="120" w:line="276" w:lineRule="auto"/>
        <w:jc w:val="both"/>
        <w:rPr>
          <w:rFonts w:ascii="Arial" w:hAnsi="Arial" w:cs="Arial"/>
          <w:color w:val="000000" w:themeColor="text1"/>
          <w:lang w:bidi="en-US"/>
        </w:rPr>
      </w:pPr>
      <w:r>
        <w:rPr>
          <w:rFonts w:ascii="Arial" w:hAnsi="Arial" w:cs="Arial"/>
          <w:color w:val="000000" w:themeColor="text1"/>
          <w:lang w:bidi="en-US"/>
        </w:rPr>
        <w:t>Navrhovaný právní předpis vzhledem ke svému charakteru nemá žádné dopady na rodiny.</w:t>
      </w:r>
    </w:p>
    <w:p w14:paraId="16754E4B" w14:textId="08EEF881" w:rsidR="00FF2E95" w:rsidRDefault="00000000">
      <w:pPr>
        <w:spacing w:after="120" w:line="276" w:lineRule="auto"/>
        <w:jc w:val="both"/>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L Zhodnocení územních dopadů, včetně dopadů na územní samosprávné celky</w:t>
      </w:r>
    </w:p>
    <w:p w14:paraId="2D49453A" w14:textId="77777777" w:rsidR="00FF2E95" w:rsidRDefault="00000000">
      <w:pPr>
        <w:spacing w:after="120" w:line="276" w:lineRule="auto"/>
        <w:jc w:val="both"/>
        <w:rPr>
          <w:rFonts w:ascii="Arial" w:hAnsi="Arial" w:cs="Arial"/>
          <w:color w:val="000000" w:themeColor="text1"/>
          <w:lang w:bidi="en-US"/>
        </w:rPr>
      </w:pPr>
      <w:r>
        <w:rPr>
          <w:rFonts w:ascii="Arial" w:hAnsi="Arial" w:cs="Arial"/>
          <w:color w:val="000000" w:themeColor="text1"/>
          <w:lang w:bidi="en-US"/>
        </w:rPr>
        <w:lastRenderedPageBreak/>
        <w:t>Navrhovaná právní úprava nemá žádné územní dopady.</w:t>
      </w:r>
    </w:p>
    <w:p w14:paraId="6EF17B76" w14:textId="2FA57B4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M Zhodnocení souladu navrhované vyhlášky se Zásadami digitálně přívětivé legislativy</w:t>
      </w:r>
    </w:p>
    <w:p w14:paraId="411A6351" w14:textId="77777777" w:rsidR="00FF2E95" w:rsidRDefault="00000000">
      <w:pPr>
        <w:spacing w:after="120" w:line="276" w:lineRule="auto"/>
        <w:jc w:val="both"/>
        <w:rPr>
          <w:rFonts w:ascii="Arial" w:hAnsi="Arial" w:cs="Arial"/>
          <w:color w:val="000000" w:themeColor="text1"/>
          <w:lang w:bidi="en-US"/>
        </w:rPr>
      </w:pPr>
      <w:r>
        <w:rPr>
          <w:rFonts w:ascii="Arial" w:hAnsi="Arial" w:cs="Arial"/>
          <w:color w:val="000000" w:themeColor="text1"/>
          <w:lang w:bidi="en-US"/>
        </w:rPr>
        <w:t>Navrhovaná vyhláška je plně v souladu se zásadami digitálně přívětivé legislativy. Předkládaný návrh navazuje na novelu zákona o ochraně ovzduší, v které dochází k významnému zvýšení úrovně digitalizace procesů v oblasti upravené zákonem o ochraně ovzduší. Navržené změny plynou z obecných požadavků jak na digitalizaci veřejné správy a výkonu jejích činností, tak na digitalizaci komunikace a vystupování vůči veřejné správě ze strany jejích adresátů. Předkládaná vyhláška stanoví podrobnosti s ohledem na úpravy provedené v zákoně.</w:t>
      </w:r>
    </w:p>
    <w:p w14:paraId="2C60E13C" w14:textId="77777777" w:rsidR="00FF2E95" w:rsidRDefault="00000000">
      <w:pPr>
        <w:spacing w:after="120" w:line="276" w:lineRule="auto"/>
        <w:jc w:val="both"/>
        <w:rPr>
          <w:rFonts w:ascii="Arial" w:hAnsi="Arial" w:cs="Arial"/>
          <w:color w:val="000000" w:themeColor="text1"/>
          <w:lang w:bidi="en-US"/>
        </w:rPr>
      </w:pPr>
      <w:r>
        <w:rPr>
          <w:rFonts w:ascii="Arial" w:hAnsi="Arial" w:cs="Arial"/>
          <w:color w:val="000000" w:themeColor="text1"/>
          <w:lang w:bidi="en-US"/>
        </w:rPr>
        <w:t>Zavedení digitalizace se týká zejména procesů spojených se zjišťováním úrovně znečišťování ovzduší jednorázovým nebo kontinuálním měřením. Oznamování plánovaného jednorázového měření a ohlašování výsledků jednorázového měření bude nově probíhat prostřednictvím systému ISPOP. Nově zavedená povinnost provozovatelů ohlašovat výsledky kontinuálního měření bude plněna prostřednictvím informačního systému kvality ovzduší.</w:t>
      </w:r>
    </w:p>
    <w:p w14:paraId="1BAD873A" w14:textId="77777777" w:rsidR="00FF2E95" w:rsidRDefault="00000000">
      <w:pPr>
        <w:spacing w:before="240" w:after="120" w:line="276" w:lineRule="auto"/>
        <w:ind w:left="357" w:hanging="357"/>
        <w:jc w:val="both"/>
        <w:outlineLvl w:val="0"/>
        <w:rPr>
          <w:rFonts w:ascii="Arial" w:eastAsiaTheme="majorEastAsia" w:hAnsi="Arial" w:cs="Arial"/>
          <w:b/>
          <w:caps/>
          <w:color w:val="000000" w:themeColor="text1"/>
          <w:szCs w:val="32"/>
          <w:lang w:bidi="en-US"/>
        </w:rPr>
      </w:pPr>
      <w:r>
        <w:rPr>
          <w:rFonts w:ascii="Arial" w:eastAsiaTheme="majorEastAsia" w:hAnsi="Arial" w:cs="Arial"/>
          <w:b/>
          <w:caps/>
          <w:color w:val="000000" w:themeColor="text1"/>
          <w:szCs w:val="32"/>
          <w:lang w:bidi="en-US"/>
        </w:rPr>
        <w:t>II.</w:t>
      </w:r>
      <w:r>
        <w:rPr>
          <w:rFonts w:ascii="Arial" w:eastAsiaTheme="majorEastAsia" w:hAnsi="Arial" w:cs="Arial"/>
          <w:b/>
          <w:caps/>
          <w:color w:val="000000" w:themeColor="text1"/>
          <w:szCs w:val="32"/>
          <w:lang w:bidi="en-US"/>
        </w:rPr>
        <w:tab/>
        <w:t>Zvláštní ČÁST</w:t>
      </w:r>
    </w:p>
    <w:p w14:paraId="6B297A09"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Čl. I</w:t>
      </w:r>
    </w:p>
    <w:p w14:paraId="313B8D6D"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1 až 5 (§ 1)</w:t>
      </w:r>
    </w:p>
    <w:p w14:paraId="54AD66A3"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Ustanovení zakotvující předmět úpravy se mění v návaznosti na změny vyplývající z novelizovaných zákonných zmocnění (zejm. rozšíření předmětu úpravy vyhlášky).</w:t>
      </w:r>
    </w:p>
    <w:p w14:paraId="1B476577"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6 (§ 2 písm. a) bod 5)</w:t>
      </w:r>
    </w:p>
    <w:p w14:paraId="1D0C4F70"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Navrženo k vyloučení spalování dřeva ošetřeného kreosotovými oleji (např. pražce). V současné době takové dřevo splňuje definici biomasy ke spalování.</w:t>
      </w:r>
    </w:p>
    <w:p w14:paraId="7C5040EB"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7 (§ 2 písm. e))</w:t>
      </w:r>
    </w:p>
    <w:p w14:paraId="2DD77148"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Navržená změna odpovídá vypořádání námitky Evropské komise k transpozici směrnice Evropského parlamentu a Rady 2015/2193/EU ze dne 25. listopadu 2015 o omezení emisí některých znečišťujících látek do ovzduší ze středních spalovacích zařízení.</w:t>
      </w:r>
    </w:p>
    <w:p w14:paraId="3D219F03" w14:textId="3832F4E0"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8, 1</w:t>
      </w:r>
      <w:r w:rsidR="009D7029">
        <w:rPr>
          <w:rFonts w:ascii="Arial" w:eastAsiaTheme="majorEastAsia" w:hAnsi="Arial" w:cs="Arial"/>
          <w:b/>
          <w:color w:val="000000" w:themeColor="text1"/>
          <w:szCs w:val="24"/>
          <w:lang w:bidi="en-US"/>
        </w:rPr>
        <w:t>5</w:t>
      </w:r>
      <w:r>
        <w:rPr>
          <w:rFonts w:ascii="Arial" w:eastAsiaTheme="majorEastAsia" w:hAnsi="Arial" w:cs="Arial"/>
          <w:b/>
          <w:color w:val="000000" w:themeColor="text1"/>
          <w:szCs w:val="24"/>
          <w:lang w:bidi="en-US"/>
        </w:rPr>
        <w:t>, 3</w:t>
      </w:r>
      <w:r w:rsidR="009D7029">
        <w:rPr>
          <w:rFonts w:ascii="Arial" w:eastAsiaTheme="majorEastAsia" w:hAnsi="Arial" w:cs="Arial"/>
          <w:b/>
          <w:color w:val="000000" w:themeColor="text1"/>
          <w:szCs w:val="24"/>
          <w:lang w:bidi="en-US"/>
        </w:rPr>
        <w:t>1</w:t>
      </w:r>
      <w:r>
        <w:rPr>
          <w:rFonts w:ascii="Arial" w:eastAsiaTheme="majorEastAsia" w:hAnsi="Arial" w:cs="Arial"/>
          <w:b/>
          <w:color w:val="000000" w:themeColor="text1"/>
          <w:szCs w:val="24"/>
          <w:lang w:bidi="en-US"/>
        </w:rPr>
        <w:t>, 3</w:t>
      </w:r>
      <w:r w:rsidR="009D7029">
        <w:rPr>
          <w:rFonts w:ascii="Arial" w:eastAsiaTheme="majorEastAsia" w:hAnsi="Arial" w:cs="Arial"/>
          <w:b/>
          <w:color w:val="000000" w:themeColor="text1"/>
          <w:szCs w:val="24"/>
          <w:lang w:bidi="en-US"/>
        </w:rPr>
        <w:t>4</w:t>
      </w:r>
      <w:r>
        <w:rPr>
          <w:rFonts w:ascii="Arial" w:eastAsiaTheme="majorEastAsia" w:hAnsi="Arial" w:cs="Arial"/>
          <w:b/>
          <w:color w:val="000000" w:themeColor="text1"/>
          <w:szCs w:val="24"/>
          <w:lang w:bidi="en-US"/>
        </w:rPr>
        <w:t xml:space="preserve"> a 3</w:t>
      </w:r>
      <w:r w:rsidR="009D7029">
        <w:rPr>
          <w:rFonts w:ascii="Arial" w:eastAsiaTheme="majorEastAsia" w:hAnsi="Arial" w:cs="Arial"/>
          <w:b/>
          <w:color w:val="000000" w:themeColor="text1"/>
          <w:szCs w:val="24"/>
          <w:lang w:bidi="en-US"/>
        </w:rPr>
        <w:t>9</w:t>
      </w:r>
    </w:p>
    <w:p w14:paraId="4DDE1759"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V návaznosti na novelu zákona se přečíslovávají příslušná zmocňovací ustanovení v nadpisech.</w:t>
      </w:r>
    </w:p>
    <w:p w14:paraId="5C328254" w14:textId="5D4EB566"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9</w:t>
      </w:r>
      <w:r w:rsidR="00020F1F">
        <w:rPr>
          <w:rFonts w:ascii="Arial" w:eastAsiaTheme="majorEastAsia" w:hAnsi="Arial" w:cs="Arial"/>
          <w:b/>
          <w:color w:val="000000" w:themeColor="text1"/>
          <w:szCs w:val="24"/>
          <w:lang w:bidi="en-US"/>
        </w:rPr>
        <w:t xml:space="preserve"> až 13 (§ 3)</w:t>
      </w:r>
    </w:p>
    <w:p w14:paraId="18BEB7EB"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 xml:space="preserve">S ohledem na stížnosti na uvedené typy zdrojů (zdroje uvedené v </w:t>
      </w:r>
      <w:hyperlink w:history="1">
        <w:r w:rsidR="00FF2E95">
          <w:rPr>
            <w:rFonts w:ascii="Arial" w:hAnsi="Arial" w:cs="Arial"/>
          </w:rPr>
          <w:t>příloze č. 8</w:t>
        </w:r>
      </w:hyperlink>
      <w:r>
        <w:rPr>
          <w:rFonts w:ascii="Arial" w:hAnsi="Arial" w:cs="Arial"/>
        </w:rPr>
        <w:t xml:space="preserve"> části II bodech 6.13. a 3.5.1.)</w:t>
      </w:r>
      <w:r>
        <w:rPr>
          <w:rFonts w:ascii="Arial" w:eastAsia="Calibri" w:hAnsi="Arial" w:cs="Arial"/>
        </w:rPr>
        <w:t>, se u nich navrhuje jednorázové měření emisí v intervalu jedenkrát za rok. Jedná se o stacionární zdroje, které se nacházejí obvykle přímo v zástavbě.</w:t>
      </w:r>
    </w:p>
    <w:p w14:paraId="48F35C14" w14:textId="55CD79B2" w:rsidR="00FF2E95" w:rsidRPr="00074461" w:rsidRDefault="00000000">
      <w:pPr>
        <w:widowControl w:val="0"/>
        <w:spacing w:after="120" w:line="240" w:lineRule="auto"/>
        <w:jc w:val="both"/>
        <w:rPr>
          <w:rFonts w:ascii="Arial" w:eastAsia="Calibri" w:hAnsi="Arial" w:cs="Arial"/>
        </w:rPr>
      </w:pPr>
      <w:r w:rsidRPr="00074461">
        <w:rPr>
          <w:rFonts w:ascii="Arial" w:eastAsia="Calibri" w:hAnsi="Arial" w:cs="Arial"/>
        </w:rPr>
        <w:t>V § 3 odst. 3 písm. b)</w:t>
      </w:r>
      <w:r w:rsidR="00020F1F">
        <w:rPr>
          <w:rFonts w:ascii="Arial" w:eastAsia="Calibri" w:hAnsi="Arial" w:cs="Arial"/>
        </w:rPr>
        <w:t xml:space="preserve"> </w:t>
      </w:r>
      <w:r w:rsidRPr="00074461">
        <w:rPr>
          <w:rFonts w:ascii="Arial" w:eastAsia="Calibri" w:hAnsi="Arial" w:cs="Arial"/>
        </w:rPr>
        <w:t>bodech 2, 3 a 4, došlo k formální úpravě vymezení rozmezí projektovaných kapacit stacionárních zdrojů používajících organická rozpouštědla, u kterých se uplatní jednorázové měření emisí v intervalu jedenkrát za 3 kalendářní roky.</w:t>
      </w:r>
    </w:p>
    <w:p w14:paraId="3B2045C8" w14:textId="60031577" w:rsidR="00FF2E95" w:rsidRDefault="00000000" w:rsidP="00D533AD">
      <w:pPr>
        <w:widowControl w:val="0"/>
        <w:tabs>
          <w:tab w:val="left" w:pos="6086"/>
          <w:tab w:val="right" w:pos="9072"/>
        </w:tabs>
        <w:spacing w:after="120" w:line="240" w:lineRule="auto"/>
        <w:jc w:val="both"/>
        <w:rPr>
          <w:rFonts w:ascii="Arial" w:eastAsia="Calibri" w:hAnsi="Arial" w:cs="Arial"/>
        </w:rPr>
      </w:pPr>
      <w:bookmarkStart w:id="13" w:name="_Hlk192074881"/>
      <w:r w:rsidRPr="00074461">
        <w:rPr>
          <w:rFonts w:ascii="Arial" w:eastAsia="Calibri" w:hAnsi="Arial" w:cs="Arial"/>
        </w:rPr>
        <w:t xml:space="preserve">V § 3 odst. 3 písm. b) bodě 1 došlo k formální úpravě vymezení rozmezí celkových jmenovitých tepelných příkonů spalovacích stacionárních zdrojů pro uplatnění této regulace. Jedná se o sjednocení významu horní hranice rozsahu s přílohou č. 2 zákona, kam patří rovněž horní hodnota, a to na základě uvedení slova „včetně“. Jednorázové měření emisí v intervalu 1x za </w:t>
      </w:r>
      <w:r w:rsidRPr="00074461">
        <w:rPr>
          <w:rFonts w:ascii="Arial" w:eastAsia="Calibri" w:hAnsi="Arial" w:cs="Arial"/>
        </w:rPr>
        <w:lastRenderedPageBreak/>
        <w:t>3 roky provádí spalovací stacionární zdroje v rozsahu celkového jmenovitého tepelného příkonu 0,3 MW a vyšším až do 5,00 MW (tedy i zdroj o celkovém jmenovitém tepelném příkonu rovném 5,00 MW).</w:t>
      </w:r>
    </w:p>
    <w:p w14:paraId="594D1617" w14:textId="7BD8A37D" w:rsidR="00020F1F" w:rsidRPr="00074461" w:rsidRDefault="00000000" w:rsidP="00020F1F">
      <w:pPr>
        <w:widowControl w:val="0"/>
        <w:spacing w:after="120" w:line="240" w:lineRule="auto"/>
        <w:jc w:val="both"/>
        <w:rPr>
          <w:rFonts w:ascii="Arial" w:eastAsia="Calibri" w:hAnsi="Arial" w:cs="Arial"/>
        </w:rPr>
      </w:pPr>
      <w:r>
        <w:rPr>
          <w:rFonts w:ascii="Arial" w:eastAsia="Calibri" w:hAnsi="Arial" w:cs="Arial"/>
        </w:rPr>
        <w:t xml:space="preserve">Navrhované doplnění bodu 12 do </w:t>
      </w:r>
      <w:r w:rsidRPr="00074461">
        <w:rPr>
          <w:rFonts w:ascii="Arial" w:eastAsia="Calibri" w:hAnsi="Arial" w:cs="Arial"/>
        </w:rPr>
        <w:t>§ 3 odst. 3 písm. b)</w:t>
      </w:r>
      <w:r>
        <w:rPr>
          <w:rFonts w:ascii="Arial" w:eastAsia="Calibri" w:hAnsi="Arial" w:cs="Arial"/>
        </w:rPr>
        <w:t xml:space="preserve"> je transpozicí změny v článku 48 odstavci 1 revidované směrnice o průmyslových emisích, která nově ukládá stacionárním zdrojům sledovat znečišťování ovzduší i v průběhu najíždění a odstavování provozu.</w:t>
      </w:r>
    </w:p>
    <w:bookmarkEnd w:id="13"/>
    <w:p w14:paraId="0ABB7EF5" w14:textId="09F03CDB" w:rsidR="00FF2E95" w:rsidRDefault="00000000">
      <w:pPr>
        <w:widowControl w:val="0"/>
        <w:spacing w:after="120" w:line="240" w:lineRule="auto"/>
        <w:jc w:val="both"/>
        <w:rPr>
          <w:rFonts w:ascii="Arial" w:eastAsia="Calibri" w:hAnsi="Arial" w:cs="Arial"/>
        </w:rPr>
      </w:pPr>
      <w:r>
        <w:rPr>
          <w:rFonts w:ascii="Arial" w:eastAsia="Calibri" w:hAnsi="Arial" w:cs="Arial"/>
        </w:rPr>
        <w:t xml:space="preserve">Doplnění </w:t>
      </w:r>
      <w:r w:rsidR="00020F1F" w:rsidRPr="00020F1F">
        <w:rPr>
          <w:rFonts w:ascii="Arial" w:eastAsia="Calibri" w:hAnsi="Arial" w:cs="Arial"/>
        </w:rPr>
        <w:t>§ 3 odst. 4 písm. c)</w:t>
      </w:r>
      <w:r w:rsidR="00020F1F">
        <w:rPr>
          <w:rFonts w:ascii="Arial" w:eastAsia="Calibri" w:hAnsi="Arial" w:cs="Arial"/>
        </w:rPr>
        <w:t xml:space="preserve"> </w:t>
      </w:r>
      <w:r>
        <w:rPr>
          <w:rFonts w:ascii="Arial" w:eastAsia="Calibri" w:hAnsi="Arial" w:cs="Arial"/>
        </w:rPr>
        <w:t>v návaznosti na praktické poznatky kontrolního orgánu, který má zabránit situaci, kdy provozovatel stacionárního zdroje provádí jednorázové měření emisí dvakrát ročně tak, že jedno provede v prosinci a další v lednu, resp. v červnu a červenci. Pokud jsou jednorázová měření emisí provedena ve dvou následujících měsících, ve výsledku to ani přibližně nepokrývá provoz během kalendářního roku, která má být jednorázovým měřením emisí dvakrát ročně pokryt.</w:t>
      </w:r>
    </w:p>
    <w:p w14:paraId="56022910"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Pro účely prokázání plnění specifických emisních limitů v průběhu kalendářního roku tak bude opětovně stanoven povinný rozestup mezi termíny provedení jednorázového měření emisí v délce 3 měsíce, který byl ve vyhlášce stanoven již v minulosti.</w:t>
      </w:r>
    </w:p>
    <w:p w14:paraId="2BEE1D29" w14:textId="77777777" w:rsidR="00FF2E95" w:rsidRDefault="00000000">
      <w:pPr>
        <w:keepNext/>
        <w:spacing w:before="240" w:after="120" w:line="276" w:lineRule="auto"/>
        <w:ind w:left="357" w:hanging="357"/>
        <w:jc w:val="both"/>
        <w:outlineLvl w:val="1"/>
        <w:rPr>
          <w:rFonts w:ascii="Arial" w:eastAsia="Calibri" w:hAnsi="Arial" w:cs="Arial"/>
          <w:b/>
          <w:bCs/>
        </w:rPr>
      </w:pPr>
      <w:r>
        <w:rPr>
          <w:rFonts w:ascii="Arial" w:eastAsiaTheme="majorEastAsia" w:hAnsi="Arial" w:cs="Arial"/>
          <w:b/>
          <w:color w:val="000000" w:themeColor="text1"/>
          <w:szCs w:val="24"/>
          <w:lang w:bidi="en-US"/>
        </w:rPr>
        <w:t>K bodu 13 (§ 4 odst. 9)</w:t>
      </w:r>
    </w:p>
    <w:p w14:paraId="68E17945"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Doplňovaný odstavec navazuje na úpravu § 3 písm. b) bodě 12, kterým je transponována změna v článku 48 odstavci 1 revidované směrnice o průmyslových emisích, která nově ukládá stacionárním zdrojům sledovat znečišťování ovzduší i v průběhu najíždění a odstavování provozu. Úprava je adekvátní současné úpravě jednorázového měření emisí u spalovacích stacionárních zdrojů o celkovém jmenovitém tepelném příkonu nižším než 50 MW uvedené v § 4 odst. 8.</w:t>
      </w:r>
    </w:p>
    <w:p w14:paraId="2CF641EE" w14:textId="6EF3BCFE"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1</w:t>
      </w:r>
      <w:r w:rsidR="00C90A17">
        <w:rPr>
          <w:rFonts w:ascii="Arial" w:eastAsiaTheme="majorEastAsia" w:hAnsi="Arial" w:cs="Arial"/>
          <w:b/>
          <w:color w:val="000000" w:themeColor="text1"/>
          <w:szCs w:val="24"/>
          <w:lang w:bidi="en-US"/>
        </w:rPr>
        <w:t>6</w:t>
      </w:r>
      <w:r>
        <w:rPr>
          <w:rFonts w:ascii="Arial" w:eastAsiaTheme="majorEastAsia" w:hAnsi="Arial" w:cs="Arial"/>
          <w:b/>
          <w:color w:val="000000" w:themeColor="text1"/>
          <w:szCs w:val="24"/>
          <w:lang w:bidi="en-US"/>
        </w:rPr>
        <w:t xml:space="preserve"> (§ 6a)</w:t>
      </w:r>
    </w:p>
    <w:p w14:paraId="7E4C1695"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Provádí se nové zmocnění v § 6 odst. 10 zákona, podle kterého ministerstvo stanoví vyhláškou stacionární zdroje, pro které se vyžaduje, aby krajský úřad v povolení provozu stanovil podmínku nepřetržitého sledování a zaznamenávání provozního parametru. Tyto stacionární zdroje a rozsah, způsob a podmínky stanovení provozního parametru jsou uvedeny v nově navržené příloze č. 19.</w:t>
      </w:r>
    </w:p>
    <w:p w14:paraId="480B4B23" w14:textId="63C38B3D"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1</w:t>
      </w:r>
      <w:r w:rsidR="00C90A17">
        <w:rPr>
          <w:rFonts w:ascii="Arial" w:eastAsiaTheme="majorEastAsia" w:hAnsi="Arial" w:cs="Arial"/>
          <w:b/>
          <w:color w:val="000000" w:themeColor="text1"/>
          <w:szCs w:val="24"/>
          <w:lang w:bidi="en-US"/>
        </w:rPr>
        <w:t>7</w:t>
      </w:r>
      <w:r>
        <w:rPr>
          <w:rFonts w:ascii="Arial" w:eastAsiaTheme="majorEastAsia" w:hAnsi="Arial" w:cs="Arial"/>
          <w:b/>
          <w:color w:val="000000" w:themeColor="text1"/>
          <w:szCs w:val="24"/>
          <w:lang w:bidi="en-US"/>
        </w:rPr>
        <w:t xml:space="preserve"> (§ 7 odst. 4)</w:t>
      </w:r>
    </w:p>
    <w:p w14:paraId="744E650A" w14:textId="382C5C96" w:rsidR="00FF2E95" w:rsidRDefault="00000000">
      <w:pPr>
        <w:widowControl w:val="0"/>
        <w:spacing w:after="120" w:line="240" w:lineRule="auto"/>
        <w:jc w:val="both"/>
        <w:rPr>
          <w:rFonts w:ascii="Arial" w:eastAsia="Calibri" w:hAnsi="Arial" w:cs="Arial"/>
        </w:rPr>
      </w:pPr>
      <w:r>
        <w:rPr>
          <w:rFonts w:ascii="Arial" w:eastAsia="Calibri" w:hAnsi="Arial" w:cs="Arial"/>
        </w:rPr>
        <w:t xml:space="preserve">Text </w:t>
      </w:r>
      <w:r w:rsidR="0037713F">
        <w:rPr>
          <w:rFonts w:ascii="Arial" w:eastAsia="Calibri" w:hAnsi="Arial" w:cs="Arial"/>
        </w:rPr>
        <w:t xml:space="preserve">je </w:t>
      </w:r>
      <w:r>
        <w:rPr>
          <w:rFonts w:ascii="Arial" w:eastAsia="Calibri" w:hAnsi="Arial" w:cs="Arial"/>
        </w:rPr>
        <w:t xml:space="preserve">vložen na základě nového zákonného zmocnění, které stanoví krajskému úřadu možnost uložit kontinuální měření emisí v povolení provozu, a to včetně stavových a vztažných veličin a informace o provozním stavu stacionárního zdroje podle </w:t>
      </w:r>
      <w:r>
        <w:rPr>
          <w:rFonts w:ascii="Arial" w:hAnsi="Arial" w:cs="Arial"/>
        </w:rPr>
        <w:t>bodu 6 části B přílohy č. 4 zákona a objemového toku odpadního plynu</w:t>
      </w:r>
      <w:r>
        <w:rPr>
          <w:rFonts w:ascii="Arial" w:eastAsia="Calibri" w:hAnsi="Arial" w:cs="Arial"/>
        </w:rPr>
        <w:t xml:space="preserve">. Krajský úřad stanoví v povolení provozu zjišťování úrovně znečišťování kontinuálním měřením emisí znečišťující látky včetně specifického emisního limitu, rozsahu zjišťovaných stavových a vztažných veličin a informaci o provozním stavu stacionárního zdroje podle </w:t>
      </w:r>
      <w:r>
        <w:rPr>
          <w:rFonts w:ascii="Arial" w:hAnsi="Arial" w:cs="Arial"/>
        </w:rPr>
        <w:t>bodu 6 části B přílohy č. 4 zákona a objemového toku odpadního plynu</w:t>
      </w:r>
      <w:r>
        <w:rPr>
          <w:rFonts w:ascii="Arial" w:eastAsia="Calibri" w:hAnsi="Arial" w:cs="Arial"/>
        </w:rPr>
        <w:t xml:space="preserve">. Bude se jednat o stanovení celkem 4 povinností v rámci kontinuálního měření emisí, a to sledování a zaznamenávání hmotnostní koncentrace znečišťující látky, hodnot vztažných a stavových veličin podle </w:t>
      </w:r>
      <w:r>
        <w:rPr>
          <w:rFonts w:ascii="Arial" w:hAnsi="Arial" w:cs="Arial"/>
        </w:rPr>
        <w:t>bodu 6 části B přílohy č. 4 zákona, informace o provozním stavu stacionárního zdroje podle bodu 6 části B přílohy č. 4 zákona a hodnot objemového toku odpadního plynu.</w:t>
      </w:r>
    </w:p>
    <w:p w14:paraId="206F95D6" w14:textId="1F943BC4"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1</w:t>
      </w:r>
      <w:r w:rsidR="00C90A17">
        <w:rPr>
          <w:rFonts w:ascii="Arial" w:eastAsiaTheme="majorEastAsia" w:hAnsi="Arial" w:cs="Arial"/>
          <w:b/>
          <w:color w:val="000000" w:themeColor="text1"/>
          <w:szCs w:val="24"/>
          <w:lang w:bidi="en-US"/>
        </w:rPr>
        <w:t>8</w:t>
      </w:r>
      <w:r>
        <w:rPr>
          <w:rFonts w:ascii="Arial" w:eastAsiaTheme="majorEastAsia" w:hAnsi="Arial" w:cs="Arial"/>
          <w:b/>
          <w:color w:val="000000" w:themeColor="text1"/>
          <w:szCs w:val="24"/>
          <w:lang w:bidi="en-US"/>
        </w:rPr>
        <w:t xml:space="preserve"> (§ 8 odst. 1)</w:t>
      </w:r>
    </w:p>
    <w:p w14:paraId="73D405AF" w14:textId="18783140" w:rsidR="00FF2E95" w:rsidRDefault="00000000">
      <w:pPr>
        <w:widowControl w:val="0"/>
        <w:spacing w:after="120" w:line="240" w:lineRule="auto"/>
        <w:jc w:val="both"/>
        <w:rPr>
          <w:rFonts w:ascii="Arial" w:eastAsia="Calibri" w:hAnsi="Arial" w:cs="Arial"/>
        </w:rPr>
      </w:pPr>
      <w:r>
        <w:rPr>
          <w:rFonts w:ascii="Arial" w:eastAsia="Calibri" w:hAnsi="Arial" w:cs="Arial"/>
        </w:rPr>
        <w:t>Nové písmeno e) doplněno na základě bodu 10 části 3 přílohy</w:t>
      </w:r>
      <w:r w:rsidR="0037713F">
        <w:rPr>
          <w:rFonts w:ascii="Arial" w:eastAsia="Calibri" w:hAnsi="Arial" w:cs="Arial"/>
        </w:rPr>
        <w:t xml:space="preserve"> </w:t>
      </w:r>
      <w:r>
        <w:rPr>
          <w:rFonts w:ascii="Arial" w:eastAsia="Calibri" w:hAnsi="Arial" w:cs="Arial"/>
        </w:rPr>
        <w:t>V revidované směrnice Evropského parlamentu a Rady 2010/75/EU o průmyslových emisích. Text byl původně obsahem přílohy č. 12 (provozní řád). Pokud stacionární zdroj provádí vyhodnocování hodinových průměrných hodnot lze hodinovou průměrnou hodnotu označit za neplatnou pouze v případě, kdy jsou v rámci 1 hodiny obě půlhodinové průměrné hodnoty neplatné.</w:t>
      </w:r>
      <w:r>
        <w:rPr>
          <w:rFonts w:ascii="Arial" w:eastAsia="Calibri" w:hAnsi="Arial" w:cs="Arial"/>
        </w:rPr>
        <w:tab/>
      </w:r>
    </w:p>
    <w:p w14:paraId="27EB0DB3" w14:textId="79DB8D0F"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lastRenderedPageBreak/>
        <w:t>K bodu 1</w:t>
      </w:r>
      <w:r w:rsidR="00C90A17">
        <w:rPr>
          <w:rFonts w:ascii="Arial" w:eastAsiaTheme="majorEastAsia" w:hAnsi="Arial" w:cs="Arial"/>
          <w:b/>
          <w:color w:val="000000" w:themeColor="text1"/>
          <w:szCs w:val="24"/>
          <w:lang w:bidi="en-US"/>
        </w:rPr>
        <w:t>9</w:t>
      </w:r>
      <w:r>
        <w:rPr>
          <w:rFonts w:ascii="Arial" w:eastAsiaTheme="majorEastAsia" w:hAnsi="Arial" w:cs="Arial"/>
          <w:b/>
          <w:color w:val="000000" w:themeColor="text1"/>
          <w:szCs w:val="24"/>
          <w:lang w:bidi="en-US"/>
        </w:rPr>
        <w:t xml:space="preserve"> (§ 8 odst. 5)</w:t>
      </w:r>
    </w:p>
    <w:p w14:paraId="7F796111" w14:textId="53F0CC61" w:rsidR="00FF2E95" w:rsidRDefault="00000000">
      <w:pPr>
        <w:widowControl w:val="0"/>
        <w:spacing w:after="120" w:line="240" w:lineRule="auto"/>
        <w:jc w:val="both"/>
        <w:rPr>
          <w:rFonts w:ascii="Arial" w:eastAsia="Calibri" w:hAnsi="Arial" w:cs="Arial"/>
        </w:rPr>
      </w:pPr>
      <w:r>
        <w:rPr>
          <w:rFonts w:ascii="Arial" w:eastAsia="Calibri" w:hAnsi="Arial" w:cs="Arial"/>
        </w:rPr>
        <w:t xml:space="preserve">Text </w:t>
      </w:r>
      <w:r w:rsidR="0037713F">
        <w:rPr>
          <w:rFonts w:ascii="Arial" w:eastAsia="Calibri" w:hAnsi="Arial" w:cs="Arial"/>
        </w:rPr>
        <w:t xml:space="preserve">je </w:t>
      </w:r>
      <w:r>
        <w:rPr>
          <w:rFonts w:ascii="Arial" w:eastAsia="Calibri" w:hAnsi="Arial" w:cs="Arial"/>
        </w:rPr>
        <w:t>vložen na základě nového zákonného zmocnění, které navazuje na novou povinnost online ohlašování půlhodinových výsledků kontinuálního měření emisí. Neprodleným ohlášením každého půlhodinového výsledku je myšleno ohlášení do 30 minut od ukončení vzorkování dané půlhodiny, tzn. výsledek např. v 8:30 h, který je průměrem za dobu od 8:00 do 8:30 h, musí být ohlášen do 9:00 h. Předmětem ohlášení jsou validované průměrné půlhodinové (výsledky hmotnostních koncentrací znečišťujících látek, průměrné půlhodinové hodnoty stavových a vztažných veličin podle části B přílohy č. 4 zákona, tj. koncentrace kyslíku, tlak plynu, teplota plynu a vlhkost plynu (vlhkost se podle bodu 6. části B přílohy č. 4 zákona nevyžaduje, je-li vzorek plynu před analýzou vysušen) a objemového toku odpadního plynu, a dále informace o provozním stavu stacionárního zdroje v dané půlhodině (tj. najíždění, odstavování, porucha, běžný provoz, atp.), které tvoří ucelenou datovou sadu charakterizující emisi ze stacionárního zdroje. Provozní stav stacionárního zdroje je zásadní informací, která poskytne uživateli nezbytnou informaci ke správnému čtení ohlášených hodnot hmotnostních koncentrací, stavových a vztažných veličin podle části B přílohy č. 4 zákona. Datový standard definuje datovou strukturu a datový formát elektronického dokumentu obsahujícího výsledky posuzování úrovně znečišťování (viz datový standard Aramis). Výše uvedeným jsou naplněny všechny požadavky zmocnění.</w:t>
      </w:r>
    </w:p>
    <w:p w14:paraId="6E8DCF98" w14:textId="7B92423D"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bodům </w:t>
      </w:r>
      <w:r w:rsidR="00C90A17">
        <w:rPr>
          <w:rFonts w:ascii="Arial" w:eastAsiaTheme="majorEastAsia" w:hAnsi="Arial" w:cs="Arial"/>
          <w:b/>
          <w:color w:val="000000" w:themeColor="text1"/>
          <w:szCs w:val="24"/>
          <w:lang w:bidi="en-US"/>
        </w:rPr>
        <w:t>20</w:t>
      </w:r>
      <w:r>
        <w:rPr>
          <w:rFonts w:ascii="Arial" w:eastAsiaTheme="majorEastAsia" w:hAnsi="Arial" w:cs="Arial"/>
          <w:b/>
          <w:color w:val="000000" w:themeColor="text1"/>
          <w:szCs w:val="24"/>
          <w:lang w:bidi="en-US"/>
        </w:rPr>
        <w:t xml:space="preserve"> až 2</w:t>
      </w:r>
      <w:r w:rsidR="00C90A17">
        <w:rPr>
          <w:rFonts w:ascii="Arial" w:eastAsiaTheme="majorEastAsia" w:hAnsi="Arial" w:cs="Arial"/>
          <w:b/>
          <w:color w:val="000000" w:themeColor="text1"/>
          <w:szCs w:val="24"/>
          <w:lang w:bidi="en-US"/>
        </w:rPr>
        <w:t>4</w:t>
      </w:r>
      <w:r>
        <w:rPr>
          <w:rFonts w:ascii="Arial" w:eastAsiaTheme="majorEastAsia" w:hAnsi="Arial" w:cs="Arial"/>
          <w:b/>
          <w:color w:val="000000" w:themeColor="text1"/>
          <w:szCs w:val="24"/>
          <w:lang w:bidi="en-US"/>
        </w:rPr>
        <w:t xml:space="preserve"> (§ 9)</w:t>
      </w:r>
    </w:p>
    <w:p w14:paraId="5161F553"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Změna a doplnění se navrhuje za účelem zpřesnění ustanovení § 9 odst. 2 písm. b). Je odstraněn nespecifický pojem „v případech, kdy je to relevantní“, který byl obtížný pro aplikační praxi uvedeného ustanovení. Úpravy v § 9 odst. 2 písm. c) a d) jsou doplňující.</w:t>
      </w:r>
    </w:p>
    <w:p w14:paraId="360D5BC7"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V § 9 odst. 7 se upřesňuje nedostatek ve vyhodnocení výsledků kontinuálního měření emisí na stacionárních zdrojích tepelně zpracovávajících odpad, kde je i v písmeni d) stanovena podmínka pro vyhodnocení specifického emisního limitu. V souladu s ustanovením § 8 odst. 1 písm. d) se validované hodnoty a z nich vypočtené denní průměrné hodnoty použijí k vyhodnocení plnění specifických emisních limitů.</w:t>
      </w:r>
    </w:p>
    <w:p w14:paraId="3986A6FA"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Pokud krajský úřad v povolení provozu stanoví zjišťování úrovně znečišťování kontinuálním měřením emisí, je nezbytné, aby též stanovil podmínky a způsob vyhodnocení plnění emisního limitu, pokud budou odlišné od podmínek a způsobů uvedených v odstavcích 1 až 11 ustanovení § 9. Primárně by podmínky a způsob vyhodnocení plnění specifického emisního limitu měly být shodné s ustanoveními § 8 a 9 vyhlášky.</w:t>
      </w:r>
    </w:p>
    <w:p w14:paraId="7DC09BCF" w14:textId="20EFE224"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bodům 2</w:t>
      </w:r>
      <w:r w:rsidR="00C90A17">
        <w:rPr>
          <w:rFonts w:ascii="Arial" w:eastAsiaTheme="majorEastAsia" w:hAnsi="Arial" w:cs="Arial"/>
          <w:b/>
          <w:color w:val="000000" w:themeColor="text1"/>
          <w:szCs w:val="24"/>
          <w:lang w:bidi="en-US"/>
        </w:rPr>
        <w:t>5</w:t>
      </w:r>
      <w:r>
        <w:rPr>
          <w:rFonts w:ascii="Arial" w:eastAsiaTheme="majorEastAsia" w:hAnsi="Arial" w:cs="Arial"/>
          <w:b/>
          <w:color w:val="000000" w:themeColor="text1"/>
          <w:szCs w:val="24"/>
          <w:lang w:bidi="en-US"/>
        </w:rPr>
        <w:t xml:space="preserve"> až 2</w:t>
      </w:r>
      <w:r w:rsidR="00C90A17">
        <w:rPr>
          <w:rFonts w:ascii="Arial" w:eastAsiaTheme="majorEastAsia" w:hAnsi="Arial" w:cs="Arial"/>
          <w:b/>
          <w:color w:val="000000" w:themeColor="text1"/>
          <w:szCs w:val="24"/>
          <w:lang w:bidi="en-US"/>
        </w:rPr>
        <w:t>9</w:t>
      </w:r>
      <w:r>
        <w:rPr>
          <w:rFonts w:ascii="Arial" w:eastAsiaTheme="majorEastAsia" w:hAnsi="Arial" w:cs="Arial"/>
          <w:b/>
          <w:color w:val="000000" w:themeColor="text1"/>
          <w:szCs w:val="24"/>
          <w:lang w:bidi="en-US"/>
        </w:rPr>
        <w:t xml:space="preserve"> (§ 12)</w:t>
      </w:r>
    </w:p>
    <w:p w14:paraId="61264FFB"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Navržená úprava odst. 1 písm. c) reaguje na připomínky průmyslových svazů, podle nichž měrná výrobní emise ne vždy vystihuje emisní charakter zdroje a v některých případech není pro výpočet použitelná. Proto je pro tyto případy navrženo, aby byla možnost použít pro výpočet hmotnostní tok a provozní hodiny, pokud je to tak stanoveno v povolení provozu.</w:t>
      </w:r>
    </w:p>
    <w:p w14:paraId="15D72CB9"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Navržená úprava odst. 3 řeší situaci, kdy při vyčerpání možností zjišťování úrovně znečišťování pomocí výpočtu neexistuje objektivně žádný jiný způsob, jak povinnost legálně splnit. V takovém případě dává smysl, aby byl výpočet zvolen pro daný stacionární zdroj podle zahraničních metodik „na míru“. Situace se týká zejména stacionárních zdrojů kódu 7.7., ale i některých dalších. Podle textace paragrafového znění je preferována metodika EEA/EMEP, která je používána pro výpočty emisních inventur v rámci Úmluvy o omezování znečišťování ovzduší přecházejícím hranice států (CLRTAP) a pro směrnici o národních emisích (2284/2016) (EMEP/EEA air pollutant emission inventory guidebook). V případě, kdy není možné použít hodnoty z této metodiky, zejména proto, že nejsou k dispozici, lze použít také postupy podle metodik US EPA.</w:t>
      </w:r>
    </w:p>
    <w:p w14:paraId="7ADB7531"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 xml:space="preserve">Přepočet vztahu TOC/VOC je v současnosti nevhodně uveden pouze pro stacionární zdroje používající organická rozpouštědla, nicméně jeho použitelnost je univerzální. Koeficient </w:t>
      </w:r>
      <w:r>
        <w:rPr>
          <w:rFonts w:ascii="Arial" w:eastAsia="Calibri" w:hAnsi="Arial" w:cs="Arial"/>
        </w:rPr>
        <w:lastRenderedPageBreak/>
        <w:t>vychází z kalibračního (justačního) plynu, kterým je propan, jenž je používán k ověření nastavení analyzátoru TOC před a po měření emisí. Nadále je nicméně preferován stechiometrický přepočet (je-li známo složení VOC v odpadním plynu).</w:t>
      </w:r>
    </w:p>
    <w:p w14:paraId="502BDDA6" w14:textId="3F73DAA9"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bodu </w:t>
      </w:r>
      <w:r w:rsidR="00C90A17">
        <w:rPr>
          <w:rFonts w:ascii="Arial" w:eastAsiaTheme="majorEastAsia" w:hAnsi="Arial" w:cs="Arial"/>
          <w:b/>
          <w:color w:val="000000" w:themeColor="text1"/>
          <w:szCs w:val="24"/>
          <w:lang w:bidi="en-US"/>
        </w:rPr>
        <w:t>30</w:t>
      </w:r>
      <w:r>
        <w:rPr>
          <w:rFonts w:ascii="Arial" w:eastAsiaTheme="majorEastAsia" w:hAnsi="Arial" w:cs="Arial"/>
          <w:b/>
          <w:color w:val="000000" w:themeColor="text1"/>
          <w:szCs w:val="24"/>
          <w:lang w:bidi="en-US"/>
        </w:rPr>
        <w:t xml:space="preserve"> (§ 15 odst. 5)</w:t>
      </w:r>
    </w:p>
    <w:p w14:paraId="3DE30518"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Je navržena úprava tak, aby byla zdůrazněna a posílena podmínka absence halogenovaných organických sloučenin a těžkých kovů pro spalování ve stacionárních zdrojích bez ohledu na jejich příkon.</w:t>
      </w:r>
    </w:p>
    <w:p w14:paraId="494730C0" w14:textId="21C6DB44"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3</w:t>
      </w:r>
      <w:r w:rsidR="00C90A17">
        <w:rPr>
          <w:rFonts w:ascii="Arial" w:eastAsiaTheme="majorEastAsia" w:hAnsi="Arial" w:cs="Arial"/>
          <w:b/>
          <w:color w:val="000000" w:themeColor="text1"/>
          <w:szCs w:val="24"/>
          <w:lang w:bidi="en-US"/>
        </w:rPr>
        <w:t>2</w:t>
      </w:r>
      <w:r>
        <w:rPr>
          <w:rFonts w:ascii="Arial" w:eastAsiaTheme="majorEastAsia" w:hAnsi="Arial" w:cs="Arial"/>
          <w:b/>
          <w:color w:val="000000" w:themeColor="text1"/>
          <w:szCs w:val="24"/>
          <w:lang w:bidi="en-US"/>
        </w:rPr>
        <w:t xml:space="preserve"> (§ 17 odst. 2)</w:t>
      </w:r>
    </w:p>
    <w:p w14:paraId="4B261715" w14:textId="77777777" w:rsidR="00FF2E95" w:rsidRDefault="00000000">
      <w:pPr>
        <w:spacing w:after="120"/>
        <w:jc w:val="both"/>
        <w:rPr>
          <w:rFonts w:ascii="Arial" w:eastAsia="Calibri" w:hAnsi="Arial" w:cs="Arial"/>
        </w:rPr>
      </w:pPr>
      <w:r>
        <w:rPr>
          <w:rFonts w:ascii="Arial" w:eastAsia="Calibri" w:hAnsi="Arial" w:cs="Arial"/>
        </w:rPr>
        <w:t>Nově se stanovuje povinnost, aby vzorky paliv byly nejen analyzovány, ale i odebírány akreditovanou osobou, aby byla zajištěna spolehlivost a průkaznost provedených analýz a nedošlo k ovlivnění výsledku nevhodným vzorkováním.</w:t>
      </w:r>
    </w:p>
    <w:p w14:paraId="0F505899" w14:textId="13BCA9FD" w:rsidR="00FF2E95" w:rsidRDefault="00000000">
      <w:pPr>
        <w:keepNext/>
        <w:spacing w:before="240" w:after="120" w:line="276" w:lineRule="auto"/>
        <w:ind w:left="357" w:hanging="357"/>
        <w:jc w:val="both"/>
        <w:outlineLvl w:val="1"/>
        <w:rPr>
          <w:rFonts w:ascii="Arial" w:eastAsia="Calibri" w:hAnsi="Arial" w:cs="Arial"/>
          <w:b/>
          <w:bCs/>
        </w:rPr>
      </w:pPr>
      <w:r>
        <w:rPr>
          <w:rFonts w:ascii="Arial" w:eastAsiaTheme="majorEastAsia" w:hAnsi="Arial" w:cs="Arial"/>
          <w:b/>
          <w:color w:val="000000" w:themeColor="text1"/>
          <w:szCs w:val="24"/>
          <w:lang w:bidi="en-US"/>
        </w:rPr>
        <w:t>K bodu 3</w:t>
      </w:r>
      <w:r w:rsidR="00C90A17">
        <w:rPr>
          <w:rFonts w:ascii="Arial" w:eastAsiaTheme="majorEastAsia" w:hAnsi="Arial" w:cs="Arial"/>
          <w:b/>
          <w:color w:val="000000" w:themeColor="text1"/>
          <w:szCs w:val="24"/>
          <w:lang w:bidi="en-US"/>
        </w:rPr>
        <w:t>3</w:t>
      </w:r>
      <w:r>
        <w:rPr>
          <w:rFonts w:ascii="Arial" w:eastAsiaTheme="majorEastAsia" w:hAnsi="Arial" w:cs="Arial"/>
          <w:b/>
          <w:color w:val="000000" w:themeColor="text1"/>
          <w:szCs w:val="24"/>
          <w:lang w:bidi="en-US"/>
        </w:rPr>
        <w:t xml:space="preserve"> (§ 19)</w:t>
      </w:r>
    </w:p>
    <w:p w14:paraId="1863A280"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Je navrženo zrušit část ustanovení, protože věcně byla tato otázka upravena novelou v zákoně o ochraně ovzduší v § 40 odst. 7.</w:t>
      </w:r>
    </w:p>
    <w:p w14:paraId="415DD5D4" w14:textId="5DFA69E9"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3</w:t>
      </w:r>
      <w:r w:rsidR="00C90A17">
        <w:rPr>
          <w:rFonts w:ascii="Arial" w:eastAsiaTheme="majorEastAsia" w:hAnsi="Arial" w:cs="Arial"/>
          <w:b/>
          <w:color w:val="000000" w:themeColor="text1"/>
          <w:szCs w:val="24"/>
          <w:lang w:bidi="en-US"/>
        </w:rPr>
        <w:t>5</w:t>
      </w:r>
      <w:r>
        <w:rPr>
          <w:rFonts w:ascii="Arial" w:eastAsiaTheme="majorEastAsia" w:hAnsi="Arial" w:cs="Arial"/>
          <w:b/>
          <w:color w:val="000000" w:themeColor="text1"/>
          <w:szCs w:val="24"/>
          <w:lang w:bidi="en-US"/>
        </w:rPr>
        <w:t xml:space="preserve"> (§ 24)</w:t>
      </w:r>
    </w:p>
    <w:p w14:paraId="47E0EAE0" w14:textId="77777777" w:rsidR="00FF2E95" w:rsidRDefault="00000000">
      <w:pPr>
        <w:rPr>
          <w:rFonts w:ascii="Arial" w:hAnsi="Arial" w:cs="Arial"/>
          <w:lang w:bidi="en-US"/>
        </w:rPr>
      </w:pPr>
      <w:r>
        <w:rPr>
          <w:rFonts w:ascii="Arial" w:hAnsi="Arial" w:cs="Arial"/>
          <w:lang w:bidi="en-US"/>
        </w:rPr>
        <w:t>Reflektuje zákonnou změnu ohledně stanovení specifických emisních limitů v povolení provozu</w:t>
      </w:r>
    </w:p>
    <w:p w14:paraId="1A9F6A72" w14:textId="5D706F69"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3</w:t>
      </w:r>
      <w:r w:rsidR="00C90A17">
        <w:rPr>
          <w:rFonts w:ascii="Arial" w:eastAsiaTheme="majorEastAsia" w:hAnsi="Arial" w:cs="Arial"/>
          <w:b/>
          <w:color w:val="000000" w:themeColor="text1"/>
          <w:szCs w:val="24"/>
          <w:lang w:bidi="en-US"/>
        </w:rPr>
        <w:t>6</w:t>
      </w:r>
      <w:r>
        <w:rPr>
          <w:rFonts w:ascii="Arial" w:eastAsiaTheme="majorEastAsia" w:hAnsi="Arial" w:cs="Arial"/>
          <w:b/>
          <w:color w:val="000000" w:themeColor="text1"/>
          <w:szCs w:val="24"/>
          <w:lang w:bidi="en-US"/>
        </w:rPr>
        <w:t xml:space="preserve"> a</w:t>
      </w:r>
      <w:r w:rsidR="00C90A17">
        <w:rPr>
          <w:rFonts w:ascii="Arial" w:eastAsiaTheme="majorEastAsia" w:hAnsi="Arial" w:cs="Arial"/>
          <w:b/>
          <w:color w:val="000000" w:themeColor="text1"/>
          <w:szCs w:val="24"/>
          <w:lang w:bidi="en-US"/>
        </w:rPr>
        <w:t>ž</w:t>
      </w:r>
      <w:r>
        <w:rPr>
          <w:rFonts w:ascii="Arial" w:eastAsiaTheme="majorEastAsia" w:hAnsi="Arial" w:cs="Arial"/>
          <w:b/>
          <w:color w:val="000000" w:themeColor="text1"/>
          <w:szCs w:val="24"/>
          <w:lang w:bidi="en-US"/>
        </w:rPr>
        <w:t xml:space="preserve"> </w:t>
      </w:r>
      <w:r w:rsidR="00C90A17">
        <w:rPr>
          <w:rFonts w:ascii="Arial" w:eastAsiaTheme="majorEastAsia" w:hAnsi="Arial" w:cs="Arial"/>
          <w:b/>
          <w:color w:val="000000" w:themeColor="text1"/>
          <w:szCs w:val="24"/>
          <w:lang w:bidi="en-US"/>
        </w:rPr>
        <w:t xml:space="preserve">38 </w:t>
      </w:r>
      <w:r>
        <w:rPr>
          <w:rFonts w:ascii="Arial" w:eastAsiaTheme="majorEastAsia" w:hAnsi="Arial" w:cs="Arial"/>
          <w:b/>
          <w:color w:val="000000" w:themeColor="text1"/>
          <w:szCs w:val="24"/>
          <w:lang w:bidi="en-US"/>
        </w:rPr>
        <w:t>(§ 26)</w:t>
      </w:r>
    </w:p>
    <w:p w14:paraId="70C34D6F"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Doplnění v § 26 reflektuje novelizovaná zákonná zmocnění, která ukládají ministerstvu stanovit vyhlášku další obsahové náležitosti dokumentů.</w:t>
      </w:r>
    </w:p>
    <w:p w14:paraId="0F7E9A1B" w14:textId="742CFBD4"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3</w:t>
      </w:r>
      <w:r w:rsidR="00C90A17">
        <w:rPr>
          <w:rFonts w:ascii="Arial" w:eastAsiaTheme="majorEastAsia" w:hAnsi="Arial" w:cs="Arial"/>
          <w:b/>
          <w:color w:val="000000" w:themeColor="text1"/>
          <w:szCs w:val="24"/>
          <w:lang w:bidi="en-US"/>
        </w:rPr>
        <w:t>9 a 40</w:t>
      </w:r>
      <w:r>
        <w:rPr>
          <w:rFonts w:ascii="Arial" w:eastAsiaTheme="majorEastAsia" w:hAnsi="Arial" w:cs="Arial"/>
          <w:b/>
          <w:color w:val="000000" w:themeColor="text1"/>
          <w:szCs w:val="24"/>
          <w:lang w:bidi="en-US"/>
        </w:rPr>
        <w:t xml:space="preserve"> (§ 27)</w:t>
      </w:r>
    </w:p>
    <w:p w14:paraId="06EABE2D" w14:textId="77777777" w:rsidR="00FF2E95" w:rsidRDefault="00000000">
      <w:pPr>
        <w:rPr>
          <w:rFonts w:ascii="Arial" w:hAnsi="Arial" w:cs="Arial"/>
          <w:lang w:bidi="en-US"/>
        </w:rPr>
      </w:pPr>
      <w:r>
        <w:rPr>
          <w:rFonts w:ascii="Arial" w:hAnsi="Arial" w:cs="Arial"/>
          <w:lang w:bidi="en-US"/>
        </w:rPr>
        <w:t xml:space="preserve">V návaznosti na úpravu v zákoně, kterou došlo ke zrušení omezení povinnosti realizovat kompenzační opatření, se vypouští odstavec 1, podle kterého bylo možné kompenzační opatření ukládat pouze v případě, že by umístěním zdroje došlo k nárůstu úrovně znečištění o více než 1 % imisního limitu pro znečišťující látku s dobou průměrování 1 kalendářní rok. </w:t>
      </w:r>
    </w:p>
    <w:p w14:paraId="768E78F2" w14:textId="431C1DAB"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bodu </w:t>
      </w:r>
      <w:r w:rsidR="00C90A17">
        <w:rPr>
          <w:rFonts w:ascii="Arial" w:eastAsiaTheme="majorEastAsia" w:hAnsi="Arial" w:cs="Arial"/>
          <w:b/>
          <w:color w:val="000000" w:themeColor="text1"/>
          <w:szCs w:val="24"/>
          <w:lang w:bidi="en-US"/>
        </w:rPr>
        <w:t>41</w:t>
      </w:r>
    </w:p>
    <w:p w14:paraId="52C2C962"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Upravuje se nadpis části desáté, který zohledňuje, že nová ustanovení doplňovaná do této části se dotýkají kontrol spalovacích stacionárních zdrojů.</w:t>
      </w:r>
    </w:p>
    <w:p w14:paraId="15B49CFB" w14:textId="4F3CF0DA"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4</w:t>
      </w:r>
      <w:r w:rsidR="00C90A17">
        <w:rPr>
          <w:rFonts w:ascii="Arial" w:eastAsiaTheme="majorEastAsia" w:hAnsi="Arial" w:cs="Arial"/>
          <w:b/>
          <w:color w:val="000000" w:themeColor="text1"/>
          <w:szCs w:val="24"/>
          <w:lang w:bidi="en-US"/>
        </w:rPr>
        <w:t>2</w:t>
      </w:r>
      <w:r>
        <w:rPr>
          <w:rFonts w:ascii="Arial" w:eastAsiaTheme="majorEastAsia" w:hAnsi="Arial" w:cs="Arial"/>
          <w:b/>
          <w:color w:val="000000" w:themeColor="text1"/>
          <w:szCs w:val="24"/>
          <w:lang w:bidi="en-US"/>
        </w:rPr>
        <w:t xml:space="preserve"> (§ 27a)</w:t>
      </w:r>
    </w:p>
    <w:p w14:paraId="4CF6FDA2" w14:textId="77777777" w:rsidR="00FF2E95" w:rsidRDefault="00000000">
      <w:pPr>
        <w:spacing w:after="120"/>
        <w:jc w:val="both"/>
        <w:rPr>
          <w:rFonts w:ascii="Arial" w:eastAsia="Calibri" w:hAnsi="Arial" w:cs="Arial"/>
        </w:rPr>
      </w:pPr>
      <w:r>
        <w:rPr>
          <w:rFonts w:ascii="Arial" w:eastAsia="Calibri" w:hAnsi="Arial" w:cs="Arial"/>
        </w:rPr>
        <w:t>Dochází k navýšení částek referenčního finančního limitu o kumulovanou inflaci mezi roky 2019 a 2024.</w:t>
      </w:r>
    </w:p>
    <w:p w14:paraId="3A6D0F63" w14:textId="09189002"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4</w:t>
      </w:r>
      <w:r w:rsidR="00C90A17">
        <w:rPr>
          <w:rFonts w:ascii="Arial" w:eastAsiaTheme="majorEastAsia" w:hAnsi="Arial" w:cs="Arial"/>
          <w:b/>
          <w:color w:val="000000" w:themeColor="text1"/>
          <w:szCs w:val="24"/>
          <w:lang w:bidi="en-US"/>
        </w:rPr>
        <w:t>3 (§ 27b a § 27c)</w:t>
      </w:r>
    </w:p>
    <w:p w14:paraId="04F41326"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V návaznosti na doplněná zákonná zmocnění se zakotvuje úprava rozsahu kontroly technického stavu a provozu spalovacího stacionárního zdroje na pevná paliva o celkovém jmenovitém tepelném příkonu od 10 do 300 kW včetně, který slouží jako zdroj tepla pro teplovodní soustavu ústředního vytápění, a úprava postupu, jakým má být v návaznosti na kontrolu zdroje prokazováno tepelné zpracování odpadu.</w:t>
      </w:r>
    </w:p>
    <w:p w14:paraId="228F458A" w14:textId="118F41C6"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lastRenderedPageBreak/>
        <w:t>K bodu 4</w:t>
      </w:r>
      <w:r w:rsidR="00C90A17">
        <w:rPr>
          <w:rFonts w:ascii="Arial" w:eastAsiaTheme="majorEastAsia" w:hAnsi="Arial" w:cs="Arial"/>
          <w:b/>
          <w:color w:val="000000" w:themeColor="text1"/>
          <w:szCs w:val="24"/>
          <w:lang w:bidi="en-US"/>
        </w:rPr>
        <w:t>4</w:t>
      </w:r>
      <w:r>
        <w:rPr>
          <w:rFonts w:ascii="Arial" w:eastAsiaTheme="majorEastAsia" w:hAnsi="Arial" w:cs="Arial"/>
          <w:b/>
          <w:color w:val="000000" w:themeColor="text1"/>
          <w:szCs w:val="24"/>
          <w:lang w:bidi="en-US"/>
        </w:rPr>
        <w:t xml:space="preserve"> (§ 27d)</w:t>
      </w:r>
    </w:p>
    <w:p w14:paraId="6D6B8377" w14:textId="45625FAE" w:rsidR="00FF2E95" w:rsidRDefault="00000000">
      <w:pPr>
        <w:widowControl w:val="0"/>
        <w:spacing w:after="120" w:line="240" w:lineRule="auto"/>
        <w:jc w:val="both"/>
        <w:rPr>
          <w:rFonts w:ascii="Arial" w:eastAsia="Calibri" w:hAnsi="Arial" w:cs="Arial"/>
        </w:rPr>
      </w:pPr>
      <w:r>
        <w:rPr>
          <w:rFonts w:ascii="Arial" w:eastAsia="Calibri" w:hAnsi="Arial" w:cs="Arial"/>
        </w:rPr>
        <w:t>V návaznosti na novou úpravu tzv. minimálních vzdáleností v § 12a zákona o ochraně ovzduší se dle zmocnění doplňují minimální vzdálenosti mezi stacionárním zdrojem uvedeným v příloze č. 2 zákona a stanovenými plochami vymezenými v územním plánu včetně způsobu jejich použití.</w:t>
      </w:r>
    </w:p>
    <w:p w14:paraId="509F5F3F" w14:textId="77777777" w:rsidR="00FF2E95" w:rsidRDefault="00000000">
      <w:pPr>
        <w:widowControl w:val="0"/>
        <w:spacing w:after="120" w:line="240" w:lineRule="auto"/>
        <w:jc w:val="both"/>
        <w:rPr>
          <w:rFonts w:ascii="Arial" w:eastAsia="Calibri" w:hAnsi="Arial" w:cs="Arial"/>
        </w:rPr>
      </w:pPr>
      <w:r>
        <w:rPr>
          <w:rFonts w:ascii="Arial" w:hAnsi="Arial" w:cs="Arial"/>
        </w:rPr>
        <w:t>Minimální vzdálenosti určující nejkratší možnou vzdálenost mezi plochou s rozdílným způsobem využití a stacionárním zdrojem jsou stanoveny v části III přílohy č. 20.</w:t>
      </w:r>
    </w:p>
    <w:p w14:paraId="0D15C6D6"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Na straně stacionárních zdrojů byla jako referenční hranice stanovena hrana stavebního objektu z toho důvodu, že naprostá většina stacionárních zdrojů se z pohledu zápachu chová jako plošný zdroj, a to kvůli fugitivním emisím. Z obdobného důvodu byla pro některé zdroje za referenční hranici použita hranice provozovny, neboť se jedná o kódy, které se jako plošné zdroje chovají i napříč stavebními objekty a také zcela mimo ně. Jedná se v případě kódů 2.2, 2.7 a 8 o plochy, které jsou jako příslušné činnosti zaneseny v Základní bázi geografických dat (ZABAGED) a minimální vzdálenosti by měly být vztaženy k provozovnám tak, jak jsou v této bázi zaneseny. Tento postup je obtížně aplikovatelný u kódů 2.3 a 5.11, neboť u nich  typicky hranice provozovny přesahuje oblast činnosti (plocha provozovny je reálně mnohem větší než plochy, na kterých činnost probíhá, tudíž by aplikace celé provozovny vynucovala odstup tam, kde to není nutné) a v ZABAGED nemusí být spolehlivě vymezeny, ale jelikož u nich činnosti rovněž často probíhají mimo stavební objekty, byl z nedostatku jiného vhodného referenčního bodu zvolen geometrický střed. Hranicí provozovny se rozumí oddělený areál (např. plotem), kde probíhá činnost. Pro aplikaci výpočtu vzdálenosti od hrany stavebního objektu je zde zachována i možnost výpočtu od parcelní plochy, do které má být zdroj umístěn, a to pro případy, kdy hrana stavebního objektu zatím není známa.</w:t>
      </w:r>
    </w:p>
    <w:p w14:paraId="1779B625"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Tyto jednotlivé případy jsou pro přehlednost znázorněny na blokovém schématu níže:</w:t>
      </w:r>
    </w:p>
    <w:p w14:paraId="334D57F9" w14:textId="77777777" w:rsidR="00FF2E95" w:rsidRDefault="00000000">
      <w:pPr>
        <w:widowControl w:val="0"/>
        <w:spacing w:after="120" w:line="240" w:lineRule="auto"/>
        <w:jc w:val="both"/>
      </w:pPr>
      <w:r>
        <w:rPr>
          <w:noProof/>
        </w:rPr>
        <w:lastRenderedPageBreak/>
        <w:drawing>
          <wp:inline distT="0" distB="0" distL="0" distR="0" wp14:anchorId="5E944C85" wp14:editId="7A48693F">
            <wp:extent cx="4933950" cy="6343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91265" name=""/>
                    <pic:cNvPicPr>
                      <a:picLocks noChangeAspect="1"/>
                    </pic:cNvPicPr>
                  </pic:nvPicPr>
                  <pic:blipFill>
                    <a:blip r:embed="rId8"/>
                    <a:stretch>
                      <a:fillRect/>
                    </a:stretch>
                  </pic:blipFill>
                  <pic:spPr bwMode="auto">
                    <a:xfrm>
                      <a:off x="0" y="0"/>
                      <a:ext cx="4933949" cy="6343650"/>
                    </a:xfrm>
                    <a:prstGeom prst="rect">
                      <a:avLst/>
                    </a:prstGeom>
                  </pic:spPr>
                </pic:pic>
              </a:graphicData>
            </a:graphic>
          </wp:inline>
        </w:drawing>
      </w:r>
    </w:p>
    <w:p w14:paraId="3934BD94" w14:textId="77777777" w:rsidR="00FF2E95" w:rsidRDefault="00FF2E95">
      <w:pPr>
        <w:widowControl w:val="0"/>
        <w:spacing w:after="120" w:line="240" w:lineRule="auto"/>
        <w:jc w:val="both"/>
        <w:rPr>
          <w:rFonts w:ascii="Arial" w:eastAsia="Calibri" w:hAnsi="Arial" w:cs="Arial"/>
        </w:rPr>
      </w:pPr>
    </w:p>
    <w:p w14:paraId="3759B39A"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 xml:space="preserve">Na straně vymezených ploch s rozdílným způsobem využití byla zvolena jako referenční hranice hrana plochy v územním plánu, a to v návaznosti na textaci příslušného ustanovení. </w:t>
      </w:r>
    </w:p>
    <w:p w14:paraId="074BF6D0"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Obecně by se při aplikaci minimální vzdálenosti mělo vždy postupovat tak, aby při vymezování ploch na straně jedné nebo umisťování stacionárních zdrojů na straně druhé, vyšla vzdálenost v obou případech stejně a neměnila se v čase, nebude-li se měnit konfigurace území.</w:t>
      </w:r>
    </w:p>
    <w:p w14:paraId="08483134"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Co se týče sousloví „plochy s rozdílným způsobem využití“, jedná se o zavedený pojem z oblasti územního plánování, definovaný legislativní zkratkou v § 80 odst. 2 stavebního zákona. Plochy s rozdílným způsobem využití vymezuje územní plán. Druhy ploch s rozdílným způsobem využití uvádí § 15 až 33 vyhlášky č. 157/2024 Sb. o územně analytických podkladech, územně plánovací dokumentaci a jednotném standardu. V tomto místě návrhu vyhlášky je tento pojem použit právě kvůli provazbě, resp. kompatibilitě s vyhláškou č. 157/2024 Sb. a její terminologií.</w:t>
      </w:r>
    </w:p>
    <w:p w14:paraId="54944EBD"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lastRenderedPageBreak/>
        <w:t>Co se týče pojmu „hranice provozovny“, je tím myšlen areál, typicky ohraničený plotem, v němž probíhá daná činnost. Provozovna či areál jsou zakresleny v základní bázi geografických dat nebo parcelních pozemků.</w:t>
      </w:r>
    </w:p>
    <w:p w14:paraId="589D8100" w14:textId="77777777" w:rsidR="00FF2E95" w:rsidRDefault="00000000">
      <w:pPr>
        <w:widowControl w:val="0"/>
        <w:spacing w:after="120" w:line="240" w:lineRule="auto"/>
        <w:jc w:val="both"/>
        <w:rPr>
          <w:rFonts w:ascii="Arial" w:eastAsia="Calibri" w:hAnsi="Arial" w:cs="Arial"/>
        </w:rPr>
      </w:pPr>
      <w:r>
        <w:rPr>
          <w:rFonts w:ascii="Arial" w:eastAsia="Calibri" w:hAnsi="Arial" w:cs="Arial"/>
        </w:rPr>
        <w:t>Současně je zde v rámci způsobů aplikace minimálních vzdáleností stanoveno, že se nepoužijí na plochy v novém územním plánu při jeho pořizování, které již byly zaneseny v územním plánu stávajícím.</w:t>
      </w:r>
    </w:p>
    <w:p w14:paraId="2D6ABCC3" w14:textId="528D0B5C"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4</w:t>
      </w:r>
      <w:r w:rsidR="00C90A17">
        <w:rPr>
          <w:rFonts w:ascii="Arial" w:eastAsiaTheme="majorEastAsia" w:hAnsi="Arial" w:cs="Arial"/>
          <w:b/>
          <w:color w:val="000000" w:themeColor="text1"/>
          <w:szCs w:val="24"/>
          <w:lang w:bidi="en-US"/>
        </w:rPr>
        <w:t>5</w:t>
      </w:r>
      <w:r>
        <w:rPr>
          <w:rFonts w:ascii="Arial" w:eastAsiaTheme="majorEastAsia" w:hAnsi="Arial" w:cs="Arial"/>
          <w:b/>
          <w:color w:val="000000" w:themeColor="text1"/>
          <w:szCs w:val="24"/>
          <w:lang w:bidi="en-US"/>
        </w:rPr>
        <w:t xml:space="preserve"> (Příloha č. 1)</w:t>
      </w:r>
    </w:p>
    <w:p w14:paraId="72D83D8F" w14:textId="77777777" w:rsidR="00FF2E95" w:rsidRDefault="00000000">
      <w:pPr>
        <w:spacing w:after="120"/>
        <w:jc w:val="both"/>
        <w:rPr>
          <w:rFonts w:ascii="Arial" w:eastAsia="Calibri" w:hAnsi="Arial" w:cs="Arial"/>
        </w:rPr>
      </w:pPr>
      <w:r>
        <w:rPr>
          <w:rFonts w:ascii="Arial" w:eastAsia="Calibri" w:hAnsi="Arial" w:cs="Arial"/>
        </w:rPr>
        <w:t>Příloha č. 1 se doplňuje s ohledem na to, že využití nenormovaných metod není možné s ohledem na normu ČSN EN 14181, podle které platí, že „Normovaná referenční metoda (NRM) musí odpovídat příslušné evropské normě. Pokud taková norma neexistuje, musí být použito mezinárodní nebo národní normy zajišťující získání výsledků odpovídajících vědeckých kvalit.“.</w:t>
      </w:r>
    </w:p>
    <w:p w14:paraId="6CBE840B" w14:textId="12C6887E"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4</w:t>
      </w:r>
      <w:r w:rsidR="00C90A17">
        <w:rPr>
          <w:rFonts w:ascii="Arial" w:eastAsiaTheme="majorEastAsia" w:hAnsi="Arial" w:cs="Arial"/>
          <w:b/>
          <w:color w:val="000000" w:themeColor="text1"/>
          <w:szCs w:val="24"/>
          <w:lang w:bidi="en-US"/>
        </w:rPr>
        <w:t>6</w:t>
      </w:r>
      <w:r>
        <w:rPr>
          <w:rFonts w:ascii="Arial" w:eastAsiaTheme="majorEastAsia" w:hAnsi="Arial" w:cs="Arial"/>
          <w:b/>
          <w:color w:val="000000" w:themeColor="text1"/>
          <w:szCs w:val="24"/>
          <w:lang w:bidi="en-US"/>
        </w:rPr>
        <w:t xml:space="preserve"> (Příloha č. 2)</w:t>
      </w:r>
    </w:p>
    <w:p w14:paraId="63DC85D1" w14:textId="77777777" w:rsidR="00FF2E95" w:rsidRDefault="00000000">
      <w:pPr>
        <w:spacing w:after="120"/>
        <w:jc w:val="both"/>
        <w:rPr>
          <w:rFonts w:ascii="Arial" w:eastAsia="Calibri" w:hAnsi="Arial" w:cs="Arial"/>
        </w:rPr>
      </w:pPr>
      <w:r>
        <w:rPr>
          <w:rFonts w:ascii="Arial" w:eastAsia="Calibri" w:hAnsi="Arial" w:cs="Arial"/>
        </w:rPr>
        <w:t>S ohledem na množství provedených změn, zejména zrušení několika v současné době již neaplikovatelných částí (použití těchto příloh bylo časově omezeno), se nahrazuje celá příloha č. 2.</w:t>
      </w:r>
    </w:p>
    <w:p w14:paraId="1E068B74" w14:textId="77777777" w:rsidR="00FF2E95" w:rsidRDefault="00000000">
      <w:pPr>
        <w:spacing w:after="120"/>
        <w:jc w:val="both"/>
        <w:rPr>
          <w:rFonts w:ascii="Arial" w:eastAsia="Calibri" w:hAnsi="Arial" w:cs="Arial"/>
        </w:rPr>
      </w:pPr>
      <w:r>
        <w:rPr>
          <w:rFonts w:ascii="Arial" w:eastAsia="Calibri" w:hAnsi="Arial" w:cs="Arial"/>
        </w:rPr>
        <w:t>V části I dochází k úpravě emisních limitů, která je navržena na základě požadavků ekoauditu. Jedná se emisní limity obsažené již v nařízení vlády č. 352/2002 Sb., účinné od 14. 8. 2002, které jsou stanoveny nad rámec příslušné unijní legislativy. Lze souhlasit s námitkou uvedenou v materiálu k ekoauditu, že regulatorní funkce těchto limitů je oslabená z důvodu vysokých hodnot těchto emisních limitů. Stanovené emisní limity tak jsou v praxi stacionárními zdroji standardně podkračovány, v případě SO</w:t>
      </w:r>
      <w:r>
        <w:rPr>
          <w:rFonts w:ascii="Arial" w:eastAsia="Calibri" w:hAnsi="Arial" w:cs="Arial"/>
          <w:vertAlign w:val="subscript"/>
        </w:rPr>
        <w:t>2</w:t>
      </w:r>
      <w:r>
        <w:rPr>
          <w:rFonts w:ascii="Arial" w:eastAsia="Calibri" w:hAnsi="Arial" w:cs="Arial"/>
        </w:rPr>
        <w:t xml:space="preserve"> i velmi výrazně. V případě TZL jsou například u plynových turbín dosahovány jednotky mg.m-3. </w:t>
      </w:r>
    </w:p>
    <w:p w14:paraId="7C20A386" w14:textId="77777777" w:rsidR="00FF2E95" w:rsidRDefault="00000000">
      <w:pPr>
        <w:spacing w:after="120"/>
        <w:jc w:val="both"/>
        <w:rPr>
          <w:rFonts w:ascii="Arial" w:eastAsia="Calibri" w:hAnsi="Arial" w:cs="Arial"/>
        </w:rPr>
      </w:pPr>
      <w:r>
        <w:rPr>
          <w:rFonts w:ascii="Arial" w:eastAsia="Calibri" w:hAnsi="Arial" w:cs="Arial"/>
        </w:rPr>
        <w:t>Emisní limit pro SO</w:t>
      </w:r>
      <w:r>
        <w:rPr>
          <w:rFonts w:ascii="Arial" w:eastAsia="Calibri" w:hAnsi="Arial" w:cs="Arial"/>
          <w:vertAlign w:val="subscript"/>
        </w:rPr>
        <w:t>2</w:t>
      </w:r>
      <w:r>
        <w:rPr>
          <w:rFonts w:ascii="Arial" w:eastAsia="Calibri" w:hAnsi="Arial" w:cs="Arial"/>
        </w:rPr>
        <w:t xml:space="preserve"> nemá regulatorní funkci, neboť jeho emise vznikají v důsledku obsažených sirných sloučenin v zemním plynu, např. sulfan a odorizanty. Při spálení 1 m</w:t>
      </w:r>
      <w:r>
        <w:rPr>
          <w:rFonts w:ascii="Arial" w:eastAsia="Calibri" w:hAnsi="Arial" w:cs="Arial"/>
          <w:vertAlign w:val="superscript"/>
        </w:rPr>
        <w:t>3</w:t>
      </w:r>
      <w:r>
        <w:rPr>
          <w:rFonts w:ascii="Arial" w:eastAsia="Calibri" w:hAnsi="Arial" w:cs="Arial"/>
        </w:rPr>
        <w:t xml:space="preserve"> zemního plynu tak dojde k emisi převyšující 7 mg.m</w:t>
      </w:r>
      <w:r>
        <w:rPr>
          <w:rFonts w:ascii="Arial" w:eastAsia="Calibri" w:hAnsi="Arial" w:cs="Arial"/>
          <w:vertAlign w:val="superscript"/>
        </w:rPr>
        <w:t>-3</w:t>
      </w:r>
      <w:r>
        <w:rPr>
          <w:rFonts w:ascii="Arial" w:eastAsia="Calibri" w:hAnsi="Arial" w:cs="Arial"/>
        </w:rPr>
        <w:t xml:space="preserve"> SO</w:t>
      </w:r>
      <w:r>
        <w:rPr>
          <w:rFonts w:ascii="Arial" w:eastAsia="Calibri" w:hAnsi="Arial" w:cs="Arial"/>
          <w:vertAlign w:val="subscript"/>
        </w:rPr>
        <w:t>2</w:t>
      </w:r>
      <w:r>
        <w:rPr>
          <w:rFonts w:ascii="Arial" w:eastAsia="Calibri" w:hAnsi="Arial" w:cs="Arial"/>
        </w:rPr>
        <w:t>. V případě SO</w:t>
      </w:r>
      <w:r>
        <w:rPr>
          <w:rFonts w:ascii="Arial" w:eastAsia="Calibri" w:hAnsi="Arial" w:cs="Arial"/>
          <w:vertAlign w:val="subscript"/>
        </w:rPr>
        <w:t>2</w:t>
      </w:r>
      <w:r>
        <w:rPr>
          <w:rFonts w:ascii="Arial" w:eastAsia="Calibri" w:hAnsi="Arial" w:cs="Arial"/>
        </w:rPr>
        <w:t xml:space="preserve"> jsou například u plynových turbín dosahovány jednotky mg.m</w:t>
      </w:r>
      <w:r>
        <w:rPr>
          <w:rFonts w:ascii="Arial" w:eastAsia="Calibri" w:hAnsi="Arial" w:cs="Arial"/>
          <w:vertAlign w:val="superscript"/>
        </w:rPr>
        <w:t>-3</w:t>
      </w:r>
      <w:r>
        <w:rPr>
          <w:rFonts w:ascii="Arial" w:eastAsia="Calibri" w:hAnsi="Arial" w:cs="Arial"/>
        </w:rPr>
        <w:t xml:space="preserve">. </w:t>
      </w:r>
    </w:p>
    <w:p w14:paraId="0B2E4957" w14:textId="77777777" w:rsidR="00FF2E95" w:rsidRDefault="00000000">
      <w:pPr>
        <w:spacing w:after="120"/>
        <w:jc w:val="both"/>
        <w:rPr>
          <w:rFonts w:ascii="Arial" w:eastAsia="Calibri" w:hAnsi="Arial" w:cs="Arial"/>
        </w:rPr>
      </w:pPr>
      <w:r>
        <w:rPr>
          <w:rFonts w:ascii="Arial" w:eastAsia="Calibri" w:hAnsi="Arial" w:cs="Arial"/>
        </w:rPr>
        <w:t>Byla zvážena možnost snížit příslušné emisní limity, nicméně vzhledem k omezené regulatorní funkci emisních limitů pro obě znečišťující látky bylo rozhodnuto tyto emisní limity zcela vypustit.</w:t>
      </w:r>
    </w:p>
    <w:p w14:paraId="09C03340" w14:textId="77777777" w:rsidR="00FF2E95" w:rsidRDefault="00000000">
      <w:pPr>
        <w:spacing w:after="120"/>
        <w:jc w:val="both"/>
        <w:rPr>
          <w:rFonts w:ascii="Arial" w:eastAsia="Calibri" w:hAnsi="Arial" w:cs="Arial"/>
        </w:rPr>
      </w:pPr>
      <w:r>
        <w:rPr>
          <w:rFonts w:ascii="Arial" w:eastAsia="Calibri" w:hAnsi="Arial" w:cs="Arial"/>
        </w:rPr>
        <w:t>Tabulka 3 a tabulka 4 – zrušeny vzhledem k tomu, že byly aplikovatelné do 31. 12. 2015.</w:t>
      </w:r>
    </w:p>
    <w:p w14:paraId="2D7ACAE9" w14:textId="7AD559AE" w:rsidR="00FF2E95" w:rsidRDefault="00000000">
      <w:pPr>
        <w:spacing w:after="120"/>
        <w:jc w:val="both"/>
        <w:rPr>
          <w:rFonts w:ascii="Arial" w:eastAsia="Calibri" w:hAnsi="Arial" w:cs="Arial"/>
        </w:rPr>
      </w:pPr>
      <w:r>
        <w:rPr>
          <w:rFonts w:ascii="Arial" w:eastAsia="Calibri" w:hAnsi="Arial" w:cs="Arial"/>
        </w:rPr>
        <w:t xml:space="preserve">V části II byl vložen nový text na základě nejasností ve výkladu pojmu teplovzdušný spalovací stacionární zdroj s cílem vyjasnit časté dotazy k této problematice. Nejednotné porozumění </w:t>
      </w:r>
      <w:r>
        <w:rPr>
          <w:rFonts w:ascii="Arial" w:eastAsia="Arial" w:hAnsi="Arial" w:cs="Arial"/>
          <w:color w:val="000000"/>
        </w:rPr>
        <w:t>specifikům ohřevu vzduchu (příp. jiného plynného média) v těchto spalovacích stacionárních</w:t>
      </w:r>
      <w:r>
        <w:rPr>
          <w:rFonts w:ascii="Arial" w:eastAsia="Calibri" w:hAnsi="Arial" w:cs="Arial"/>
        </w:rPr>
        <w:t xml:space="preserve"> zdrojích vedlo k nežádoucím rozdílným přístupům v rámci rozhodovací praxe a stanovení rozdílných podmínek pro plnění specifických emisních limitů těchto skupin spalovacích stacionárních zdrojů, které jsou shodně zařazovány pod kód 1.4. podle přílohy č. 2 zákona. V rámci povolovacího procesu je nezbytné správně rozhodnout dle specifik spalovacího stacionárního zdroje, zda se jedná o teplovzdušný přímotopný spalovací stacionární zdroj či </w:t>
      </w:r>
      <w:r>
        <w:rPr>
          <w:rFonts w:ascii="Arial" w:eastAsia="Arial" w:hAnsi="Arial" w:cs="Arial"/>
          <w:color w:val="000000"/>
        </w:rPr>
        <w:t>ohřev vzduchu (příp. jiného plynného média)</w:t>
      </w:r>
      <w:r>
        <w:rPr>
          <w:rFonts w:ascii="Arial" w:eastAsia="Calibri" w:hAnsi="Arial" w:cs="Arial"/>
        </w:rPr>
        <w:t xml:space="preserve">, a správně přiřadit specifické emisní limity a podmínky pro vyjádření specifického emisního limitu, které jsou u těchto skupin značně rozdílné. Hlavní úskalí spočívá ve skutečnosti, že na tzv. teplovzdušný přímotopný spalovací stacionární zdroj podle článku 2 odst. 3 písmene e) směrnice Evropského parlamentu a Rady 2015/2193 o středních spalovacích zařízeních, se tato směrnice neuplatní a specifické emisní limity pro něj upravuje pouze národní legislativa. Naopak na </w:t>
      </w:r>
      <w:r>
        <w:rPr>
          <w:rFonts w:ascii="Arial" w:eastAsia="Arial" w:hAnsi="Arial" w:cs="Arial"/>
          <w:color w:val="000000"/>
        </w:rPr>
        <w:t>spalovací stacionární zdroj, který ohřívá vzduch (příp. jiné plynné médium) ve výměníku nepřímo</w:t>
      </w:r>
      <w:r>
        <w:rPr>
          <w:rFonts w:ascii="Arial" w:eastAsia="Calibri" w:hAnsi="Arial" w:cs="Arial"/>
        </w:rPr>
        <w:t xml:space="preserve"> se směrnice Evropského </w:t>
      </w:r>
      <w:r>
        <w:rPr>
          <w:rFonts w:ascii="Arial" w:eastAsia="Calibri" w:hAnsi="Arial" w:cs="Arial"/>
        </w:rPr>
        <w:lastRenderedPageBreak/>
        <w:t xml:space="preserve">parlamentu a Rady 2015/2193 o středních spalovacích zařízeních uplatní. Nicméně na </w:t>
      </w:r>
      <w:r>
        <w:rPr>
          <w:rFonts w:ascii="Arial" w:eastAsia="Arial" w:hAnsi="Arial" w:cs="Arial"/>
          <w:color w:val="000000"/>
        </w:rPr>
        <w:t>spalovací stacionární zdroj, který ohřívá vzduch (příp. jiné plynné médium) ve výměníku nepřímo</w:t>
      </w:r>
      <w:r>
        <w:rPr>
          <w:rFonts w:ascii="Arial" w:eastAsia="Calibri" w:hAnsi="Arial" w:cs="Arial"/>
        </w:rPr>
        <w:t xml:space="preserve"> o jmenovitém tepelném příkonu 5 MW a nižším, který byl uveden do provozu před 20. prosincem 2018, se uplatní specifické emisní limity uvedené v tabulce 3.1.2. až od 1. 1. 2030 (viz čl. 6 směrnice Evropského parlamentu a Rady 2015/2193 o středních spalovacích zařízeních). </w:t>
      </w:r>
    </w:p>
    <w:p w14:paraId="20D7E5DD" w14:textId="77777777" w:rsidR="00FF2E95" w:rsidRDefault="00000000">
      <w:pPr>
        <w:spacing w:after="120"/>
        <w:jc w:val="both"/>
        <w:rPr>
          <w:rFonts w:ascii="Arial" w:eastAsia="Calibri" w:hAnsi="Arial" w:cs="Arial"/>
        </w:rPr>
      </w:pPr>
      <w:r>
        <w:rPr>
          <w:rFonts w:ascii="Arial" w:eastAsia="Calibri" w:hAnsi="Arial" w:cs="Arial"/>
        </w:rPr>
        <w:t xml:space="preserve">Co se týče konstrukčních a technických rozdílů těchto spalovacích stacionárních zdrojů, hlavní rozdíl spočívá v tom, že v případě teplovzdušného přímotopného spalovacího stacionárního zdroje se mísí spaliny s ohřívaným vzduchem a tato směs je vháněna do ohřívaného prostoru, zatímco v případě </w:t>
      </w:r>
      <w:r>
        <w:rPr>
          <w:rFonts w:ascii="Arial" w:eastAsia="Arial" w:hAnsi="Arial" w:cs="Arial"/>
          <w:color w:val="000000"/>
        </w:rPr>
        <w:t>spalovacího stacionárního zdroje, který ohřívá vzduch (příp. jiné plynné médium) ve výměníku nepřímo</w:t>
      </w:r>
      <w:r>
        <w:rPr>
          <w:rFonts w:ascii="Arial" w:eastAsia="Calibri" w:hAnsi="Arial" w:cs="Arial"/>
        </w:rPr>
        <w:t xml:space="preserve">, a který je konstrukčně podobný kotli, je prostor spalin a ohřívaného média oddělen. K přenosu tepla dochází přes přepážku ve výměníku a ohřáté médium (v případě kotlů kapalina, v případě tohoto zdroje vzduch, případně jiné plynné médium) je vedeno do ohřívaného prostoru a spaliny zvlášť do komína a ovzduší. Např. v případě </w:t>
      </w:r>
      <w:r>
        <w:rPr>
          <w:rFonts w:ascii="Arial" w:eastAsia="Arial" w:hAnsi="Arial" w:cs="Arial"/>
          <w:color w:val="000000"/>
        </w:rPr>
        <w:t>spalovacího stacionárního zdroje, který ohřívá vzduch (příp. jiné plynné médium) ve výměníku nepřímo</w:t>
      </w:r>
      <w:r>
        <w:rPr>
          <w:rFonts w:ascii="Arial" w:eastAsia="Calibri" w:hAnsi="Arial" w:cs="Arial"/>
        </w:rPr>
        <w:t xml:space="preserve"> a spalování plynných nebo kapalných paliv bude specifický emisní limit vyjádřen při normálních podmínkách v suchém plynu (vztažné podmínky A) a při referenčnímu obsahu kyslíku ve výši 3 %.</w:t>
      </w:r>
    </w:p>
    <w:p w14:paraId="159A21C9" w14:textId="77777777" w:rsidR="00FF2E95" w:rsidRDefault="00000000">
      <w:pPr>
        <w:spacing w:after="120"/>
        <w:jc w:val="both"/>
        <w:rPr>
          <w:rFonts w:ascii="Arial" w:eastAsia="Calibri" w:hAnsi="Arial" w:cs="Arial"/>
        </w:rPr>
      </w:pPr>
      <w:r>
        <w:rPr>
          <w:rFonts w:ascii="Arial" w:eastAsia="Calibri" w:hAnsi="Arial" w:cs="Arial"/>
        </w:rPr>
        <w:t xml:space="preserve">Dále jsou v textu odstraněny obsoletní části (specifické emisní limity, jejichž aplikace byla omezena pouze do určitého data) systémem rušení dílčích bodů a tabulek, aby byla zachována stávající struktura části II, která je v aplikační praxi zažita. Tabulky, na něž jsou provedeny odkazy z přechodných ustanovení, či z textu vyhlášky, byly ponechány. </w:t>
      </w:r>
    </w:p>
    <w:p w14:paraId="550ECEF8" w14:textId="77777777" w:rsidR="00FF2E95" w:rsidRDefault="00000000">
      <w:pPr>
        <w:spacing w:after="120"/>
        <w:jc w:val="both"/>
        <w:rPr>
          <w:rFonts w:ascii="Arial" w:eastAsia="Calibri" w:hAnsi="Arial" w:cs="Arial"/>
        </w:rPr>
      </w:pPr>
      <w:r>
        <w:rPr>
          <w:rFonts w:ascii="Arial" w:eastAsia="Calibri" w:hAnsi="Arial" w:cs="Arial"/>
        </w:rPr>
        <w:t>Tabulka 1.2.2. se týká specifických emisních limitů pro pístové spalovací motory o jmenovitém tepelném příkonu 5 MW a nižším spalující skládkový plyn, které se uplatní do 31. 12. 2029. Tabulka 1.3.2. se týká specifických emisních limitů pro plynové turbíny o jmenovitém tepelném příkonu vyšším než 5 MW, uvedených do provozu před 20. prosincem 2018, a plynových turbín, které byly uvedeny do provozu nejpozději 20. prosince 2018, používaných k pohonu plynových kompresorů nezbytných pro zajištění bezpečnosti vnitrostátních plynárenských přepravních soustav, které se uplatní do 31. 12. 2029. Též došlo k upřesnění výjimky pro spalovací stacionární zdroj sloužící k pohonu požárního čerpadla.</w:t>
      </w:r>
    </w:p>
    <w:p w14:paraId="3426EDB7" w14:textId="77777777" w:rsidR="00FF2E95" w:rsidRDefault="00000000">
      <w:pPr>
        <w:spacing w:after="120"/>
        <w:jc w:val="both"/>
        <w:rPr>
          <w:rFonts w:ascii="Arial" w:eastAsia="Calibri" w:hAnsi="Arial" w:cs="Arial"/>
        </w:rPr>
      </w:pPr>
      <w:r>
        <w:rPr>
          <w:rFonts w:ascii="Arial" w:eastAsia="Calibri" w:hAnsi="Arial" w:cs="Arial"/>
        </w:rPr>
        <w:t>V části IV byly odstraněny tabulky 4 a 5, které byly aplikovatelné do 31. 12. 2015.</w:t>
      </w:r>
    </w:p>
    <w:p w14:paraId="547A555A" w14:textId="6C60803D"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bodům 4</w:t>
      </w:r>
      <w:r w:rsidR="004B12E2">
        <w:rPr>
          <w:rFonts w:ascii="Arial" w:eastAsiaTheme="majorEastAsia" w:hAnsi="Arial" w:cs="Arial"/>
          <w:b/>
          <w:color w:val="000000" w:themeColor="text1"/>
          <w:szCs w:val="24"/>
          <w:lang w:bidi="en-US"/>
        </w:rPr>
        <w:t>7</w:t>
      </w:r>
      <w:r>
        <w:rPr>
          <w:rFonts w:ascii="Arial" w:eastAsiaTheme="majorEastAsia" w:hAnsi="Arial" w:cs="Arial"/>
          <w:b/>
          <w:color w:val="000000" w:themeColor="text1"/>
          <w:szCs w:val="24"/>
          <w:lang w:bidi="en-US"/>
        </w:rPr>
        <w:t xml:space="preserve"> až </w:t>
      </w:r>
      <w:r w:rsidR="004B12E2">
        <w:rPr>
          <w:rFonts w:ascii="Arial" w:eastAsiaTheme="majorEastAsia" w:hAnsi="Arial" w:cs="Arial"/>
          <w:b/>
          <w:color w:val="000000" w:themeColor="text1"/>
          <w:szCs w:val="24"/>
          <w:lang w:bidi="en-US"/>
        </w:rPr>
        <w:t>53</w:t>
      </w:r>
      <w:r>
        <w:rPr>
          <w:rFonts w:ascii="Arial" w:eastAsiaTheme="majorEastAsia" w:hAnsi="Arial" w:cs="Arial"/>
          <w:b/>
          <w:color w:val="000000" w:themeColor="text1"/>
          <w:szCs w:val="24"/>
          <w:lang w:bidi="en-US"/>
        </w:rPr>
        <w:t xml:space="preserve"> (Příloha č. 4)</w:t>
      </w:r>
    </w:p>
    <w:p w14:paraId="74294FA9" w14:textId="77777777" w:rsidR="00FF2E95" w:rsidRDefault="00000000">
      <w:pPr>
        <w:spacing w:after="120"/>
        <w:jc w:val="both"/>
        <w:rPr>
          <w:rFonts w:ascii="Arial" w:eastAsia="Calibri" w:hAnsi="Arial" w:cs="Arial"/>
        </w:rPr>
      </w:pPr>
      <w:r>
        <w:rPr>
          <w:rFonts w:ascii="Arial" w:eastAsia="Calibri" w:hAnsi="Arial" w:cs="Arial"/>
        </w:rPr>
        <w:t>K bodu 2.2 části I přílohy 4 - tabulka definic jednotlivých hodnot vstupujících do vztahu pro výpočet emisních limitů při spoluspalování odpadu. Navrhovaná úprava zohledňuje dosavadní i případné budoucí změny hodnot specifických emisních limitů pro spalovací stacionární zdroje a jednotlivé druhy paliva, případné úpravy specifických emisních limitů pro spalování paliv ve spalovacích stacionárních zdrojů se automaticky promítnou i do hodnot pro výpočet specifických emisních limitů pro spoluspalování odpadů. Aktuálně bude výsledkem úpravy zpřísnění hodnot specifických emisních limitů pro tuhé znečišťující látky pro stacionární zdroje s příkonem do 50 MW.</w:t>
      </w:r>
    </w:p>
    <w:p w14:paraId="78E40A24" w14:textId="325BC65D" w:rsidR="0034688F" w:rsidRDefault="00000000">
      <w:pPr>
        <w:spacing w:after="120"/>
        <w:jc w:val="both"/>
        <w:rPr>
          <w:rFonts w:ascii="Arial" w:eastAsia="Calibri" w:hAnsi="Arial" w:cs="Arial"/>
        </w:rPr>
      </w:pPr>
      <w:r>
        <w:rPr>
          <w:rFonts w:ascii="Arial" w:eastAsia="Calibri" w:hAnsi="Arial" w:cs="Arial"/>
        </w:rPr>
        <w:t>Dále byla</w:t>
      </w:r>
      <w:r w:rsidRPr="00F27944">
        <w:rPr>
          <w:rFonts w:ascii="Arial" w:eastAsia="Calibri" w:hAnsi="Arial" w:cs="Arial"/>
        </w:rPr>
        <w:t xml:space="preserve"> odstraněna tabulka 2.2.1 s ohledem na to, že její aplikovatelnost skončila k 31. 12. 2015.</w:t>
      </w:r>
    </w:p>
    <w:p w14:paraId="6FE1EACC" w14:textId="77777777" w:rsidR="00FF2E95" w:rsidRDefault="00000000">
      <w:pPr>
        <w:spacing w:after="120"/>
        <w:jc w:val="both"/>
        <w:rPr>
          <w:rFonts w:ascii="Arial" w:eastAsia="Calibri" w:hAnsi="Arial" w:cs="Arial"/>
        </w:rPr>
      </w:pPr>
      <w:r>
        <w:rPr>
          <w:rFonts w:ascii="Arial" w:eastAsia="Calibri" w:hAnsi="Arial" w:cs="Arial"/>
        </w:rPr>
        <w:t>K bodu 2.3 části I přílohy 4</w:t>
      </w:r>
    </w:p>
    <w:p w14:paraId="48F97D3C" w14:textId="77777777" w:rsidR="00FF2E95" w:rsidRDefault="00000000">
      <w:pPr>
        <w:spacing w:after="120"/>
        <w:jc w:val="both"/>
        <w:rPr>
          <w:rFonts w:ascii="Arial" w:eastAsia="Calibri" w:hAnsi="Arial" w:cs="Arial"/>
        </w:rPr>
      </w:pPr>
      <w:r>
        <w:rPr>
          <w:rFonts w:ascii="Arial" w:eastAsia="Calibri" w:hAnsi="Arial" w:cs="Arial"/>
        </w:rPr>
        <w:t xml:space="preserve">Doplněný text upřesňuje způsob stanovení specifických emisních limitů pro látky, které je stacionární zdroj tepelně zpracovávající odpad povinen kontinuálně monitorovat (viz § 6 odst. 1 písm. b) zákona a bod 1.6 přílohy 4 zákona). Současně došlo k úpravám nadpisů bodu 2, </w:t>
      </w:r>
      <w:r>
        <w:rPr>
          <w:rFonts w:ascii="Arial" w:eastAsia="Calibri" w:hAnsi="Arial" w:cs="Arial"/>
        </w:rPr>
        <w:lastRenderedPageBreak/>
        <w:t>2.2 a 2.3 této části, z důvodu jasnějšího vymezení. Bod 2.3 se tak uplatní na tepelné zpracování odpadu v jiných stacionárních zdrojích, než jsou spalovací stacionární zdroje vymezené kódy 1.1 - 1.4 přílohy č. 2, jedná se tedy především o spalovací stacionární zdroje zařazené do jiných kódů přílohy č. 2, ve kterých by docházelo k tepelnému zpracování odpadu (nabízí se především ohřev komor pyrolýzních reaktorů, pokud by byl zařazen pod kód 3.6 přílohy č. 2, tedy nebylo by možné vlastní spalování považovat za samostatný stacionární zdroj).</w:t>
      </w:r>
    </w:p>
    <w:p w14:paraId="33518C9A" w14:textId="71570B82"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bodům 52 až </w:t>
      </w:r>
      <w:r w:rsidR="004B12E2">
        <w:rPr>
          <w:rFonts w:ascii="Arial" w:eastAsiaTheme="majorEastAsia" w:hAnsi="Arial" w:cs="Arial"/>
          <w:b/>
          <w:color w:val="000000" w:themeColor="text1"/>
          <w:szCs w:val="24"/>
          <w:lang w:bidi="en-US"/>
        </w:rPr>
        <w:t>70</w:t>
      </w:r>
      <w:r>
        <w:rPr>
          <w:rFonts w:ascii="Arial" w:eastAsiaTheme="majorEastAsia" w:hAnsi="Arial" w:cs="Arial"/>
          <w:b/>
          <w:color w:val="000000" w:themeColor="text1"/>
          <w:szCs w:val="24"/>
          <w:lang w:bidi="en-US"/>
        </w:rPr>
        <w:t xml:space="preserve"> (příloha č. 5)</w:t>
      </w:r>
    </w:p>
    <w:p w14:paraId="5A8BC6A3" w14:textId="77777777" w:rsidR="00FF2E95" w:rsidRDefault="00000000">
      <w:pPr>
        <w:spacing w:after="120"/>
        <w:jc w:val="both"/>
        <w:rPr>
          <w:rFonts w:ascii="Arial" w:eastAsia="Calibri" w:hAnsi="Arial" w:cs="Arial"/>
        </w:rPr>
      </w:pPr>
      <w:r>
        <w:rPr>
          <w:rFonts w:ascii="Arial" w:eastAsia="Calibri" w:hAnsi="Arial" w:cs="Arial"/>
        </w:rPr>
        <w:t xml:space="preserve">K části I – doplnění nového bodu 4 </w:t>
      </w:r>
    </w:p>
    <w:p w14:paraId="3F503B20" w14:textId="6E19D07C" w:rsidR="00FF2E95" w:rsidRDefault="00000000">
      <w:pPr>
        <w:spacing w:after="120"/>
        <w:jc w:val="both"/>
        <w:rPr>
          <w:rFonts w:ascii="Arial" w:eastAsia="Calibri" w:hAnsi="Arial" w:cs="Arial"/>
        </w:rPr>
      </w:pPr>
      <w:bookmarkStart w:id="14" w:name="_Hlk192004608"/>
      <w:r>
        <w:rPr>
          <w:rFonts w:ascii="Arial" w:eastAsia="Calibri" w:hAnsi="Arial" w:cs="Arial"/>
        </w:rPr>
        <w:t>Nová technická podmínka provozu dle požadavků v čl. 59 odst. 5</w:t>
      </w:r>
      <w:r w:rsidR="00540AEB">
        <w:rPr>
          <w:rFonts w:ascii="Arial" w:eastAsia="Calibri" w:hAnsi="Arial" w:cs="Arial"/>
        </w:rPr>
        <w:t xml:space="preserve"> </w:t>
      </w:r>
      <w:r>
        <w:rPr>
          <w:rFonts w:ascii="Arial" w:eastAsia="Calibri" w:hAnsi="Arial" w:cs="Arial"/>
        </w:rPr>
        <w:t>směrnice Evropského parlamentu a Rady 2010/75/EU o průmyslových emisích.</w:t>
      </w:r>
    </w:p>
    <w:bookmarkEnd w:id="14"/>
    <w:p w14:paraId="03F90149" w14:textId="77777777" w:rsidR="00FF2E95" w:rsidRDefault="00000000">
      <w:pPr>
        <w:spacing w:after="120"/>
        <w:jc w:val="both"/>
        <w:rPr>
          <w:rFonts w:ascii="Arial" w:eastAsia="Calibri" w:hAnsi="Arial" w:cs="Arial"/>
        </w:rPr>
      </w:pPr>
      <w:r>
        <w:rPr>
          <w:rFonts w:ascii="Arial" w:eastAsia="Calibri" w:hAnsi="Arial" w:cs="Arial"/>
        </w:rPr>
        <w:t xml:space="preserve">K části II, bodu 2.1. </w:t>
      </w:r>
    </w:p>
    <w:p w14:paraId="02B30C04" w14:textId="6F6005C7" w:rsidR="00FF2E95" w:rsidRDefault="00000000">
      <w:pPr>
        <w:spacing w:after="120"/>
        <w:jc w:val="both"/>
        <w:rPr>
          <w:rFonts w:ascii="Arial" w:eastAsia="Calibri" w:hAnsi="Arial" w:cs="Arial"/>
        </w:rPr>
      </w:pPr>
      <w:r>
        <w:rPr>
          <w:rFonts w:ascii="Arial" w:eastAsia="Calibri" w:hAnsi="Arial" w:cs="Arial"/>
        </w:rPr>
        <w:t>Vypuštění požadavku uvedeného nad tabulkou. Jedná se o požadavek jdoucí nad rámec směrnice Evropského parlamentu a Rady 2010/75/EU o průmyslových emisích, který v praxi klade na některé provozovatele neopodstatněnou zátěž (ekonomickou i technologickou). Tabulkou stanovené specifické emisní limity vycházející ze směrnice Evropského parlamentu a Rady 2010/75/EU o průmyslových emisích jsou dostatečně regulativní. Emisní limit pro fugitivní emise ve výši 15, resp. 10 % indikuje odvádění emisí VOC řízeným způsobem, tj. definovaným výduchem, přičemž na výduchu musí být plněny koncentrační SEL stanovené v souladu s požadavky směrnice o průmyslových emisích. Na bod 2.1. se vztahuje požadavek podle přílohy č. 19 - provozní parametr, aby byl v případě stacionárních zdrojů, které pro plnění specifických emisních limitů používají zařízení pro omezování emisí, sledován provozní parametr.</w:t>
      </w:r>
    </w:p>
    <w:p w14:paraId="29E0954D" w14:textId="77777777" w:rsidR="00FF2E95" w:rsidRDefault="00000000">
      <w:pPr>
        <w:spacing w:after="120"/>
        <w:jc w:val="both"/>
        <w:rPr>
          <w:rFonts w:ascii="Arial" w:eastAsia="Calibri" w:hAnsi="Arial" w:cs="Arial"/>
        </w:rPr>
      </w:pPr>
      <w:r>
        <w:rPr>
          <w:rFonts w:ascii="Arial" w:eastAsia="Calibri" w:hAnsi="Arial" w:cs="Arial"/>
        </w:rPr>
        <w:t>K části II, bodu 4.4.</w:t>
      </w:r>
    </w:p>
    <w:p w14:paraId="27CC6605" w14:textId="77777777" w:rsidR="00FF2E95" w:rsidRDefault="00000000">
      <w:pPr>
        <w:spacing w:after="120"/>
        <w:jc w:val="both"/>
        <w:rPr>
          <w:rFonts w:ascii="Arial" w:eastAsia="Calibri" w:hAnsi="Arial" w:cs="Arial"/>
        </w:rPr>
      </w:pPr>
      <w:r>
        <w:rPr>
          <w:rFonts w:ascii="Arial" w:eastAsia="Calibri" w:hAnsi="Arial" w:cs="Arial"/>
        </w:rPr>
        <w:t>Zvýšení prahové hodnoty celkové projektované spotřeby práškových plastů, od které se uplatňuje emisní limit TOC, na 10 [t/rok]. Spotřeba práškových plastů je u většiny práškových lakoven vyšší než 10 t/rok a všechny práškové lakovny se spotřebou pod 10 t/rok stanovený specifický emisní limit plní.</w:t>
      </w:r>
    </w:p>
    <w:p w14:paraId="67729D63" w14:textId="77777777" w:rsidR="00FF2E95" w:rsidRDefault="00000000">
      <w:pPr>
        <w:spacing w:after="120"/>
        <w:jc w:val="both"/>
        <w:rPr>
          <w:rFonts w:ascii="Arial" w:eastAsia="Calibri" w:hAnsi="Arial" w:cs="Arial"/>
        </w:rPr>
      </w:pPr>
      <w:r>
        <w:rPr>
          <w:rFonts w:ascii="Arial" w:eastAsia="Calibri" w:hAnsi="Arial" w:cs="Arial"/>
        </w:rPr>
        <w:t>K části II, bodům 4.3., 4.5. a 4.7.</w:t>
      </w:r>
    </w:p>
    <w:p w14:paraId="0F4A8CC3" w14:textId="33617316" w:rsidR="00FF2E95" w:rsidRDefault="00000000">
      <w:pPr>
        <w:spacing w:after="120"/>
        <w:jc w:val="both"/>
        <w:rPr>
          <w:rFonts w:ascii="Arial" w:eastAsia="Calibri" w:hAnsi="Arial" w:cs="Arial"/>
        </w:rPr>
      </w:pPr>
      <w:r>
        <w:rPr>
          <w:rFonts w:ascii="Arial" w:eastAsia="Calibri" w:hAnsi="Arial" w:cs="Arial"/>
        </w:rPr>
        <w:t xml:space="preserve">V tabulkách došlo v levém sloupci k úpravě matematického znaménka tak, aby bylo zřejmé, že celková projektovaná spotřeba organických rozpouštědel, od které se uplatňují specifické emisní limity, koresponduje s hodnotou celkové projektované spotřeby organických rozpouštědel, od které stacionární zdroj spadá pod daný bod. </w:t>
      </w:r>
    </w:p>
    <w:p w14:paraId="3A06D61A" w14:textId="3A7445C5"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bodu </w:t>
      </w:r>
      <w:r w:rsidR="004B12E2">
        <w:rPr>
          <w:rFonts w:ascii="Arial" w:eastAsiaTheme="majorEastAsia" w:hAnsi="Arial" w:cs="Arial"/>
          <w:b/>
          <w:color w:val="000000" w:themeColor="text1"/>
          <w:szCs w:val="24"/>
          <w:lang w:bidi="en-US"/>
        </w:rPr>
        <w:t>71</w:t>
      </w:r>
      <w:r>
        <w:rPr>
          <w:rFonts w:ascii="Arial" w:eastAsiaTheme="majorEastAsia" w:hAnsi="Arial" w:cs="Arial"/>
          <w:b/>
          <w:color w:val="000000" w:themeColor="text1"/>
          <w:szCs w:val="24"/>
          <w:lang w:bidi="en-US"/>
        </w:rPr>
        <w:t xml:space="preserve"> (příloha č. 8)</w:t>
      </w:r>
    </w:p>
    <w:p w14:paraId="3350854E" w14:textId="77777777" w:rsidR="00FF2E95" w:rsidRDefault="00000000">
      <w:pPr>
        <w:spacing w:after="120"/>
        <w:jc w:val="both"/>
        <w:rPr>
          <w:rFonts w:ascii="Arial" w:eastAsia="Calibri" w:hAnsi="Arial" w:cs="Arial"/>
        </w:rPr>
      </w:pPr>
      <w:r>
        <w:rPr>
          <w:rFonts w:ascii="Arial" w:eastAsia="Calibri" w:hAnsi="Arial" w:cs="Arial"/>
        </w:rPr>
        <w:t>S ohledem na velké množství změn prováděných v příloze č. 8 se navrhuje nahradit přílohu novým zněním.</w:t>
      </w:r>
    </w:p>
    <w:p w14:paraId="3316BD5B" w14:textId="77777777" w:rsidR="00FF2E95" w:rsidRDefault="00000000">
      <w:pPr>
        <w:spacing w:after="120"/>
        <w:jc w:val="both"/>
        <w:rPr>
          <w:rFonts w:ascii="Arial" w:eastAsia="Calibri" w:hAnsi="Arial" w:cs="Arial"/>
        </w:rPr>
      </w:pPr>
      <w:r>
        <w:rPr>
          <w:rFonts w:ascii="Arial" w:eastAsia="Calibri" w:hAnsi="Arial" w:cs="Arial"/>
        </w:rPr>
        <w:t xml:space="preserve">Změny se dotýkají zejména následujících oblastí: </w:t>
      </w:r>
    </w:p>
    <w:p w14:paraId="0A6B127F" w14:textId="391CC74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úprava nové technické podmínky provozu ke skládkám,</w:t>
      </w:r>
    </w:p>
    <w:p w14:paraId="48B13BB9"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upřesnění technických podmínek provozu pro čistírny odpadních vod,</w:t>
      </w:r>
    </w:p>
    <w:p w14:paraId="524CFAC7"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specifické emisní limity a technické podmínky provozu pro 3 nové kódy (sušení čistírenských kalů, elektroodpad, výroba lihu),</w:t>
      </w:r>
    </w:p>
    <w:p w14:paraId="6E3D8493"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nové technické podmínky provozu pro koksovny,</w:t>
      </w:r>
    </w:p>
    <w:p w14:paraId="4913E4E7"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nová technická podmínka provozu k výrobě bioplynu,</w:t>
      </w:r>
    </w:p>
    <w:p w14:paraId="1B41422B"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zobecnění technických podmínek provozu pro výrobu oceli (manipulace),</w:t>
      </w:r>
    </w:p>
    <w:p w14:paraId="319433B4"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lastRenderedPageBreak/>
        <w:t>doplnění technických podmínek provozu pro slévárny železných kovů,</w:t>
      </w:r>
    </w:p>
    <w:p w14:paraId="1D905031"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nové technické podmínky provozu pro obalovny,</w:t>
      </w:r>
    </w:p>
    <w:p w14:paraId="44612C6F"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rozšíření technických podmínek provozu u kódu 6.5 plasty a doplnění nového specifického emisního limitu pro TZL,</w:t>
      </w:r>
    </w:p>
    <w:p w14:paraId="5EF286D9"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nové znění kódu 7.7. (dřevo), zahrnutí sušení pilin a zpřísnění specifických emisních limitů pro TZL u broušení,</w:t>
      </w:r>
    </w:p>
    <w:p w14:paraId="192C1B96"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změny ve znění kódů na základě změn provedeny novelou zákona (většinou „nebo“ místo „a“),</w:t>
      </w:r>
    </w:p>
    <w:p w14:paraId="4C2AFA6C" w14:textId="77777777" w:rsidR="00FF2E95" w:rsidRDefault="00000000">
      <w:pPr>
        <w:pStyle w:val="Odstavecseseznamem"/>
        <w:numPr>
          <w:ilvl w:val="0"/>
          <w:numId w:val="5"/>
        </w:numPr>
        <w:spacing w:after="120"/>
        <w:jc w:val="both"/>
        <w:rPr>
          <w:rFonts w:ascii="Arial" w:eastAsia="Calibri" w:hAnsi="Arial" w:cs="Arial"/>
        </w:rPr>
      </w:pPr>
      <w:r>
        <w:rPr>
          <w:rFonts w:ascii="Arial" w:eastAsia="Calibri" w:hAnsi="Arial" w:cs="Arial"/>
        </w:rPr>
        <w:t>technické podmínky provozu pro manipulace se sypkými materiály.</w:t>
      </w:r>
    </w:p>
    <w:p w14:paraId="27D5CC2A" w14:textId="77777777" w:rsidR="00FF2E95" w:rsidRDefault="00000000">
      <w:pPr>
        <w:spacing w:after="120"/>
        <w:jc w:val="both"/>
        <w:rPr>
          <w:rFonts w:ascii="Arial" w:eastAsia="Calibri" w:hAnsi="Arial" w:cs="Arial"/>
        </w:rPr>
      </w:pPr>
      <w:r>
        <w:rPr>
          <w:rFonts w:ascii="Arial" w:eastAsia="Calibri" w:hAnsi="Arial" w:cs="Arial"/>
        </w:rPr>
        <w:t>Podrobnější vysvětlení k některým změnám:</w:t>
      </w:r>
    </w:p>
    <w:p w14:paraId="5006334F" w14:textId="77777777" w:rsidR="00FF2E95" w:rsidRDefault="00000000">
      <w:pPr>
        <w:spacing w:after="120"/>
        <w:jc w:val="both"/>
        <w:rPr>
          <w:rFonts w:ascii="Arial" w:eastAsia="Calibri" w:hAnsi="Arial" w:cs="Arial"/>
          <w:u w:val="single"/>
        </w:rPr>
      </w:pPr>
      <w:r>
        <w:rPr>
          <w:rFonts w:ascii="Arial" w:eastAsia="Calibri" w:hAnsi="Arial" w:cs="Arial"/>
          <w:u w:val="single"/>
        </w:rPr>
        <w:t>K novému bodu 1.0 (kód 2.2.) a pro něj stanoveným technickým podmínkám provozu:</w:t>
      </w:r>
    </w:p>
    <w:p w14:paraId="18EB458D" w14:textId="78C52F3F" w:rsidR="00FF2E95" w:rsidRDefault="00000000">
      <w:pPr>
        <w:spacing w:after="120"/>
        <w:jc w:val="both"/>
        <w:rPr>
          <w:rFonts w:ascii="Arial" w:eastAsia="Calibri" w:hAnsi="Arial" w:cs="Arial"/>
        </w:rPr>
      </w:pPr>
      <w:r>
        <w:rPr>
          <w:rFonts w:ascii="Arial" w:eastAsia="Calibri" w:hAnsi="Arial" w:cs="Arial"/>
        </w:rPr>
        <w:t xml:space="preserve">V referenčním dokumentu o nejlepších dostupných technikách u stacionárních zdrojů nespadajích pod </w:t>
      </w:r>
      <w:r w:rsidR="004B12E2">
        <w:rPr>
          <w:rFonts w:ascii="Arial" w:eastAsia="Calibri" w:hAnsi="Arial" w:cs="Arial"/>
        </w:rPr>
        <w:t>BREF – Odpady</w:t>
      </w:r>
      <w:r>
        <w:rPr>
          <w:rFonts w:ascii="Arial" w:eastAsia="Calibri" w:hAnsi="Arial" w:cs="Arial"/>
        </w:rPr>
        <w:t xml:space="preserve"> (dále jen „neBREF - odpady“) je na str. 19 v kapitole 3.2.2.1. (používané techniky a postupy) uvedeno, že „v rámci této činnosti mohou zejména při skládání prašného odpadu typu zemin, stavebních a demoličních odpadů, apod., být produkovány fugitivní emise TZL a úletů odpadů do okolí zařízení.“</w:t>
      </w:r>
    </w:p>
    <w:p w14:paraId="3DA5B737" w14:textId="3CCCCBC4" w:rsidR="00FF2E95" w:rsidRDefault="00000000" w:rsidP="00D533AD">
      <w:pPr>
        <w:spacing w:after="120"/>
        <w:jc w:val="both"/>
        <w:rPr>
          <w:rFonts w:ascii="Arial" w:eastAsia="Calibri" w:hAnsi="Arial" w:cs="Arial"/>
        </w:rPr>
      </w:pPr>
      <w:r>
        <w:rPr>
          <w:rFonts w:ascii="Arial" w:eastAsia="Calibri" w:hAnsi="Arial" w:cs="Arial"/>
        </w:rPr>
        <w:t>Vzhledem k častým požárům skládek odpadů (zařízení kategorie 5.4 Skládky, které přijímají více než 10 t denně nebo mají celkovou kapacitu větší než 25 000 t, s výjimkou skládek inertního odpadu) navrhujeme jako opatření pro předcházení požárům monitoring pomocí IR kamer.</w:t>
      </w:r>
      <w:r w:rsidR="00D533AD">
        <w:rPr>
          <w:rFonts w:ascii="Arial" w:eastAsia="Calibri" w:hAnsi="Arial" w:cs="Arial"/>
        </w:rPr>
        <w:t xml:space="preserve"> </w:t>
      </w:r>
    </w:p>
    <w:p w14:paraId="19727E5E" w14:textId="25390CA6" w:rsidR="00FF2E95" w:rsidRDefault="00000000">
      <w:pPr>
        <w:spacing w:after="120"/>
        <w:jc w:val="both"/>
        <w:rPr>
          <w:rFonts w:ascii="Arial" w:eastAsia="Calibri" w:hAnsi="Arial" w:cs="Arial"/>
        </w:rPr>
      </w:pPr>
      <w:r>
        <w:rPr>
          <w:rFonts w:ascii="Arial" w:eastAsia="Calibri" w:hAnsi="Arial" w:cs="Arial"/>
        </w:rPr>
        <w:t>Uvedené opatření se týká pouze aktivních etap skládek, kde dochází k aktivnímu ukládání odpadu bez důsledného odplynění a mělo by podpořit požární prevenci při skládkování komunálních odpadů. Pro opatření je stanoven spodní kapacitní práh na 25 000 tisíc tun přijímaných odpadů ročně tak, aby se vztahovalo na přibližně 50 největších zařízení, které dle dat od HZS ČR zahořívají v pravidelných intervalech. Před navržením podmínky byl proveden průzkum mezi jednotlivými provozovateli, kde bylo zjištěno že monitoring pomocí IR kamer již nyní mnohá zařízení pro svou potřebu provádí. Vzhledem k vyšším vstupním nákladům na pořízení systému monitoringu byly důsledně analyzovány nahlášené požáry z posledních let a byl nastaven kapacitní limit tak, aby nedošlo k finanční zátěži pro menší zařízení. Technická podmínka provozu zároveň stanovuje uchovávat data minimálně 10 pracovních dní z důvodu snažšího šetření případných požárů a umožnění ČIŽP přístupu k těmto datům. Toto opatření nezamezí úmyslně založeným požárům, ani nemůže požáry zcela eliminovat, nicméně umožní díky okamžité detekce vzniklého požáru přivolání HZS, který má na zvládání požárů tohoto rozsahu dostatek technických i lidských prostředků. Od tohoto opatření očekáváme snížení počtu zahoření skládek, případně rychlou likvidaci požárů již v zárodku. To bude mít vliv nejen na snížení emisí, které v případě rozsáhlých požárů unikají do ovzduší ale i snížení nákladů na zdolávání požárů ze stran HZS. Dle zjištěných informací je totiž při prohoření do tělesa skládky nutné použít k hašení pěnu a provést do tělesa technické zásahy za použití těžké techniky což je finančně velmi nákladné.</w:t>
      </w:r>
    </w:p>
    <w:p w14:paraId="58669744" w14:textId="18A6F2C8" w:rsidR="00FF2E95" w:rsidRDefault="00000000">
      <w:pPr>
        <w:spacing w:after="120"/>
        <w:jc w:val="both"/>
        <w:rPr>
          <w:rFonts w:ascii="Arial" w:eastAsia="Calibri" w:hAnsi="Arial" w:cs="Arial"/>
        </w:rPr>
      </w:pPr>
      <w:r>
        <w:rPr>
          <w:rFonts w:ascii="Arial" w:eastAsia="Calibri" w:hAnsi="Arial" w:cs="Arial"/>
        </w:rPr>
        <w:t xml:space="preserve">IR kamera funguje tak, že je instalována na vysoký stožár, na nejvyšší místo na pozemku tak, aby snímala co největší aktivní plochu. IR kamery jsou širokoúhlé a na monitoru je vidět lokální zvýšení teploty. Je ale nezbytné, aby byl systém nastaven správně, tzn. aby IR kamery nezaznamenávaly také jiné tepelné zdroje (výfuky vozidel) či např. úlomky skla, které mohou při určitém úhlu ke slunci spustit požární poplach.  Obvykle jsou IR kamery provozovány zejména o víkendu a v noci, tj. mimo dobu aktivního provozu na skládkovém tělese. Zařízení, kde je systém monitoringu již nyní provozován mají nastavený alarm, který při prudkém zvýšení teploty informují obsluhu konající dozor. Ten má následně za úkol okamžitě prověřit situaci a ohnisko požáru zlikvidovat pomocí hasebních prostředků či přivolat HZS.  Dle </w:t>
      </w:r>
      <w:r>
        <w:rPr>
          <w:rFonts w:ascii="Arial" w:eastAsia="Calibri" w:hAnsi="Arial" w:cs="Arial"/>
        </w:rPr>
        <w:lastRenderedPageBreak/>
        <w:t>získaných informací systém funguje s velmi vysokou spolehlivostí a pomáhá včas odhalit jakoukoliv nestandartní situaci na skládkovém tělese.</w:t>
      </w:r>
    </w:p>
    <w:p w14:paraId="72C5F19A" w14:textId="77777777" w:rsidR="00FF2E95" w:rsidRDefault="00000000">
      <w:pPr>
        <w:spacing w:after="120"/>
        <w:jc w:val="both"/>
        <w:rPr>
          <w:rFonts w:ascii="Arial" w:eastAsia="Calibri" w:hAnsi="Arial" w:cs="Arial"/>
        </w:rPr>
      </w:pPr>
      <w:r>
        <w:rPr>
          <w:rFonts w:ascii="Arial" w:eastAsia="Calibri" w:hAnsi="Arial" w:cs="Arial"/>
        </w:rPr>
        <w:t>Současně byly nastaveny technické podmínky provozu s ohledem na skutečnost, že celá řada skládek odpadů produkuje emise prachu z pojezdových ploch a obecně vnitropodnikových komunikací. Jedná se zejména o povinnost pravidelného čištění zpevněných pojezdových ploch, na něž se nečistoty dostávají z kol vozů sjíždějících z tělesa skládky, případně o povinnost skrápění. Vzhledem k tomu, že naprostá většina zařízení má již nyní vlastní čistící vozidla či jsou ve správě technických služeb nepředpokládáme, že dojde k nějakým problémům v souvislosti s touto podmínkou.</w:t>
      </w:r>
    </w:p>
    <w:p w14:paraId="2ED2A259" w14:textId="77777777" w:rsidR="00FF2E95" w:rsidRDefault="00000000">
      <w:pPr>
        <w:spacing w:after="120"/>
        <w:jc w:val="both"/>
        <w:rPr>
          <w:rFonts w:ascii="Arial" w:eastAsia="Calibri" w:hAnsi="Arial" w:cs="Arial"/>
        </w:rPr>
      </w:pPr>
      <w:r>
        <w:rPr>
          <w:rFonts w:ascii="Arial" w:eastAsia="Calibri" w:hAnsi="Arial" w:cs="Arial"/>
        </w:rPr>
        <w:t>K bodu 1.5. Čistírny odpadních vod s celkovou projektovanou kapacitou pro 10 000 a více ekvivalentních obyvatel (Kód 2.7. přílohy č. 2 k zákonu):</w:t>
      </w:r>
    </w:p>
    <w:p w14:paraId="61AAFE7B" w14:textId="77777777" w:rsidR="00FF2E95" w:rsidRDefault="00000000">
      <w:pPr>
        <w:spacing w:after="120"/>
        <w:jc w:val="both"/>
        <w:rPr>
          <w:rFonts w:ascii="Arial" w:eastAsia="Calibri" w:hAnsi="Arial" w:cs="Arial"/>
        </w:rPr>
      </w:pPr>
      <w:r>
        <w:rPr>
          <w:rFonts w:ascii="Arial" w:eastAsia="Calibri" w:hAnsi="Arial" w:cs="Arial"/>
        </w:rPr>
        <w:t>U tohoto bodu došlo k upřesnění technické podmínky provozu, která vychází z dosavadní praxe. Jedná se o potenciálně problematickou technologii, na kterou se opakují stížnosti na zápach.</w:t>
      </w:r>
    </w:p>
    <w:p w14:paraId="77F19FD4" w14:textId="77777777" w:rsidR="00FF2E95" w:rsidRDefault="00000000">
      <w:pPr>
        <w:spacing w:after="120"/>
        <w:jc w:val="both"/>
        <w:rPr>
          <w:rFonts w:ascii="Arial" w:eastAsia="Calibri" w:hAnsi="Arial" w:cs="Arial"/>
        </w:rPr>
      </w:pPr>
      <w:r>
        <w:rPr>
          <w:rFonts w:ascii="Arial" w:eastAsia="Calibri" w:hAnsi="Arial" w:cs="Arial"/>
        </w:rPr>
        <w:t>V referenčním dokumentu o nejlepších dostupných technikách (BAT) pro společné systémy čištění odpadních vod a odpadních plynů a nakládání s nimi v odvětví chemického průmyslu (dále jen „BREF – zpracování odpadů“), v kapitole 3.3.3. (kombinace technik čištění odpadních vod), v podkapitole 3.3.3.1. (proces aktivovaného kalu) je uvedeno, že „opatření proti emisím do ovzduší jsou uzavírání nebo zakrývání citlivých oblastí, jako jsou míchací stanice, primárního čiření a aeračního bazénku a odvádění proudu znečištěného vzduchu do systému likvidace plynu.“</w:t>
      </w:r>
    </w:p>
    <w:p w14:paraId="0B8D7E7B" w14:textId="77777777" w:rsidR="00FF2E95" w:rsidRDefault="00000000">
      <w:pPr>
        <w:spacing w:after="120"/>
        <w:jc w:val="both"/>
        <w:rPr>
          <w:rFonts w:ascii="Arial" w:eastAsia="Calibri" w:hAnsi="Arial" w:cs="Arial"/>
        </w:rPr>
      </w:pPr>
      <w:r>
        <w:rPr>
          <w:rFonts w:ascii="Arial" w:eastAsia="Calibri" w:hAnsi="Arial" w:cs="Arial"/>
        </w:rPr>
        <w:t>V BREF dokumentu – zpracování odpadů, v kapitole 2.3.5.2. (předcházení nebo snižování emisí pachových látek ze zpracování odpadu) je uvedeno, že k minimalizaci emisí pachových látek je možné použít např. zakrývání nebo uzavírání zařízení pro skladování, manipulaci, sběr a úpravu zapáchajícího odpadu (včetně odpadní vody a kalů).</w:t>
      </w:r>
    </w:p>
    <w:p w14:paraId="4E39EEE7" w14:textId="77777777" w:rsidR="00FF2E95" w:rsidRDefault="00000000">
      <w:pPr>
        <w:spacing w:after="120"/>
        <w:jc w:val="both"/>
        <w:rPr>
          <w:rFonts w:ascii="Arial" w:eastAsia="Calibri" w:hAnsi="Arial" w:cs="Arial"/>
        </w:rPr>
      </w:pPr>
      <w:r>
        <w:rPr>
          <w:rFonts w:ascii="Arial" w:eastAsia="Calibri" w:hAnsi="Arial" w:cs="Arial"/>
        </w:rPr>
        <w:t xml:space="preserve">V referenčním dokumentu o nejlepších dostupných technikách u stacionárních zdrojů nespadajících pod BREF – Odpady (dále jen „neBREF – odpady“), v kapitole 4.7. (Čistírny odpadních vod; zařízení určená pro provoz technologií produkujících odpadní vody nepřevoditelné na ekvivalentní obyvatele v množství větším než 50 m3/den), v podkapitole 4.7.2. (Primární specifické BAT) je uvedena tabulka s následujícími technikami, které jsou obecně použitelné: </w:t>
      </w:r>
    </w:p>
    <w:p w14:paraId="1F8EF2EE" w14:textId="77777777" w:rsidR="00FF2E95" w:rsidRDefault="00000000">
      <w:pPr>
        <w:pStyle w:val="Odstavecseseznamem"/>
        <w:numPr>
          <w:ilvl w:val="0"/>
          <w:numId w:val="6"/>
        </w:numPr>
        <w:spacing w:after="120"/>
        <w:jc w:val="both"/>
        <w:rPr>
          <w:rFonts w:ascii="Arial" w:eastAsia="Calibri" w:hAnsi="Arial" w:cs="Arial"/>
        </w:rPr>
      </w:pPr>
      <w:r>
        <w:rPr>
          <w:rFonts w:ascii="Arial" w:eastAsia="Calibri" w:hAnsi="Arial" w:cs="Arial"/>
        </w:rPr>
        <w:t xml:space="preserve">Manipulace se zapáchajícími materiály ve zcela izolovaných nebo vhodně upravených nádržích/nádobách a jejich skladování v uzavřených budovách napojených na zařízení k omezování zápachu. </w:t>
      </w:r>
    </w:p>
    <w:p w14:paraId="4A0A543A" w14:textId="77777777" w:rsidR="00FF2E95" w:rsidRDefault="00000000">
      <w:pPr>
        <w:pStyle w:val="Odstavecseseznamem"/>
        <w:numPr>
          <w:ilvl w:val="0"/>
          <w:numId w:val="6"/>
        </w:numPr>
        <w:spacing w:after="120"/>
        <w:jc w:val="both"/>
        <w:rPr>
          <w:rFonts w:ascii="Arial" w:eastAsia="Calibri" w:hAnsi="Arial" w:cs="Arial"/>
        </w:rPr>
      </w:pPr>
      <w:r>
        <w:rPr>
          <w:rFonts w:ascii="Arial" w:eastAsia="Calibri" w:hAnsi="Arial" w:cs="Arial"/>
        </w:rPr>
        <w:t>Omezení při použití otevřených nádrží, nádob nebo šachet.</w:t>
      </w:r>
    </w:p>
    <w:p w14:paraId="094DFEA7" w14:textId="77777777" w:rsidR="00FF2E95" w:rsidRDefault="00000000">
      <w:pPr>
        <w:pStyle w:val="Odstavecseseznamem"/>
        <w:numPr>
          <w:ilvl w:val="0"/>
          <w:numId w:val="6"/>
        </w:numPr>
        <w:spacing w:after="120"/>
        <w:jc w:val="both"/>
        <w:rPr>
          <w:rFonts w:ascii="Arial" w:eastAsia="Calibri" w:hAnsi="Arial" w:cs="Arial"/>
        </w:rPr>
      </w:pPr>
      <w:r>
        <w:rPr>
          <w:rFonts w:ascii="Arial" w:eastAsia="Calibri" w:hAnsi="Arial" w:cs="Arial"/>
        </w:rPr>
        <w:t>Vykládání kalů v uzavřených prostorech, které jsou vybaveny ventilačním systémem napojeným na zařízení na omezování emisí.</w:t>
      </w:r>
    </w:p>
    <w:p w14:paraId="102F0E62" w14:textId="77777777" w:rsidR="00FF2E95" w:rsidRDefault="00000000">
      <w:pPr>
        <w:spacing w:after="120"/>
        <w:jc w:val="both"/>
        <w:rPr>
          <w:rFonts w:ascii="Arial" w:eastAsia="Calibri" w:hAnsi="Arial" w:cs="Arial"/>
        </w:rPr>
      </w:pPr>
      <w:r>
        <w:rPr>
          <w:rFonts w:ascii="Arial" w:eastAsia="Calibri" w:hAnsi="Arial" w:cs="Arial"/>
        </w:rPr>
        <w:t>Na základě výše uvedených informací byly navrženy následující technické podmínky provozu:</w:t>
      </w:r>
    </w:p>
    <w:p w14:paraId="7847848A" w14:textId="79260487" w:rsidR="00FF2E95" w:rsidRDefault="00000000">
      <w:pPr>
        <w:spacing w:after="120"/>
        <w:jc w:val="both"/>
        <w:rPr>
          <w:rFonts w:ascii="Arial" w:eastAsia="Calibri" w:hAnsi="Arial" w:cs="Arial"/>
        </w:rPr>
      </w:pPr>
      <w:r>
        <w:rPr>
          <w:rFonts w:ascii="Arial" w:eastAsia="Calibri" w:hAnsi="Arial" w:cs="Arial"/>
        </w:rPr>
        <w:t xml:space="preserve">Využívat na všech zdrojích zápachu (nátok, nakládání se shrabky, kalové </w:t>
      </w:r>
      <w:r w:rsidR="007D4F3A">
        <w:rPr>
          <w:rFonts w:ascii="Arial" w:eastAsia="Calibri" w:hAnsi="Arial" w:cs="Arial"/>
        </w:rPr>
        <w:t>hospodářství</w:t>
      </w:r>
      <w:r>
        <w:rPr>
          <w:rFonts w:ascii="Arial" w:eastAsia="Calibri" w:hAnsi="Arial" w:cs="Arial"/>
        </w:rPr>
        <w:t xml:space="preserve"> atd.) opatření ke snižování emisí těchto látek, např. provedením odsávání odpadních plynů do zařízení k omezování emisí, zakrytováním jímek a dopravníků a uzavření objektů všude, kde je to možné.</w:t>
      </w:r>
    </w:p>
    <w:p w14:paraId="6AB49226" w14:textId="77777777" w:rsidR="00FF2E95" w:rsidRDefault="00000000">
      <w:pPr>
        <w:spacing w:after="120"/>
        <w:jc w:val="both"/>
        <w:rPr>
          <w:rFonts w:ascii="Arial" w:eastAsia="Calibri" w:hAnsi="Arial" w:cs="Arial"/>
        </w:rPr>
      </w:pPr>
      <w:r>
        <w:rPr>
          <w:rFonts w:ascii="Arial" w:eastAsia="Calibri" w:hAnsi="Arial" w:cs="Arial"/>
        </w:rPr>
        <w:t>Za účelem omezení zápachu využívat i technicko-organizační opatření, a sice alespoň důsledné uzavírání objektů.</w:t>
      </w:r>
    </w:p>
    <w:p w14:paraId="2C57AAED" w14:textId="77777777" w:rsidR="00FF2E95" w:rsidRDefault="00000000">
      <w:pPr>
        <w:spacing w:after="120"/>
        <w:jc w:val="both"/>
        <w:rPr>
          <w:rFonts w:ascii="Arial" w:eastAsia="Calibri" w:hAnsi="Arial" w:cs="Arial"/>
        </w:rPr>
      </w:pPr>
      <w:r>
        <w:rPr>
          <w:rFonts w:ascii="Arial" w:eastAsia="Calibri" w:hAnsi="Arial" w:cs="Arial"/>
        </w:rPr>
        <w:lastRenderedPageBreak/>
        <w:t>Personál musí mít v písemné podobě k dispozici postupy pro odstraňování nestandardních technologických stavů s následky zvýšené produkce zápachu (týká se biologického čištění a kalového hospodářství).</w:t>
      </w:r>
    </w:p>
    <w:p w14:paraId="3A4507E3" w14:textId="77777777" w:rsidR="00FF2E95" w:rsidRDefault="00000000">
      <w:pPr>
        <w:spacing w:after="120"/>
        <w:jc w:val="both"/>
        <w:rPr>
          <w:rFonts w:ascii="Arial" w:eastAsia="Calibri" w:hAnsi="Arial" w:cs="Arial"/>
        </w:rPr>
      </w:pPr>
      <w:r>
        <w:rPr>
          <w:rFonts w:ascii="Arial" w:eastAsia="Calibri" w:hAnsi="Arial" w:cs="Arial"/>
        </w:rPr>
        <w:t xml:space="preserve">Vzhledem k tomu, že se jedná pouze o organizační opatření nepředpokládáme, že dojde při plnění nových podmínek provozu ke komplikacím. </w:t>
      </w:r>
    </w:p>
    <w:p w14:paraId="054C5560" w14:textId="77777777" w:rsidR="00FF2E95" w:rsidRDefault="00000000">
      <w:pPr>
        <w:spacing w:after="120"/>
        <w:jc w:val="both"/>
        <w:rPr>
          <w:rFonts w:ascii="Arial" w:eastAsia="Calibri" w:hAnsi="Arial" w:cs="Arial"/>
          <w:u w:val="single"/>
        </w:rPr>
      </w:pPr>
      <w:r>
        <w:rPr>
          <w:rFonts w:ascii="Arial" w:eastAsia="Calibri" w:hAnsi="Arial" w:cs="Arial"/>
          <w:u w:val="single"/>
        </w:rPr>
        <w:t>K bodu 1.6 Sušení čistírenských kalů, sušení znečištěného skla nebo opalování znečištěných kovů nebo znečištěného skla (Kód 2.8. přílohy č. 2 k zákonu)</w:t>
      </w:r>
    </w:p>
    <w:p w14:paraId="5C740968" w14:textId="77777777" w:rsidR="00FF2E95" w:rsidRDefault="00000000">
      <w:pPr>
        <w:spacing w:after="120"/>
        <w:jc w:val="both"/>
        <w:rPr>
          <w:rFonts w:ascii="Arial" w:eastAsia="Calibri" w:hAnsi="Arial" w:cs="Arial"/>
        </w:rPr>
      </w:pPr>
      <w:r>
        <w:rPr>
          <w:rFonts w:ascii="Arial" w:eastAsia="Calibri" w:hAnsi="Arial" w:cs="Arial"/>
        </w:rPr>
        <w:t>Jedná se o nový bod, do něhož jsou zařazeny problematické technologie, na které se opakují stížnosti na zápach. Sušením těchto materiálů dochází k produkci pachově postižitelných organických látek. V případě sušení znečištěného skla nebo kovů může docházet i k oxidaci nečistot, což má za následek produkci zdravotně závadných těkavých organických látek. Je tomu tak proto, že tyto znečištěné materiály bývají odpadem, na kterém bývají přichyceny různé materiály jako např. papír, plasty, zbytky lepidel apod., k jejichž oxidaci může docházet. Tyto rizikové technologie jsou přitom doposud zařazovány jako přímé procesní ohřevy, což je velmi široká kategorie bez předepsané regulace v prováděcím právním předpisu.</w:t>
      </w:r>
    </w:p>
    <w:p w14:paraId="6A99CA33" w14:textId="5E06FF94" w:rsidR="00FF2E95" w:rsidRDefault="00000000">
      <w:pPr>
        <w:spacing w:after="120"/>
        <w:jc w:val="both"/>
        <w:rPr>
          <w:rFonts w:ascii="Arial" w:eastAsia="Calibri" w:hAnsi="Arial" w:cs="Arial"/>
        </w:rPr>
      </w:pPr>
      <w:r>
        <w:rPr>
          <w:rFonts w:ascii="Arial" w:eastAsia="Calibri" w:hAnsi="Arial" w:cs="Arial"/>
        </w:rPr>
        <w:t xml:space="preserve">Pro tento kód byly stanoveny následující specifické emisní limity (SEL): pro TOC 50 mg/m3 a pro TZL 20 mg/m3. Jedná se o </w:t>
      </w:r>
      <w:r w:rsidR="004B12E2">
        <w:rPr>
          <w:rFonts w:ascii="Arial" w:eastAsia="Calibri" w:hAnsi="Arial" w:cs="Arial"/>
        </w:rPr>
        <w:t>SEL,</w:t>
      </w:r>
      <w:r>
        <w:rPr>
          <w:rFonts w:ascii="Arial" w:eastAsia="Calibri" w:hAnsi="Arial" w:cs="Arial"/>
        </w:rPr>
        <w:t xml:space="preserve"> které se „běžně“ stanovují u podobných technologií a které odpovídají obvykle naměřeným hodnotám. </w:t>
      </w:r>
    </w:p>
    <w:p w14:paraId="28EEE430" w14:textId="27810AB7" w:rsidR="00FF2E95" w:rsidRDefault="00000000">
      <w:pPr>
        <w:spacing w:after="120"/>
        <w:jc w:val="both"/>
        <w:rPr>
          <w:rFonts w:ascii="Arial" w:eastAsia="Calibri" w:hAnsi="Arial" w:cs="Arial"/>
        </w:rPr>
      </w:pPr>
      <w:r>
        <w:rPr>
          <w:rFonts w:ascii="Arial" w:eastAsia="Calibri" w:hAnsi="Arial" w:cs="Arial"/>
        </w:rPr>
        <w:t xml:space="preserve">V referenčním dokumentu o nejlepších dostupných technikách u stacionárních zdrojů nespadajích pod </w:t>
      </w:r>
      <w:r w:rsidR="004B12E2">
        <w:rPr>
          <w:rFonts w:ascii="Arial" w:eastAsia="Calibri" w:hAnsi="Arial" w:cs="Arial"/>
        </w:rPr>
        <w:t>BREF – Odpady</w:t>
      </w:r>
      <w:r>
        <w:rPr>
          <w:rFonts w:ascii="Arial" w:eastAsia="Calibri" w:hAnsi="Arial" w:cs="Arial"/>
        </w:rPr>
        <w:t xml:space="preserve"> (dále jen „</w:t>
      </w:r>
      <w:r w:rsidR="004B12E2">
        <w:rPr>
          <w:rFonts w:ascii="Arial" w:eastAsia="Calibri" w:hAnsi="Arial" w:cs="Arial"/>
        </w:rPr>
        <w:t>neBREF – odpady</w:t>
      </w:r>
      <w:r>
        <w:rPr>
          <w:rFonts w:ascii="Arial" w:eastAsia="Calibri" w:hAnsi="Arial" w:cs="Arial"/>
        </w:rPr>
        <w:t>“) je uvedeno, že „při provozu ČOV mohou vznikat zejména pachové látky, které mohou unikat například z čerpacích jímek a nátokových objektů, při zahušťování nebo sušení kalů a podobně. Z tohoto důvodu byla v bodu 1.6 Sušení čistírenských kalů, sušení znečištěného skla nebo opalování znečištěných kovů nebo znečištěného skla (kód 2.8. přílohy č. 2 k zákonu) stanoveny technické podmínky provozu.</w:t>
      </w:r>
    </w:p>
    <w:p w14:paraId="6FB4E139" w14:textId="17B74DF0" w:rsidR="00FF2E95" w:rsidRDefault="00000000">
      <w:pPr>
        <w:spacing w:after="120"/>
        <w:jc w:val="both"/>
        <w:rPr>
          <w:rFonts w:ascii="Arial" w:eastAsia="Calibri" w:hAnsi="Arial" w:cs="Arial"/>
        </w:rPr>
      </w:pPr>
      <w:r>
        <w:rPr>
          <w:rFonts w:ascii="Arial" w:eastAsia="Calibri" w:hAnsi="Arial" w:cs="Arial"/>
        </w:rPr>
        <w:t xml:space="preserve">U tohoto bodu byly stanoveny vztažné podmínky B pro emisní </w:t>
      </w:r>
      <w:r w:rsidR="004B12E2">
        <w:rPr>
          <w:rFonts w:ascii="Arial" w:eastAsia="Calibri" w:hAnsi="Arial" w:cs="Arial"/>
        </w:rPr>
        <w:t>limit – koncentrace</w:t>
      </w:r>
      <w:r>
        <w:rPr>
          <w:rFonts w:ascii="Arial" w:eastAsia="Calibri" w:hAnsi="Arial" w:cs="Arial"/>
        </w:rPr>
        <w:t xml:space="preserve"> příslušné látky ve vlhkém plynu za normálních stavových podmínek, někdy s udáním referenčního obsahu některé látky v odpadním plynu, obvykle kyslíku.</w:t>
      </w:r>
    </w:p>
    <w:p w14:paraId="0931351B" w14:textId="77777777" w:rsidR="00FF2E95" w:rsidRDefault="00000000">
      <w:pPr>
        <w:spacing w:after="120"/>
        <w:jc w:val="both"/>
        <w:rPr>
          <w:rFonts w:ascii="Arial" w:eastAsia="Calibri" w:hAnsi="Arial" w:cs="Arial"/>
          <w:u w:val="single"/>
        </w:rPr>
      </w:pPr>
      <w:r>
        <w:rPr>
          <w:rFonts w:ascii="Arial" w:eastAsia="Calibri" w:hAnsi="Arial" w:cs="Arial"/>
          <w:u w:val="single"/>
        </w:rPr>
        <w:t>K bodu 1.7 Mechanické zpracování elektroodpadu o celkové projektované kapacitě 50 t elektroodpadu za den a více (Kód 2.9. přílohy č. 2 k zákonu)</w:t>
      </w:r>
    </w:p>
    <w:p w14:paraId="3FCF07C7" w14:textId="77777777" w:rsidR="00FF2E95" w:rsidRDefault="00000000">
      <w:pPr>
        <w:spacing w:after="120"/>
        <w:jc w:val="both"/>
        <w:rPr>
          <w:rFonts w:ascii="Arial" w:eastAsia="Calibri" w:hAnsi="Arial" w:cs="Arial"/>
        </w:rPr>
      </w:pPr>
      <w:r>
        <w:rPr>
          <w:rFonts w:ascii="Arial" w:eastAsia="Calibri" w:hAnsi="Arial" w:cs="Arial"/>
        </w:rPr>
        <w:t xml:space="preserve">Jedná se o nový bod, který je navržen z důvodu zjištění výskytu emisí těžkých kovů u provozoven, které třídí, zpracovávají a recyklují elektroodpad (odpadní elektrická a elektronická zařízení) v průmyslovém měřítku. V současné době jsou tyto stacionární zdroje předmětem kódu 11.1. (Stacionární zdroje emitující 5 tun tuhých znečišťujících látek a více) dle přílohy č. 2 zákona č. 201/2012 Sb., o ochraně ovzduší, avšak tato kategorizace není spolehlivá a praxe napříč kraji se značně různí. </w:t>
      </w:r>
    </w:p>
    <w:p w14:paraId="046A3543" w14:textId="1F18D14A" w:rsidR="00FF2E95" w:rsidRDefault="00000000">
      <w:pPr>
        <w:spacing w:after="120"/>
        <w:jc w:val="both"/>
        <w:rPr>
          <w:rFonts w:ascii="Arial" w:eastAsia="Calibri" w:hAnsi="Arial" w:cs="Arial"/>
        </w:rPr>
      </w:pPr>
      <w:r>
        <w:rPr>
          <w:rFonts w:ascii="Arial" w:eastAsia="Calibri" w:hAnsi="Arial" w:cs="Arial"/>
        </w:rPr>
        <w:t xml:space="preserve">U bodu 1.7 byly stanoveny specifické emisní limity pro TZL (10 mg/m3), (*5 mg/m3 – SEL pro </w:t>
      </w:r>
      <w:r w:rsidR="004B12E2">
        <w:rPr>
          <w:rFonts w:ascii="Arial" w:eastAsia="Calibri" w:hAnsi="Arial" w:cs="Arial"/>
        </w:rPr>
        <w:t>TZL – platí</w:t>
      </w:r>
      <w:r>
        <w:rPr>
          <w:rFonts w:ascii="Arial" w:eastAsia="Calibri" w:hAnsi="Arial" w:cs="Arial"/>
        </w:rPr>
        <w:t xml:space="preserve"> pro výduch z odvětrávání vnitřního prostoru, kde dochází k mletí a drcení elektromateriálu – tzv. „betonová kobka"). Z dostupných protokolů z měření emisí bylo zjištěno, že se naměřené hodnoty pohybují v nižších jednotkách mg/m3 TZL, což dokazuje, že provozovatelé budou schopni s rezervou plnit stanovený relativně přísný SEL 10 mg/m3 pro TZL. Současně nelze předpokládat, že hodnota bude splnitelná bez filtrace, a navržená hodnota tedy bude mít regulační účinek.</w:t>
      </w:r>
    </w:p>
    <w:p w14:paraId="798A0841" w14:textId="77777777" w:rsidR="00FF2E95" w:rsidRDefault="00000000">
      <w:pPr>
        <w:spacing w:after="120"/>
        <w:jc w:val="both"/>
        <w:rPr>
          <w:rFonts w:ascii="Arial" w:eastAsia="Calibri" w:hAnsi="Arial" w:cs="Arial"/>
        </w:rPr>
      </w:pPr>
      <w:r>
        <w:rPr>
          <w:rFonts w:ascii="Arial" w:eastAsia="Calibri" w:hAnsi="Arial" w:cs="Arial"/>
        </w:rPr>
        <w:t xml:space="preserve">Dále byl stanoven SEL pro TOC (50 mg/m3). SEL pro TOC byl stanoven zejména proto, že při drcení plastů může při zvýšené teplotě docházet k rozkladu plastů, čímž mohou vznikat emise </w:t>
      </w:r>
      <w:r>
        <w:rPr>
          <w:rFonts w:ascii="Arial" w:eastAsia="Calibri" w:hAnsi="Arial" w:cs="Arial"/>
        </w:rPr>
        <w:lastRenderedPageBreak/>
        <w:t xml:space="preserve">VOC. Z dostupných protokolů z měření emisí bylo zjištěno, že emise VOC jsou při zpracování elektroodpadu emitovány a je tedy vhodné je omezovat. </w:t>
      </w:r>
    </w:p>
    <w:p w14:paraId="3F6B994E" w14:textId="77777777" w:rsidR="00FF2E95" w:rsidRDefault="00000000">
      <w:pPr>
        <w:spacing w:after="120"/>
        <w:jc w:val="both"/>
        <w:rPr>
          <w:rFonts w:ascii="Arial" w:eastAsia="Calibri" w:hAnsi="Arial" w:cs="Arial"/>
        </w:rPr>
      </w:pPr>
      <w:r>
        <w:rPr>
          <w:rFonts w:ascii="Arial" w:eastAsia="Calibri" w:hAnsi="Arial" w:cs="Arial"/>
        </w:rPr>
        <w:t xml:space="preserve">Při zpracování elektroodpadu jsou spolu s TZL emitovány také těžké kovy (např. kadmium, měď, nikl, olovo, rtuť, zinek), nicméně SEL pro těžké kovy ve vyhlášce stanoveny nebyly, mj. z důvodu vysoké finanční náročnosti pro provozovatele za rozbory těžkých kovů. Lepší alternativou se zdá být to, aby provozovatelé investovali tyto finanční prostředky na technologie ke snižování emisí prachu, které přinesou reálné výsledky snížení emisí i těžkých kovů. Předpokládáme, že emitování těžkých kovů bude omezeno právě tím, že bude stanoven relativně přísný SEL pro TZL (10 mg/m3), jelikož těžké kovy jsou navázány na TZL. </w:t>
      </w:r>
    </w:p>
    <w:p w14:paraId="1DE50A33" w14:textId="77777777" w:rsidR="00FF2E95" w:rsidRDefault="00000000">
      <w:pPr>
        <w:spacing w:after="120"/>
        <w:jc w:val="both"/>
        <w:rPr>
          <w:rFonts w:ascii="Arial" w:eastAsia="Calibri" w:hAnsi="Arial" w:cs="Arial"/>
        </w:rPr>
      </w:pPr>
      <w:r>
        <w:rPr>
          <w:rFonts w:ascii="Arial" w:eastAsia="Calibri" w:hAnsi="Arial" w:cs="Arial"/>
        </w:rPr>
        <w:t>Stanovené technické podmínky provozu vychází ze skutečnosti, že s provozem podobných technologií bývají spojeny požáry a počet těchto provozoven bude při přechodu k cirkulární ekonomice a potřebě recyklovat kritické suroviny dále narůstat.</w:t>
      </w:r>
    </w:p>
    <w:p w14:paraId="76C4F73A" w14:textId="11392FBE" w:rsidR="00FF2E95" w:rsidRDefault="00000000">
      <w:pPr>
        <w:spacing w:after="120"/>
        <w:jc w:val="both"/>
        <w:rPr>
          <w:rFonts w:ascii="Arial" w:eastAsia="Calibri" w:hAnsi="Arial" w:cs="Arial"/>
        </w:rPr>
      </w:pPr>
      <w:r>
        <w:rPr>
          <w:rFonts w:ascii="Arial" w:eastAsia="Calibri" w:hAnsi="Arial" w:cs="Arial"/>
        </w:rPr>
        <w:t xml:space="preserve">Vztažné podmínky jsou navrženy jako </w:t>
      </w:r>
      <w:r w:rsidR="007D4F3A">
        <w:rPr>
          <w:rFonts w:ascii="Arial" w:eastAsia="Calibri" w:hAnsi="Arial" w:cs="Arial"/>
        </w:rPr>
        <w:t>C – koncentrace</w:t>
      </w:r>
      <w:r>
        <w:rPr>
          <w:rFonts w:ascii="Arial" w:eastAsia="Calibri" w:hAnsi="Arial" w:cs="Arial"/>
        </w:rPr>
        <w:t xml:space="preserve"> příslušné látky v odpadním plynu za obvyklých provozních podmínek. Je tomu tak z toho důvodu, že procesy neprobíhají s žádným procesním ohřevem, a tudíž nemá velký význam používat přepočet na normální stavové podmínky.</w:t>
      </w:r>
    </w:p>
    <w:p w14:paraId="7D4D6ED1" w14:textId="77777777" w:rsidR="00FF2E95" w:rsidRDefault="00000000">
      <w:pPr>
        <w:spacing w:after="120"/>
        <w:jc w:val="both"/>
        <w:rPr>
          <w:rFonts w:ascii="Arial" w:eastAsia="Calibri" w:hAnsi="Arial" w:cs="Arial"/>
          <w:u w:val="single"/>
        </w:rPr>
      </w:pPr>
      <w:r>
        <w:rPr>
          <w:rFonts w:ascii="Arial" w:eastAsia="Calibri" w:hAnsi="Arial" w:cs="Arial"/>
          <w:u w:val="single"/>
        </w:rPr>
        <w:t>K bodu 2.2.1. Třídění a jiná studená úprava uhlí (kód 3.3. přílohy č. 2 k zákonu), kap. 2.2. Třídění a úprava uhlí, briketárny, část 2. Energetika ostatní</w:t>
      </w:r>
    </w:p>
    <w:p w14:paraId="1EA146C8" w14:textId="77777777" w:rsidR="00FF2E95" w:rsidRDefault="00000000">
      <w:pPr>
        <w:spacing w:after="120"/>
        <w:jc w:val="both"/>
        <w:rPr>
          <w:rFonts w:ascii="Arial" w:eastAsia="Calibri" w:hAnsi="Arial" w:cs="Arial"/>
        </w:rPr>
      </w:pPr>
      <w:r>
        <w:rPr>
          <w:rFonts w:ascii="Arial" w:eastAsia="Calibri" w:hAnsi="Arial" w:cs="Arial"/>
        </w:rPr>
        <w:t>Došlo k doplnění technických podmínek provozu. Součástí provozu třídírny nebo i provozoven na přípravu uhlí jsou i prostory manipulace s uhlím případně otevřené plochy, kde se odehrává vyklápění, skladování, přeprava jako promíchávání uhlí, míšení v zásobnících a drcení, nakládka zavážecích vozů, což ve valné většině způsobuje vznik TZL. S ohledem na charakter jejich vzniku se jedná o částice hrubších frakcí s nízkým podílem částic PM</w:t>
      </w:r>
      <w:r>
        <w:rPr>
          <w:rFonts w:ascii="Arial" w:eastAsia="Calibri" w:hAnsi="Arial" w:cs="Arial"/>
          <w:vertAlign w:val="subscript"/>
        </w:rPr>
        <w:t>10</w:t>
      </w:r>
      <w:r>
        <w:rPr>
          <w:rFonts w:ascii="Arial" w:eastAsia="Calibri" w:hAnsi="Arial" w:cs="Arial"/>
        </w:rPr>
        <w:t xml:space="preserve"> a PM</w:t>
      </w:r>
      <w:r>
        <w:rPr>
          <w:rFonts w:ascii="Arial" w:eastAsia="Calibri" w:hAnsi="Arial" w:cs="Arial"/>
          <w:vertAlign w:val="subscript"/>
        </w:rPr>
        <w:t>2,5</w:t>
      </w:r>
      <w:r>
        <w:rPr>
          <w:rFonts w:ascii="Arial" w:eastAsia="Calibri" w:hAnsi="Arial" w:cs="Arial"/>
        </w:rPr>
        <w:t>.  Otevřené ukládání, skladování a manipulace s uhlím jsou související činnosti třídíren a úpraven uhlí a jsou nezanedbatelným plošným zdroje emisí TZL. Vývin prašnosti je největší zejména během zakládání skládky, dočasném deponování a odebírání uhlí, při pohybu kolových mechanismů po povrchu otevřených ploch a hutnění vrstev, doprava při nakládce materiálu, doprava uhlí z areálu a vyvolaná doprava na přilehlé komunikaci, reemise uhelného prachu vlivem povětrnostních vlivů (větru) jako je větrná eroze prašných částic, pokud povrch není skrápěn vodou s disperzním přípravkem. Procesy drcení, třídění a prosévání u moderních provozů jsou také vykonávány v budovách, otevřené skládkování a manipulace se stále běžně vyskytuje bez odsávání z míst přesypů, byť jsou většinou součástí provozovny a jedním z popsaných technologických uzlů. V současné době vyhláška explicitně tyto činnosti ke kódu 3.3. nezmiňuje.</w:t>
      </w:r>
    </w:p>
    <w:p w14:paraId="2C252E10" w14:textId="77777777" w:rsidR="00FF2E95" w:rsidRDefault="00000000">
      <w:pPr>
        <w:spacing w:after="120"/>
        <w:jc w:val="both"/>
        <w:rPr>
          <w:rFonts w:ascii="Arial" w:eastAsia="Calibri" w:hAnsi="Arial" w:cs="Arial"/>
        </w:rPr>
      </w:pPr>
      <w:r>
        <w:rPr>
          <w:rFonts w:ascii="Arial" w:eastAsia="Calibri" w:hAnsi="Arial" w:cs="Arial"/>
        </w:rPr>
        <w:t>Často některé tyto provozy třídírny využívané jako deponie, třídírna a úpravna uhlí, případně jako velkoobchodní sklad uhlí nespadají pod posouzení EIA. Většina otevřených ploch a „mezideponií“ vzniká u těchto zdrojů a je novým zdrojem suspendovaných částic, většinou také v krajích, které souviseli s těžbou nebo v územích, kde jsou překračovány imisní limity. Na základě přehledu rozptylových studií a příkladů imisních koncentrací znečišťujících látek lze konstatovat, že činnost technologií a provoz nákladní dopravy většinou způsobí navýšení imisí znečišťujících látek v lokalitě, přičemž u suspendovaných částic frakce PM</w:t>
      </w:r>
      <w:r>
        <w:rPr>
          <w:rFonts w:ascii="Arial" w:eastAsia="Calibri" w:hAnsi="Arial" w:cs="Arial"/>
          <w:vertAlign w:val="subscript"/>
        </w:rPr>
        <w:t>10</w:t>
      </w:r>
      <w:r>
        <w:rPr>
          <w:rFonts w:ascii="Arial" w:eastAsia="Calibri" w:hAnsi="Arial" w:cs="Arial"/>
        </w:rPr>
        <w:t xml:space="preserve"> toto navýšení může být i velmi významné a může způsobit překročení imisního limitu. V případě studené úpravy uhlí se ne vždy v praxi podaří zařadit vstupní nebo výstupní skladování či dopravu materiálu jako související činnost ve smyslu § 12 odst. 4 písm. f) zákona č. 201/2012 Sb., o ochraně ovzduší, ve znění pozdějších předpisů. </w:t>
      </w:r>
    </w:p>
    <w:p w14:paraId="2964F9A0" w14:textId="77777777" w:rsidR="00FF2E95" w:rsidRDefault="00000000">
      <w:pPr>
        <w:spacing w:after="120"/>
        <w:jc w:val="both"/>
        <w:rPr>
          <w:rFonts w:ascii="Arial" w:eastAsia="Calibri" w:hAnsi="Arial" w:cs="Arial"/>
        </w:rPr>
      </w:pPr>
      <w:r>
        <w:rPr>
          <w:rFonts w:ascii="Arial" w:eastAsia="Calibri" w:hAnsi="Arial" w:cs="Arial"/>
        </w:rPr>
        <w:t xml:space="preserve">Nově navržené podmínky vedou k předcházení vzniku fugitivních emisí při skladování a mezideponii materiálu, manipulaci a dopravě nebo ke snížení jejich množství pomocí některé z níže uvedených technik či jejich kombinace. Ustanovení těchto technických podmínek </w:t>
      </w:r>
      <w:r>
        <w:rPr>
          <w:rFonts w:ascii="Arial" w:eastAsia="Calibri" w:hAnsi="Arial" w:cs="Arial"/>
        </w:rPr>
        <w:lastRenderedPageBreak/>
        <w:t>zaručuje, že tyto činnosti nebudou opomenuty v provozním řádu a povolení provoz. Provozní režim je důležitý aspekt pro tyto činnosti odehrávající se v provozovně zdroje a vyplývá z celkové roční kapacity, denní kapacity a vykládky a nakládky. V nových TPP se jedná o dostupné provozní praktické metody a činnosti, jejichž smyslem je omezit a předejít těmto typům emisí, které z těchto technologických uzlů vznikají a jsou obvyklou příčinou podnětů a stížností. Návrhem se tedy klade důraz na odlučování a eliminaci prachových emisí co nejblíže u zdroje. Účinnost těchto postupů pro operací se sypkými látkami ve venkovním prostředí. Ke snižování emisí na minimum je velmi vysoká, organizačně i nákladově dosažitelná. Jistě lze polemizovat, že TPP není zcela vyčerpávající, nicméně se jedná o jednoduché základní moderní techniky a postupy, které jsou primární, efektivní a ekonomicky únosné. Provozovatelé si ustanovením této TPP, pokud provozují tento typ stacionárního zdroje, budou vědomi, že tato opatření budou muset být aplikována a budou s nimi počítat již v finanční rozvaze při samotném záměru a zároveň pro řešení veškerých manipulací s mletým a tříděným uhlím jako je odprášení expedičních zásobníků a při plnění expedičních cisteren je nutné volit technické řešení odpovídající soudobým požadavkům na minimalizaci TZL a které mají obecnou platnost a jsou universální. Pro účely přepravy uhlí je možné v případě potřeby používat zakryté nebo ohrazené dopravníky. Pro účely skladování uhlí je možné použít rozstřikovače, plastické disperzní emulze s cílem potlačit tvorbu a vznos prachu. Ke snížení rychlosti větru je možné instalovat větrolamové ploty nebo vytvořit náspy ve směru proti větru. V případě nehodných podmínek se použije uzavřené skladování. Výška volného pádu musí být minimalizována v závislosti na velikosti zařízení a jeho konstrukci (pokud je to technicky možné, musí být menší než 0,5 m). Z pohledu ochrany ŽP bude snižován přenos fugitivních emisí mimo areál podniku pomocí bariéry z jednak již vzrostlé zeleně a zároveň pomocí nově realizované izolační výsadby, případně například jiné ochrana proti větru u úkonů nakládky a vykládky na volném prostranství.</w:t>
      </w:r>
    </w:p>
    <w:p w14:paraId="21C9327D" w14:textId="77777777" w:rsidR="00FF2E95" w:rsidRDefault="00000000">
      <w:pPr>
        <w:spacing w:after="120"/>
        <w:jc w:val="both"/>
        <w:rPr>
          <w:rFonts w:ascii="Arial" w:eastAsia="Calibri" w:hAnsi="Arial" w:cs="Arial"/>
        </w:rPr>
      </w:pPr>
      <w:r>
        <w:rPr>
          <w:rFonts w:ascii="Arial" w:eastAsia="Calibri" w:hAnsi="Arial" w:cs="Arial"/>
        </w:rPr>
        <w:t>Navržené TPP jsou v souladu s referenčním dokumentem o nejlepších dostupných technikách (BREF) pro Výrobu železa a oceli kap. 5. a dále se Závěry o nejlepších dostupných technikách (ZBAT) podle směrnice Evropského parlamentu a Rady 2010/75/EU o průmyslových emisích pro výrobu železa a oceli daných Prováděcím rozhodnutím ze dne 28. února 2012, uveřejněných dne 8.3.2012 v Úředním věstníku Evropské unie. Jsou rovněž v souladu s referenčním dokumentem, o nejlepších dostupných technikách u stacionárních zdrojů nespadajících pod BREF – Těžba a úprava paliv a nerostných surovin, s referenčním dokumentem o nejlepších dostupných technikách při omezování emisí ze skladování (leden 2005).</w:t>
      </w:r>
    </w:p>
    <w:p w14:paraId="3EA2A433" w14:textId="77777777" w:rsidR="00FF2E95" w:rsidRDefault="00000000">
      <w:pPr>
        <w:spacing w:after="120"/>
        <w:jc w:val="both"/>
        <w:rPr>
          <w:rFonts w:ascii="Arial" w:eastAsia="Calibri" w:hAnsi="Arial" w:cs="Arial"/>
          <w:u w:val="single"/>
        </w:rPr>
      </w:pPr>
      <w:r>
        <w:rPr>
          <w:rFonts w:ascii="Arial" w:eastAsia="Calibri" w:hAnsi="Arial" w:cs="Arial"/>
          <w:u w:val="single"/>
        </w:rPr>
        <w:t>Bod 2.2.2. Tepelná úprava uhlí (briketárny, nízkoteplotní karbonizace nebo sušení) (kód 3.4. přílohy č. 2 k zákonu), kap. 2.2. Třídění a úprava uhlí, briketárny, část 2. Energetika ostatní:</w:t>
      </w:r>
    </w:p>
    <w:p w14:paraId="00821A9D" w14:textId="77777777" w:rsidR="00FF2E95" w:rsidRDefault="00000000">
      <w:pPr>
        <w:spacing w:after="120"/>
        <w:jc w:val="both"/>
        <w:rPr>
          <w:rFonts w:ascii="Arial" w:eastAsia="Calibri" w:hAnsi="Arial" w:cs="Arial"/>
        </w:rPr>
      </w:pPr>
      <w:r>
        <w:rPr>
          <w:rFonts w:ascii="Arial" w:eastAsia="Calibri" w:hAnsi="Arial" w:cs="Arial"/>
        </w:rPr>
        <w:t>Změny obdobné jako u předchozího bodu. Snížením emisí TZL a případných „fugitivních“ emisích prachu má vliv i na výši úniku VOC. Hlavním problémem u tepelné úpravy uhlí z hlediska ovzduší jsou především emise polycyklických aromatických uhlovodíků.</w:t>
      </w:r>
    </w:p>
    <w:p w14:paraId="1A43A399" w14:textId="436B0D47" w:rsidR="00FF2E95" w:rsidRDefault="00000000">
      <w:pPr>
        <w:spacing w:after="120"/>
        <w:jc w:val="both"/>
        <w:rPr>
          <w:rFonts w:ascii="Arial" w:eastAsia="Calibri" w:hAnsi="Arial" w:cs="Arial"/>
        </w:rPr>
      </w:pPr>
      <w:r>
        <w:rPr>
          <w:rFonts w:ascii="Arial" w:eastAsia="Calibri" w:hAnsi="Arial" w:cs="Arial"/>
          <w:u w:val="single"/>
        </w:rPr>
        <w:t xml:space="preserve">2.3.1. Otop koksárenských baterií (kód 3.5.1. přílohy č. 2 k zákonu), 2.3.2. Příprava uhelné vsázky (kód 3.5.2. přílohy č. 2 k zákonu), 2.3.3 Vytlačování koksu (kód 3.5.4. přílohy č. 2 k zákonu), oddíl 2.3. Výroba koksu, část 2 </w:t>
      </w:r>
      <w:r w:rsidR="004B12E2">
        <w:rPr>
          <w:rFonts w:ascii="Arial" w:eastAsia="Calibri" w:hAnsi="Arial" w:cs="Arial"/>
          <w:u w:val="single"/>
        </w:rPr>
        <w:t>Energetika – ostatní</w:t>
      </w:r>
    </w:p>
    <w:p w14:paraId="2FE7DEA7" w14:textId="38D1E0E6"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 xml:space="preserve">Doplněna technická podmínka provozu.Většina operací jako obsazování komor, zapalování komor, samotné koksování a vytlačování koksu a manipulace s koksem a uhlím jsou příčinou většiny emisí. U koksoven po logistické stránce je nutné regulovat přívod uhlí, a je třeba dosáhnout tohoto zavážení s omezenými emisemi TZL, TOC, VOC, PAH. K hlavním zdroji emisí dochází ke vzniku emisí u dveří, u zavážecích otvorů, v místech prasklin ve stěnách. Minimalizovat a čistit jemné částice uhlí a produkty rozkladu koksu z odpadní plynů z ohřívání baterie a z odprašovacích zařízení je </w:t>
      </w:r>
      <w:r w:rsidR="004B12E2">
        <w:rPr>
          <w:rFonts w:ascii="Arial" w:eastAsia="Calibri" w:hAnsi="Arial" w:cs="Arial"/>
        </w:rPr>
        <w:t>možné pomocí např</w:t>
      </w:r>
      <w:r>
        <w:rPr>
          <w:rFonts w:ascii="Arial" w:eastAsia="Calibri" w:hAnsi="Arial" w:cs="Arial"/>
        </w:rPr>
        <w:t xml:space="preserve">: vybavení přepravního stroje koksu </w:t>
      </w:r>
      <w:r>
        <w:rPr>
          <w:rFonts w:ascii="Arial" w:eastAsia="Calibri" w:hAnsi="Arial" w:cs="Arial"/>
        </w:rPr>
        <w:lastRenderedPageBreak/>
        <w:t>odtahy, kdy emise vznikají během vytlačování a jsou zachycovány vodícím vozem prostřednictvím odtahu a následně jsou odpadní plyny vyčištěny v zařízení na redukci prachu. Pro zavážení pece lze využít vzduchotěsná spojení mezi koksárenskou pecí a zavážecím vozem, kdy komory jsou rychle naplněny zavážecími otvory, sání probíhá vstřikováním páry nebo vody do předlohy stoupacího potrubí, etapové zavážení a postupové zavážení, kdy sání probíhá po obou stranách s využitím dvou stoupacích potrubí nebo s využitím stoupacího potrubí a spojovacího potrubí se sousední pecí. Spojení mezi zavážecím vozem a pecí nejsou vzduchotěsná, avšak z důvodu sání nedochází ke vzniku téměř žádných emisí v případě existence pouze jednoho vyústění do atmosféry. Další typy zavážení je např. „japonské zavážení“</w:t>
      </w:r>
      <w:r w:rsidR="004B12E2">
        <w:rPr>
          <w:rFonts w:ascii="Arial" w:eastAsia="Calibri" w:hAnsi="Arial" w:cs="Arial"/>
        </w:rPr>
        <w:t xml:space="preserve"> </w:t>
      </w:r>
      <w:r>
        <w:rPr>
          <w:rFonts w:ascii="Arial" w:eastAsia="Calibri" w:hAnsi="Arial" w:cs="Arial"/>
        </w:rPr>
        <w:t xml:space="preserve">atd. </w:t>
      </w:r>
    </w:p>
    <w:p w14:paraId="6D55893D" w14:textId="016247E7"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 xml:space="preserve">Utěsnění stoupacího vedení a zavážecích otvorů, které je zároveň doprovázeno pečlivou údržbou a čištěním. U konvenčních koksových pecí je jedním z nejzávažnějších ekologických problémů předcházení vzniku emisí u uzávěrů koksové pece, jako například u dveří koksové pece, u vík stoupacího potrubí a u vík zavážecích otvorů. Běžným způsobem regulace tlaku a snížení emisí je pevně nastavit horní nebo dolní tlakovou hranici komory pece. Tato technika udržování hlavního sběrného potrubí v přetlaku je využívána většinou koksárenských zařízení. Snížení emisí při vytápění koksové pece sestává z řádné údržby vyzdívky a z primárních i sekundárních opatření pro jednotlivé škodliviny např. prach je odsáván pomocí koksového bočního přístavku a odprášen v tkaninovém filtru. U vytlačování je možná aplikace kontejnerového vozu, kdy je koks napěchován a tlačen z komory koksové pece do kontejnerového </w:t>
      </w:r>
      <w:r w:rsidR="004B12E2">
        <w:rPr>
          <w:rFonts w:ascii="Arial" w:eastAsia="Calibri" w:hAnsi="Arial" w:cs="Arial"/>
        </w:rPr>
        <w:t>vozu,</w:t>
      </w:r>
      <w:r>
        <w:rPr>
          <w:rFonts w:ascii="Arial" w:eastAsia="Calibri" w:hAnsi="Arial" w:cs="Arial"/>
        </w:rPr>
        <w:t xml:space="preserve"> a tedy nedochází ke kontaktu koksu (kombinaci se suchým hašením koksu). Další příklady technik jsou použití přepravního stroje koksu s (integrovaným) odtahem, stacionárním vedením a stacionárním čištěním plynu, s výhodou tkaninovým filtrem, udržování dostatečné doby koksování, homogenní zahřívání a optimální teplo zavážení, které jsou důležité při předcházení vzniku „zeleného vytlačování“.</w:t>
      </w:r>
    </w:p>
    <w:p w14:paraId="057EE62F" w14:textId="1CB0D9D8"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Příklady aplikací těchto podmínek najdeme na zařízeních HKM Duisburg (Schwelgern) , Hyundai Dagjin, Posco Gwangyang, Risun Sulawesi,Zenica Bosna a Herzegovina,).</w:t>
      </w:r>
    </w:p>
    <w:p w14:paraId="70513C10" w14:textId="77777777"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 xml:space="preserve">Navržené TPP jsou v souladu s referenčním dokumentem nejlepších dostupných technik (BREF) pro Výroba železa a oceli kap. 5. a dále základě Závěrů o nejlepších dostupných technikách (ZBAT) podle směrnice Evropského parlamentu a Rady 2010/75/EU o průmyslových emisích pro výrobu železa a oceli daných Prováděcím rozhodnutím ze dne 28. února 2012, uveřejněných dne 8.3.2012 v Úředním věstníku Evropské unie. </w:t>
      </w:r>
    </w:p>
    <w:p w14:paraId="777A2B58" w14:textId="2BBC35C7" w:rsidR="00FF2E95" w:rsidRDefault="00000000">
      <w:pPr>
        <w:pBdr>
          <w:top w:val="nil"/>
          <w:left w:val="nil"/>
          <w:bottom w:val="nil"/>
          <w:right w:val="nil"/>
        </w:pBdr>
        <w:spacing w:line="253" w:lineRule="atLeast"/>
        <w:jc w:val="both"/>
      </w:pPr>
      <w:r>
        <w:rPr>
          <w:rFonts w:ascii="Calibri" w:eastAsia="Calibri" w:hAnsi="Calibri" w:cs="Calibri"/>
          <w:sz w:val="24"/>
        </w:rPr>
        <w:t> </w:t>
      </w:r>
      <w:r>
        <w:rPr>
          <w:rFonts w:ascii="Arial" w:eastAsia="Calibri" w:hAnsi="Arial" w:cs="Arial"/>
          <w:u w:val="single"/>
        </w:rPr>
        <w:t xml:space="preserve">2.3.4. Třídění koksu (kód 3.5.5. přílohy č. 2 k zákonu), oddíl 2.3. Výroba koksu, část 2 </w:t>
      </w:r>
      <w:r w:rsidR="004B12E2">
        <w:rPr>
          <w:rFonts w:ascii="Arial" w:eastAsia="Calibri" w:hAnsi="Arial" w:cs="Arial"/>
          <w:u w:val="single"/>
        </w:rPr>
        <w:t>Energetika – ostatní</w:t>
      </w:r>
    </w:p>
    <w:p w14:paraId="24DDC0C9" w14:textId="75A257D7"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 xml:space="preserve">Navržení textu nové technické podmínky provozu. Tato TPP byla navržena, jelikož u technologií zařízení na drcení a třídění koksu dochází k rozptylové emise </w:t>
      </w:r>
      <w:r w:rsidR="004B12E2">
        <w:rPr>
          <w:rFonts w:ascii="Arial" w:eastAsia="Calibri" w:hAnsi="Arial" w:cs="Arial"/>
        </w:rPr>
        <w:t>TZL,</w:t>
      </w:r>
      <w:r>
        <w:rPr>
          <w:rFonts w:ascii="Arial" w:eastAsia="Calibri" w:hAnsi="Arial" w:cs="Arial"/>
        </w:rPr>
        <w:t xml:space="preserve"> a tedy i TOC a PAH. (v důsledku částečné teplotní degradace). Většina emisí rozptýleného prachu mají souvislost s manipulací s materiálem. Manipulace se suchým hašeným koksem vytvoří intenzivnější prachové emise než manipulace s mokrým hašeným koksem. Proces třídění je tvořen drcením, mletím, přesypy a proséváním a při těchto činnostech vznikají emise tuhých částic, které je potřeba extrahovat a redukovat. Emisní hmotnostní koncentrace prachu jako roční průměr pohybují v množství 0,2 a 5,3 mg/Nm</w:t>
      </w:r>
      <w:r>
        <w:rPr>
          <w:rFonts w:ascii="Arial" w:eastAsia="Calibri" w:hAnsi="Arial" w:cs="Arial"/>
          <w:vertAlign w:val="superscript"/>
        </w:rPr>
        <w:t>3</w:t>
      </w:r>
      <w:r>
        <w:rPr>
          <w:rFonts w:ascii="Arial" w:eastAsia="Calibri" w:hAnsi="Arial" w:cs="Arial"/>
        </w:rPr>
        <w:t>. Jemné třídírny koksu jsou třídiče vybaveny tkaninovými filtry TZL, hrubé třídírny koksu jsou vybaveny suchými odlučovači emisi TZL ve tkaninovém filtru a dopravní pásy jsou zakrytovány.</w:t>
      </w:r>
    </w:p>
    <w:p w14:paraId="6A39B58F" w14:textId="7EF3A184"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 xml:space="preserve">V současné době vyhláška tuto podmínku ke kódu 3.5.5 neukládá. Vzhledem k problémové kvantifikaci, rozdílu v průběhu času a kontinuitě a faktu, že nejsou defacto k dispozici větší data kromě vykázání v ISPOP o těchto emisích způsobených těmito činnostmi je třeba nové provozy uvádět do provozu pouze za podmínek, kdy investoři budou počítat i s těmito </w:t>
      </w:r>
      <w:r>
        <w:rPr>
          <w:rFonts w:ascii="Arial" w:eastAsia="Calibri" w:hAnsi="Arial" w:cs="Arial"/>
        </w:rPr>
        <w:lastRenderedPageBreak/>
        <w:t xml:space="preserve">provozními náklady, organizačními opatřeními k udržení kvality parametru zařízení a jeho údržby. Současné provozovny, na které by tato podmínka mohla ekonomicky a nákladově dopadnout, již instalovány tyto odlučovače a odprašovače. V nových TPP se jedná se dostupné provozní praktické metody a činnosti, jejichž smyslem je omezit a předejít těmto typům emisím, které z těchto technologických uzlech vznikají a jsou obvyklou příčinou podnětů a stížností, a jsou zdrojem vnímání těchto provozoven jako subjektu přinášející pouze negativní vliv těchto činností na okolní životní prostředí provozovny, obce, kraje. Návrhem se tedy se klade důraz na odlučování a eliminaci prachových emisí, co nejblíže u zdroje. Účinnost těchto postupů je vysoká a pokud je s ní počítáno jako se vstupní podmínkou při nové investici do technologií, je nákladově dosažitelná a ekonomicky únosná. </w:t>
      </w:r>
    </w:p>
    <w:p w14:paraId="42F72749" w14:textId="77777777" w:rsidR="00FF2E95" w:rsidRDefault="00000000">
      <w:pPr>
        <w:pBdr>
          <w:top w:val="nil"/>
          <w:left w:val="nil"/>
          <w:bottom w:val="nil"/>
          <w:right w:val="nil"/>
        </w:pBdr>
        <w:spacing w:after="120"/>
        <w:jc w:val="both"/>
      </w:pPr>
      <w:r>
        <w:rPr>
          <w:rFonts w:ascii="Arial" w:eastAsia="Calibri" w:hAnsi="Arial" w:cs="Arial"/>
        </w:rPr>
        <w:t>Navržené TPP jsou v souladu s referenčním dokumentem nejlepších dostupných technik (BREF) pro Výroba železa a oceli kap. 5. a dále základě Závěrů o nejlepších dostupných technikách (ZBAT) podle směrnice Evropského parlamentu a Rady 2010/75/EU o průmyslových emisích pro výrobu železa a oceli daných Prováděcím rozhodnutím ze dne 28. února 2012, uveřejněných dne 8.3.2012 v Úředním věstníku Evropské unie</w:t>
      </w:r>
      <w:r>
        <w:rPr>
          <w:rFonts w:ascii="Arial" w:eastAsia="Arial" w:hAnsi="Arial" w:cs="Arial"/>
        </w:rPr>
        <w:t>.</w:t>
      </w:r>
    </w:p>
    <w:p w14:paraId="1EAAEA6C" w14:textId="77777777" w:rsidR="00FF2E95" w:rsidRDefault="00000000">
      <w:pPr>
        <w:pBdr>
          <w:top w:val="nil"/>
          <w:left w:val="nil"/>
          <w:bottom w:val="nil"/>
          <w:right w:val="nil"/>
        </w:pBdr>
        <w:spacing w:after="120"/>
        <w:jc w:val="both"/>
        <w:rPr>
          <w:rFonts w:ascii="Arial" w:eastAsia="Calibri" w:hAnsi="Arial" w:cs="Arial"/>
          <w:u w:val="single"/>
        </w:rPr>
      </w:pPr>
      <w:r>
        <w:rPr>
          <w:rFonts w:ascii="Arial" w:eastAsia="Calibri" w:hAnsi="Arial" w:cs="Arial"/>
          <w:u w:val="single"/>
        </w:rPr>
        <w:t>Bod 3.1.2. Spékací pásy aglomerace (kód 4.1.2. přílohy č. 2 k zákonu), 3.1. Pražení nebo slinování kovové rudy, včetně sirníkové rudy, část 3. Výroba a zpracování kovů a plastů  </w:t>
      </w:r>
    </w:p>
    <w:p w14:paraId="1DEFEEFA" w14:textId="77777777" w:rsidR="00FF2E95" w:rsidRDefault="00000000">
      <w:pPr>
        <w:pBdr>
          <w:top w:val="nil"/>
          <w:left w:val="nil"/>
          <w:bottom w:val="nil"/>
          <w:right w:val="nil"/>
        </w:pBdr>
        <w:spacing w:line="253" w:lineRule="atLeast"/>
        <w:jc w:val="both"/>
      </w:pPr>
      <w:r>
        <w:rPr>
          <w:rFonts w:ascii="Arial" w:eastAsia="Arial" w:hAnsi="Arial" w:cs="Arial"/>
        </w:rPr>
        <w:t>Emisní limity SEL pro TZL byly aktualizovány pro jejich redudanci (ze 40 na 30 mg/m</w:t>
      </w:r>
      <w:r>
        <w:rPr>
          <w:rFonts w:ascii="Arial" w:eastAsia="Arial" w:hAnsi="Arial" w:cs="Arial"/>
          <w:vertAlign w:val="superscript"/>
        </w:rPr>
        <w:t>3</w:t>
      </w:r>
      <w:r w:rsidRPr="007D4F3A">
        <w:rPr>
          <w:rFonts w:ascii="Arial" w:eastAsia="Arial" w:hAnsi="Arial" w:cs="Arial"/>
        </w:rPr>
        <w:t>)</w:t>
      </w:r>
      <w:r>
        <w:rPr>
          <w:rFonts w:ascii="Arial" w:eastAsia="Arial" w:hAnsi="Arial" w:cs="Arial"/>
        </w:rPr>
        <w:t>, pro SO</w:t>
      </w:r>
      <w:r>
        <w:rPr>
          <w:rFonts w:ascii="Arial" w:eastAsia="Arial" w:hAnsi="Arial" w:cs="Arial"/>
          <w:vertAlign w:val="subscript"/>
        </w:rPr>
        <w:t>2</w:t>
      </w:r>
      <w:r>
        <w:rPr>
          <w:rFonts w:ascii="Arial" w:eastAsia="Arial" w:hAnsi="Arial" w:cs="Arial"/>
        </w:rPr>
        <w:t xml:space="preserve"> (z 500 mg/m</w:t>
      </w:r>
      <w:r>
        <w:rPr>
          <w:rFonts w:ascii="Arial" w:eastAsia="Arial" w:hAnsi="Arial" w:cs="Arial"/>
          <w:vertAlign w:val="superscript"/>
        </w:rPr>
        <w:t>3</w:t>
      </w:r>
      <w:r>
        <w:rPr>
          <w:rFonts w:ascii="Arial" w:eastAsia="Arial" w:hAnsi="Arial" w:cs="Arial"/>
        </w:rPr>
        <w:t xml:space="preserve"> na 400 mg/m</w:t>
      </w:r>
      <w:r>
        <w:rPr>
          <w:rFonts w:ascii="Arial" w:eastAsia="Arial" w:hAnsi="Arial" w:cs="Arial"/>
          <w:vertAlign w:val="superscript"/>
        </w:rPr>
        <w:t>3</w:t>
      </w:r>
      <w:r>
        <w:rPr>
          <w:rFonts w:ascii="Arial" w:eastAsia="Arial" w:hAnsi="Arial" w:cs="Arial"/>
        </w:rPr>
        <w:t>), pro NO</w:t>
      </w:r>
      <w:r>
        <w:rPr>
          <w:rFonts w:ascii="Arial" w:eastAsia="Arial" w:hAnsi="Arial" w:cs="Arial"/>
          <w:vertAlign w:val="subscript"/>
        </w:rPr>
        <w:t>x</w:t>
      </w:r>
      <w:r>
        <w:rPr>
          <w:rFonts w:ascii="Arial" w:eastAsia="Arial" w:hAnsi="Arial" w:cs="Arial"/>
        </w:rPr>
        <w:t xml:space="preserve"> (z 500 mg/m</w:t>
      </w:r>
      <w:r>
        <w:rPr>
          <w:rFonts w:ascii="Arial" w:eastAsia="Arial" w:hAnsi="Arial" w:cs="Arial"/>
          <w:vertAlign w:val="superscript"/>
        </w:rPr>
        <w:t>3</w:t>
      </w:r>
      <w:r>
        <w:rPr>
          <w:rFonts w:ascii="Arial" w:eastAsia="Arial" w:hAnsi="Arial" w:cs="Arial"/>
        </w:rPr>
        <w:t xml:space="preserve"> na 400 mg/m</w:t>
      </w:r>
      <w:r>
        <w:rPr>
          <w:rFonts w:ascii="Arial" w:eastAsia="Arial" w:hAnsi="Arial" w:cs="Arial"/>
          <w:vertAlign w:val="superscript"/>
        </w:rPr>
        <w:t>3</w:t>
      </w:r>
      <w:r>
        <w:rPr>
          <w:rFonts w:ascii="Arial" w:eastAsia="Arial" w:hAnsi="Arial" w:cs="Arial"/>
        </w:rPr>
        <w:t>), a jsou v souladu se ZBAT 20 (podle směrnice Evropského parlamentu a Rady 2010/75/EU o průmyslových emisích pro výrobu železa a oceli daných Prováděcím rozhodnutím ze dne 28. února 2012, uveřejněných dne 8.3.2012 v Úředním věstníku Evropské unie). Ke snižování emisí TZL jsou využívány elektrostatické odlučovače v kombinaci s tkaninovými filtry. Ke snižování emisí NO</w:t>
      </w:r>
      <w:r>
        <w:rPr>
          <w:rFonts w:ascii="Arial" w:eastAsia="Arial" w:hAnsi="Arial" w:cs="Arial"/>
          <w:vertAlign w:val="subscript"/>
        </w:rPr>
        <w:t xml:space="preserve">x </w:t>
      </w:r>
      <w:r>
        <w:rPr>
          <w:rFonts w:ascii="Arial" w:eastAsia="Arial" w:hAnsi="Arial" w:cs="Arial"/>
        </w:rPr>
        <w:t>a SO</w:t>
      </w:r>
      <w:r>
        <w:rPr>
          <w:rFonts w:ascii="Arial" w:eastAsia="Arial" w:hAnsi="Arial" w:cs="Arial"/>
          <w:vertAlign w:val="subscript"/>
        </w:rPr>
        <w:t>2</w:t>
      </w:r>
      <w:r>
        <w:rPr>
          <w:rFonts w:ascii="Arial" w:eastAsia="Arial" w:hAnsi="Arial" w:cs="Arial"/>
        </w:rPr>
        <w:t xml:space="preserve"> se většinou využívají primární opatření (složení vstupujících surovin), případně suchá metoda odsíření. Společně se záchytem TZL se snižují rovněž emise dalších nebezpečných znečišťujících látek, především PCDD/F, PCB a těžkých kovů. Jde především o pražení s příměsí Cu, Pb, Zn nebo jakékoliv zpracování rudy s obsahem Au a Hg. Dle ZBAT by mělo být využito kontinuální měření emisí, k čemuž dojde novelou zákona. Případný dopad je možný pouze   u dvou provozovatelů, kteří plní s velkou rezervou u všech skupin emisí. </w:t>
      </w:r>
    </w:p>
    <w:p w14:paraId="18AFBA13" w14:textId="77777777" w:rsidR="00FF2E95" w:rsidRDefault="00000000">
      <w:pPr>
        <w:pBdr>
          <w:top w:val="nil"/>
          <w:left w:val="nil"/>
          <w:bottom w:val="nil"/>
          <w:right w:val="nil"/>
        </w:pBdr>
        <w:spacing w:after="120"/>
        <w:jc w:val="both"/>
        <w:rPr>
          <w:rFonts w:ascii="Arial" w:eastAsia="Calibri" w:hAnsi="Arial" w:cs="Arial"/>
          <w:u w:val="single"/>
        </w:rPr>
      </w:pPr>
      <w:r>
        <w:rPr>
          <w:rFonts w:ascii="Arial" w:eastAsia="Calibri" w:hAnsi="Arial" w:cs="Arial"/>
          <w:u w:val="single"/>
        </w:rPr>
        <w:t>Bod 3.3. Výroba oceli - 3.3.1. Doprava a manipulace se vsázkou nebo produktem (kód 4.3.1. přílohy č. 2 k zákonu), část 3. Výroba a zpracování kovů a plastů</w:t>
      </w:r>
    </w:p>
    <w:p w14:paraId="288228CB" w14:textId="77777777" w:rsidR="00FF2E95" w:rsidRDefault="00000000">
      <w:pPr>
        <w:pBdr>
          <w:top w:val="nil"/>
          <w:left w:val="nil"/>
          <w:bottom w:val="nil"/>
          <w:right w:val="nil"/>
        </w:pBdr>
        <w:spacing w:after="120"/>
        <w:jc w:val="both"/>
        <w:rPr>
          <w:rFonts w:ascii="Arial" w:eastAsia="Calibri" w:hAnsi="Arial" w:cs="Arial"/>
          <w:u w:val="single"/>
        </w:rPr>
      </w:pPr>
      <w:r>
        <w:rPr>
          <w:rFonts w:ascii="Arial" w:eastAsia="Arial" w:hAnsi="Arial" w:cs="Arial"/>
        </w:rPr>
        <w:t>Technická podmínka provozu byla rozšířena tak, aby postihla emise z procesu řezáním plamenem, kdy nahřátí materiálu je acetylenem, propan-butanen, propanem apod. Proces tepelného řezání je používán k oddělování a tvarování např. ocelových dílů. Tento termický proces je známý jako řezání kyslíko-acetylénovým plamenem, řezání kyslíko-plynovým plamenem, pálení kyslíkem, pálení oceli. Produkuje dýmy, plynné emise a prachové částice, zatěžuje pracovní prostředí a představuje při dlouhodobé expozici zdravotní riziko. Materiál se ohřívá směsí plynů na bod hoření a po puštění řezného kyslíku se materiál, který je roztavený, se začne spalovat a shoří v proudu kyslíku, to zapříčiní zahřátí dalšího materiálu na teplotu hoření, který se začne pálit taky.</w:t>
      </w:r>
    </w:p>
    <w:p w14:paraId="2463CEF0" w14:textId="79668815" w:rsidR="00FF2E95" w:rsidRDefault="00000000">
      <w:pPr>
        <w:pBdr>
          <w:top w:val="nil"/>
          <w:left w:val="nil"/>
          <w:bottom w:val="nil"/>
          <w:right w:val="nil"/>
        </w:pBdr>
        <w:spacing w:line="253" w:lineRule="atLeast"/>
        <w:jc w:val="both"/>
        <w:rPr>
          <w:rFonts w:ascii="Arial" w:eastAsia="Arial" w:hAnsi="Arial" w:cs="Arial"/>
        </w:rPr>
      </w:pPr>
      <w:r>
        <w:rPr>
          <w:rFonts w:ascii="Arial" w:eastAsia="Arial" w:hAnsi="Arial" w:cs="Arial"/>
        </w:rPr>
        <w:t>Takto podmínka jasně říká, že určit způsob odvodu emisí se vztahuje i na ostatní tepelné druhy dělení a autogenní řezání. Důvodem zpřesnění této TPP je skutečnost, že v praxi někteří provozovatelé při činnosti řezání především kovového šrotu, dělení těžkého kovového odpadu na vsázku řezáním, kde docházelo k nahřátí i jinými plyny, byla vysvětlena tak, že u těchto druhů není třeba odsávání a odlučování ZL není třeba realizovat.</w:t>
      </w:r>
      <w:r w:rsidR="004B12E2">
        <w:rPr>
          <w:rFonts w:ascii="Arial" w:eastAsia="Arial" w:hAnsi="Arial" w:cs="Arial"/>
        </w:rPr>
        <w:t xml:space="preserve"> </w:t>
      </w:r>
      <w:r>
        <w:rPr>
          <w:rFonts w:ascii="Arial" w:eastAsia="Arial" w:hAnsi="Arial" w:cs="Arial"/>
        </w:rPr>
        <w:t>Tyto</w:t>
      </w:r>
      <w:r w:rsidR="004B12E2">
        <w:rPr>
          <w:rFonts w:ascii="Arial" w:eastAsia="Arial" w:hAnsi="Arial" w:cs="Arial"/>
        </w:rPr>
        <w:t xml:space="preserve"> </w:t>
      </w:r>
      <w:r>
        <w:rPr>
          <w:rFonts w:ascii="Arial" w:eastAsia="Arial" w:hAnsi="Arial" w:cs="Arial"/>
        </w:rPr>
        <w:t>emise by podle technických možností s ohledem na přiměřenost nákladů měly být odvedeny také na odprášení. Jedná se především o činnosti dělení materiálu na venkovních plochách, při demolicích a zpracování šrotu. která vychází z dosavadní praxe a z námětu od samotných provozovatelů (především z MSK).</w:t>
      </w:r>
    </w:p>
    <w:p w14:paraId="240682D7" w14:textId="6518F8F4" w:rsidR="00FF2E95" w:rsidRDefault="00000000">
      <w:pPr>
        <w:pBdr>
          <w:top w:val="nil"/>
          <w:left w:val="nil"/>
          <w:bottom w:val="nil"/>
          <w:right w:val="nil"/>
        </w:pBdr>
        <w:spacing w:line="253" w:lineRule="atLeast"/>
        <w:jc w:val="both"/>
      </w:pPr>
      <w:r>
        <w:rPr>
          <w:rFonts w:ascii="Arial" w:eastAsia="Arial" w:hAnsi="Arial" w:cs="Arial"/>
        </w:rPr>
        <w:lastRenderedPageBreak/>
        <w:t>Rozšíření bylo dosaženo pouhým definování činnosti bez specifikace definování plynu  (stávající znění „řezání kyslíkem“) za které podmínka platí a vznikají emise.</w:t>
      </w:r>
    </w:p>
    <w:p w14:paraId="28D627AE" w14:textId="77777777" w:rsidR="00FF2E95" w:rsidRDefault="00000000">
      <w:pPr>
        <w:pBdr>
          <w:top w:val="nil"/>
          <w:left w:val="nil"/>
          <w:bottom w:val="nil"/>
          <w:right w:val="nil"/>
        </w:pBdr>
        <w:spacing w:line="253" w:lineRule="atLeast"/>
        <w:jc w:val="both"/>
      </w:pPr>
      <w:r>
        <w:rPr>
          <w:rFonts w:ascii="Arial" w:eastAsia="Arial" w:hAnsi="Arial" w:cs="Arial"/>
        </w:rPr>
        <w:t>Tato úprava byla podmíněna zvyšující se četností podnětů na ČIŽP, kdy se stává, že jsou rozpalovány např. výztuže na velké ploše a vznikají barevné dýmy. Efekt i dopad na situaci v ovzduší je na velkou vzdálenost. Tyto činnosti jsou často zařazeny v rámci manipulace s vsázkou a produktem a podmínka se v současné vyhlášce je mylně interpretována tak, že se týká pouze jen pokud předehřev materiálu je kyslíkem nebo interpretace ve smyslu strojního dělení kyslíkem.  V rámci např. oceláren při této samé činnosti mají většinou odsávanou kabinu odsávanou, zakončenou tkaninovým filtrem a pouze při záchytu TZL, které vznikají pálením tzn. oxidy železa, je to 200-300 tun ročně.</w:t>
      </w:r>
    </w:p>
    <w:p w14:paraId="3ABD132E" w14:textId="77777777" w:rsidR="00FF2E95" w:rsidRDefault="00000000">
      <w:pPr>
        <w:pBdr>
          <w:top w:val="nil"/>
          <w:left w:val="nil"/>
          <w:bottom w:val="nil"/>
          <w:right w:val="nil"/>
        </w:pBdr>
        <w:spacing w:after="120"/>
        <w:jc w:val="both"/>
        <w:rPr>
          <w:rFonts w:ascii="Arial" w:eastAsia="Calibri" w:hAnsi="Arial" w:cs="Arial"/>
          <w:u w:val="single"/>
        </w:rPr>
      </w:pPr>
      <w:r>
        <w:rPr>
          <w:rFonts w:ascii="Arial" w:eastAsia="Calibri" w:hAnsi="Arial" w:cs="Arial"/>
          <w:u w:val="single"/>
        </w:rPr>
        <w:t>3.4.1. Válcovny za tepla nebo za studena, včetně ohřívacích pecí nebo pecí na tepelné zpracování (kód 4.4. přílohy č. 2 k zákonu)</w:t>
      </w:r>
    </w:p>
    <w:p w14:paraId="0295A4CE" w14:textId="77777777" w:rsidR="00FF2E95" w:rsidRDefault="00000000">
      <w:pPr>
        <w:pBdr>
          <w:top w:val="nil"/>
          <w:left w:val="nil"/>
          <w:bottom w:val="nil"/>
          <w:right w:val="nil"/>
        </w:pBdr>
        <w:spacing w:line="253" w:lineRule="atLeast"/>
        <w:jc w:val="both"/>
      </w:pPr>
      <w:r>
        <w:rPr>
          <w:rFonts w:ascii="Arial" w:eastAsia="Arial" w:hAnsi="Arial" w:cs="Arial"/>
        </w:rPr>
        <w:t>U tohoto kódu byl dodefinován SEL pro emise TZL a byl stanoven 100 mg/m</w:t>
      </w:r>
      <w:r>
        <w:rPr>
          <w:rFonts w:ascii="Arial" w:eastAsia="Arial" w:hAnsi="Arial" w:cs="Arial"/>
          <w:sz w:val="18"/>
          <w:vertAlign w:val="superscript"/>
        </w:rPr>
        <w:t>3</w:t>
      </w:r>
      <w:r>
        <w:rPr>
          <w:rFonts w:ascii="Arial" w:eastAsia="Arial" w:hAnsi="Arial" w:cs="Arial"/>
        </w:rPr>
        <w:t>. Jedním z rozšířených problémů ve válcovnách, co se týče emisí do ovzduší jsou kromě NO</w:t>
      </w:r>
      <w:r>
        <w:rPr>
          <w:rFonts w:ascii="Arial" w:eastAsia="Arial" w:hAnsi="Arial" w:cs="Arial"/>
          <w:sz w:val="18"/>
          <w:vertAlign w:val="subscript"/>
        </w:rPr>
        <w:t>x</w:t>
      </w:r>
      <w:r>
        <w:rPr>
          <w:rFonts w:ascii="Arial" w:eastAsia="Arial" w:hAnsi="Arial" w:cs="Arial"/>
        </w:rPr>
        <w:t>, SO</w:t>
      </w:r>
      <w:r>
        <w:rPr>
          <w:rFonts w:ascii="Arial" w:eastAsia="Arial" w:hAnsi="Arial" w:cs="Arial"/>
          <w:sz w:val="18"/>
          <w:vertAlign w:val="subscript"/>
        </w:rPr>
        <w:t>X</w:t>
      </w:r>
      <w:r>
        <w:rPr>
          <w:rFonts w:ascii="Arial" w:eastAsia="Arial" w:hAnsi="Arial" w:cs="Arial"/>
        </w:rPr>
        <w:t xml:space="preserve"> rozptylové fugitivní emise z manipulace s výrobky, z povrchových a mechanických úprav. Společně se záchytem TZL se snižují rovněž emise dalších nebezpečných znečišťujících látek, především PCDD/F, PCB a těžkých kovů</w:t>
      </w:r>
    </w:p>
    <w:p w14:paraId="41E02530" w14:textId="6F95D8AC" w:rsidR="00FF2E95" w:rsidRDefault="00000000">
      <w:pPr>
        <w:pBdr>
          <w:top w:val="nil"/>
          <w:left w:val="nil"/>
          <w:bottom w:val="nil"/>
          <w:right w:val="nil"/>
        </w:pBdr>
        <w:spacing w:line="253" w:lineRule="atLeast"/>
        <w:jc w:val="both"/>
      </w:pPr>
      <w:r>
        <w:rPr>
          <w:rFonts w:ascii="Arial" w:eastAsia="Arial" w:hAnsi="Arial" w:cs="Arial"/>
        </w:rPr>
        <w:t>SEL 100 mg/m</w:t>
      </w:r>
      <w:r>
        <w:rPr>
          <w:rFonts w:ascii="Arial" w:eastAsia="Arial" w:hAnsi="Arial" w:cs="Arial"/>
          <w:sz w:val="18"/>
          <w:vertAlign w:val="superscript"/>
        </w:rPr>
        <w:t xml:space="preserve">3 </w:t>
      </w:r>
      <w:r>
        <w:rPr>
          <w:rFonts w:ascii="Arial" w:eastAsia="Arial" w:hAnsi="Arial" w:cs="Arial"/>
        </w:rPr>
        <w:t xml:space="preserve">byl kromě podnětů a údajů z ISPOP vymezen na základě některých přehledů v BREF a BAT pro průmysl zpracování železných kovů (BREF </w:t>
      </w:r>
      <w:r w:rsidR="004B12E2">
        <w:rPr>
          <w:rFonts w:ascii="Arial" w:eastAsia="Arial" w:hAnsi="Arial" w:cs="Arial"/>
        </w:rPr>
        <w:t>FMP – říjen</w:t>
      </w:r>
      <w:r>
        <w:rPr>
          <w:rFonts w:ascii="Arial" w:eastAsia="Arial" w:hAnsi="Arial" w:cs="Arial"/>
        </w:rPr>
        <w:t xml:space="preserve"> 2000 str.3/545, opatření ke snížená str. 3-4 a řijen BAT 2022), BREF NFM 2017 a ZBAT NFM 13. červen 2016 podle směrnice Evropského parlamentu a Rady 2010/75/EU pro odvětví neželezných kovů. Tento SEL většina provozů splňuje a zvolená hranice SEL s pohybuje na dvojnásobku SEL v těžkých provozech.</w:t>
      </w:r>
    </w:p>
    <w:p w14:paraId="4EFF7EAD" w14:textId="77777777" w:rsidR="00FF2E95" w:rsidRDefault="00000000">
      <w:pPr>
        <w:spacing w:after="120"/>
        <w:jc w:val="both"/>
        <w:rPr>
          <w:rFonts w:ascii="Arial" w:eastAsia="Calibri" w:hAnsi="Arial" w:cs="Arial"/>
          <w:u w:val="single"/>
        </w:rPr>
      </w:pPr>
      <w:r>
        <w:rPr>
          <w:rFonts w:ascii="Arial" w:eastAsia="Calibri" w:hAnsi="Arial" w:cs="Arial"/>
          <w:u w:val="single"/>
        </w:rPr>
        <w:t>K bodu 3.5.1 Slévárny železných kovů (slitin železa) Doprava a manipulace se vsázkou nebo produktem (kód 4.6.1. přílohy č. 2 k zákonu):</w:t>
      </w:r>
    </w:p>
    <w:p w14:paraId="3AAB9454" w14:textId="77777777" w:rsidR="00FF2E95" w:rsidRDefault="00000000">
      <w:pPr>
        <w:spacing w:after="120"/>
        <w:jc w:val="both"/>
        <w:rPr>
          <w:rFonts w:ascii="Arial" w:eastAsia="Calibri" w:hAnsi="Arial" w:cs="Arial"/>
        </w:rPr>
      </w:pPr>
      <w:r>
        <w:rPr>
          <w:rFonts w:ascii="Arial" w:eastAsia="Calibri" w:hAnsi="Arial" w:cs="Arial"/>
        </w:rPr>
        <w:t xml:space="preserve">Původní technická podmínka provozu platná pro ocelárny se z důvodu konzistence napříč zpracováním železných kovů, kde se používá šrot, rozšiřuje i na slévárny. </w:t>
      </w:r>
    </w:p>
    <w:p w14:paraId="6366406B" w14:textId="77777777" w:rsidR="00FF2E95" w:rsidRDefault="00000000">
      <w:pPr>
        <w:spacing w:after="120"/>
        <w:jc w:val="both"/>
        <w:rPr>
          <w:rFonts w:ascii="Arial" w:eastAsia="Calibri" w:hAnsi="Arial" w:cs="Arial"/>
        </w:rPr>
      </w:pPr>
      <w:r>
        <w:rPr>
          <w:rFonts w:ascii="Arial" w:eastAsia="Calibri" w:hAnsi="Arial" w:cs="Arial"/>
        </w:rPr>
        <w:t>Současně je navrhován nový specifických emisní limit pro TOC ve výši 50 mg/m</w:t>
      </w:r>
      <w:r>
        <w:rPr>
          <w:rFonts w:ascii="Arial" w:eastAsia="Calibri" w:hAnsi="Arial" w:cs="Arial"/>
          <w:vertAlign w:val="superscript"/>
        </w:rPr>
        <w:t>3</w:t>
      </w:r>
      <w:r>
        <w:rPr>
          <w:rFonts w:ascii="Arial" w:eastAsia="Calibri" w:hAnsi="Arial" w:cs="Arial"/>
        </w:rPr>
        <w:t>. Tento emisní limit vychází z revidovaného BREF a je splnitelný i základními opatřeními (aktivní uhlí, studená plazma apod.). Je navrhován z důvodu vysoké produkce emisí organických látek u těchto operací a z důvodu častých stížností na zápach u sléváren. Hodnota emisního limitu se nijak nevymyká specifickému emisnímu limitu ukládanému v povoleních provozu již nyní. Toto pochopitelně nezahrnuje situace, kdy je specifický emisní limit pro TOC/VOC nesprávně uložen podle obecného emisního limitu (150 mg/m</w:t>
      </w:r>
      <w:r>
        <w:rPr>
          <w:rFonts w:ascii="Arial" w:eastAsia="Calibri" w:hAnsi="Arial" w:cs="Arial"/>
          <w:vertAlign w:val="superscript"/>
        </w:rPr>
        <w:t>3</w:t>
      </w:r>
      <w:r>
        <w:rPr>
          <w:rFonts w:ascii="Arial" w:eastAsia="Calibri" w:hAnsi="Arial" w:cs="Arial"/>
        </w:rPr>
        <w:t>), neboť takto uložený emisní limit nevyžaduje pro splnění žádná opatření a nemůže tak plnit regulační funkci. Specifický emisní limit je navrhován pro slévárny o denní kapacitě tavby 20 tun a vyšší.</w:t>
      </w:r>
    </w:p>
    <w:p w14:paraId="64C223E8" w14:textId="77777777" w:rsidR="00FF2E95" w:rsidRDefault="00000000">
      <w:pPr>
        <w:pBdr>
          <w:top w:val="nil"/>
          <w:left w:val="nil"/>
          <w:bottom w:val="nil"/>
          <w:right w:val="nil"/>
        </w:pBdr>
        <w:spacing w:after="120"/>
        <w:jc w:val="both"/>
        <w:rPr>
          <w:rFonts w:ascii="Arial" w:eastAsia="Calibri" w:hAnsi="Arial" w:cs="Arial"/>
          <w:u w:val="single"/>
        </w:rPr>
      </w:pPr>
      <w:r>
        <w:rPr>
          <w:rFonts w:ascii="Arial" w:eastAsia="Calibri" w:hAnsi="Arial" w:cs="Arial"/>
          <w:u w:val="single"/>
        </w:rPr>
        <w:t>Bod 3.5.2. Žíhací nebo sušící pece o celkovém jmenovitém tepelném příkonu 0,3 MW a více (kód 4.6.2. přílohy č. 2 k zákonu), oddíl 3.5. Slévárny železných kovů (slitin železa), část 3. Výroba a zpracování kovů a plastů</w:t>
      </w:r>
    </w:p>
    <w:p w14:paraId="06E86FB9" w14:textId="77777777" w:rsidR="00FF2E95" w:rsidRDefault="00000000">
      <w:pPr>
        <w:pBdr>
          <w:top w:val="nil"/>
          <w:left w:val="nil"/>
          <w:bottom w:val="nil"/>
          <w:right w:val="nil"/>
        </w:pBdr>
        <w:spacing w:after="120"/>
        <w:jc w:val="both"/>
        <w:rPr>
          <w:rFonts w:ascii="Arial" w:eastAsia="Arial" w:hAnsi="Arial" w:cs="Arial"/>
          <w:b/>
          <w:bCs/>
        </w:rPr>
      </w:pPr>
      <w:r>
        <w:rPr>
          <w:rFonts w:ascii="Arial" w:eastAsia="Arial" w:hAnsi="Arial" w:cs="Arial"/>
        </w:rPr>
        <w:t>Změna proběhla pouze v návaznosti na nové vydefinování kódu 4.6.2, došlo k úpravě vysvětlivek, odůvodnění změny vymezení kódu je provedeno již v odůvodnění novely zákona 201/2012.</w:t>
      </w:r>
    </w:p>
    <w:p w14:paraId="1E12CA06" w14:textId="77777777" w:rsidR="00FF2E95" w:rsidRDefault="00000000">
      <w:pPr>
        <w:pBdr>
          <w:top w:val="nil"/>
          <w:left w:val="nil"/>
          <w:bottom w:val="nil"/>
          <w:right w:val="nil"/>
        </w:pBdr>
        <w:spacing w:after="120"/>
        <w:jc w:val="both"/>
        <w:rPr>
          <w:rFonts w:ascii="Arial" w:eastAsia="Calibri" w:hAnsi="Arial" w:cs="Arial"/>
          <w:u w:val="single"/>
        </w:rPr>
      </w:pPr>
      <w:r>
        <w:rPr>
          <w:rFonts w:ascii="Arial" w:eastAsia="Calibri" w:hAnsi="Arial" w:cs="Arial"/>
          <w:u w:val="single"/>
        </w:rPr>
        <w:t>3.5.3. - 3.5.7. (kód 4.6.3. - 4.6.7. dle přílohy č. 2 zákona), oddíl 3.5. Slévárny železných kovů (slitin železa), část 3. Výroba a zpracování kovů a plastů</w:t>
      </w:r>
    </w:p>
    <w:p w14:paraId="51DD1C66" w14:textId="77777777"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 xml:space="preserve">Nová technická podmínka provozu a) zní: Při tavení a odlévání jsou za účelem snížení fugitivních emisí prachu (včetně otevřeného pecního víka) používány odtahové zákryty, sběrné </w:t>
      </w:r>
      <w:r>
        <w:rPr>
          <w:rFonts w:ascii="Arial" w:eastAsia="Calibri" w:hAnsi="Arial" w:cs="Arial"/>
        </w:rPr>
        <w:lastRenderedPageBreak/>
        <w:t>systémy či jiná zařízení pro záchyt těchto emisí s obdobnou účinností a tyto jsou svedeny do zařízení ke snižování emisí.</w:t>
      </w:r>
    </w:p>
    <w:p w14:paraId="2A975530" w14:textId="77777777" w:rsidR="00FF2E95" w:rsidRDefault="00000000">
      <w:pPr>
        <w:spacing w:after="120"/>
        <w:jc w:val="both"/>
        <w:rPr>
          <w:rFonts w:ascii="Arial" w:eastAsia="Calibri" w:hAnsi="Arial" w:cs="Arial"/>
          <w:u w:val="single"/>
        </w:rPr>
      </w:pPr>
      <w:r>
        <w:rPr>
          <w:rFonts w:ascii="Arial" w:eastAsia="Calibri" w:hAnsi="Arial" w:cs="Arial"/>
          <w:u w:val="single"/>
        </w:rPr>
        <w:t>Bod 3.8.1. Povrchová úpravu kovů a plastů nebo jiných nekovových předmětů s celkovou projektovanou kapacitou objemu lázně od 1 m</w:t>
      </w:r>
      <w:r>
        <w:rPr>
          <w:rFonts w:ascii="Arial" w:eastAsia="Calibri" w:hAnsi="Arial" w:cs="Arial"/>
          <w:u w:val="single"/>
          <w:vertAlign w:val="superscript"/>
        </w:rPr>
        <w:t>3</w:t>
      </w:r>
      <w:r>
        <w:rPr>
          <w:rFonts w:ascii="Arial" w:eastAsia="Calibri" w:hAnsi="Arial" w:cs="Arial"/>
          <w:u w:val="single"/>
        </w:rPr>
        <w:t xml:space="preserve"> do 30 m</w:t>
      </w:r>
      <w:r>
        <w:rPr>
          <w:rFonts w:ascii="Arial" w:eastAsia="Calibri" w:hAnsi="Arial" w:cs="Arial"/>
          <w:u w:val="single"/>
          <w:vertAlign w:val="superscript"/>
        </w:rPr>
        <w:t>3</w:t>
      </w:r>
      <w:r>
        <w:rPr>
          <w:rFonts w:ascii="Arial" w:eastAsia="Calibri" w:hAnsi="Arial" w:cs="Arial"/>
          <w:u w:val="single"/>
        </w:rPr>
        <w:t xml:space="preserve"> včetně (vyjma oplachu), procesy bez použití lázní (kód 4.12. dle přílohy č. 2 zákona), oddíl 3.8. Povrchová úprava kovů a plastů a jiných nekovových předmětů:</w:t>
      </w:r>
    </w:p>
    <w:p w14:paraId="0AABEE01" w14:textId="77777777" w:rsidR="00FF2E95" w:rsidRDefault="00000000">
      <w:pPr>
        <w:spacing w:after="120"/>
        <w:jc w:val="both"/>
        <w:rPr>
          <w:rFonts w:ascii="Arial" w:eastAsia="Calibri" w:hAnsi="Arial" w:cs="Arial"/>
        </w:rPr>
      </w:pPr>
      <w:r>
        <w:rPr>
          <w:rFonts w:ascii="Arial" w:eastAsia="Calibri" w:hAnsi="Arial" w:cs="Arial"/>
        </w:rPr>
        <w:t>Oprava chyby v technickém termínu podtlakem, kde v minulé novelizaci došlo k záměně technických termínů „pod tlak“ a „podtlak.“ Pokud by byl ponechán výraz „pod tlakem“ dle fyzikálních zákonů pracovní prostor tryskače nemůže být funkční, dochází k únikům emisí vně pracovního prostoru tryskače. Pracovní prostor tryskače musí pracovat v podtlaku a podmínka požaduje, aby provozovatel prokazoval při provozu tryskače podtlak v jeho pracovním prostoru. Lze prokazovat např. U-manometrem nebo jiným, např. i eletrotechnickým, měřidlem. Obdoba prokazování podtlaku je u lakovacích boxů mikromanometrem.</w:t>
      </w:r>
    </w:p>
    <w:p w14:paraId="00D64E7F" w14:textId="77777777" w:rsidR="00FF2E95" w:rsidRPr="007D4F3A" w:rsidRDefault="00000000" w:rsidP="007D4F3A">
      <w:pPr>
        <w:pBdr>
          <w:top w:val="nil"/>
          <w:left w:val="nil"/>
          <w:bottom w:val="nil"/>
          <w:right w:val="nil"/>
        </w:pBdr>
        <w:spacing w:after="120"/>
        <w:jc w:val="both"/>
        <w:rPr>
          <w:rFonts w:ascii="Arial" w:eastAsia="Calibri" w:hAnsi="Arial" w:cs="Arial"/>
          <w:u w:val="single"/>
        </w:rPr>
      </w:pPr>
      <w:r w:rsidRPr="007D4F3A">
        <w:rPr>
          <w:rFonts w:ascii="Arial" w:eastAsia="Calibri" w:hAnsi="Arial" w:cs="Arial"/>
          <w:u w:val="single"/>
        </w:rPr>
        <w:t>3.8.3. Broušení kovů nebo plastů s celkovým elektrickým příkonem 100 kW a více (kód 4.13. dle přílohy č. 2 zákona)</w:t>
      </w:r>
    </w:p>
    <w:p w14:paraId="388DFF1B" w14:textId="77777777" w:rsidR="00FF2E95" w:rsidRPr="007D4F3A" w:rsidRDefault="00000000" w:rsidP="007D4F3A">
      <w:pPr>
        <w:pBdr>
          <w:top w:val="nil"/>
          <w:left w:val="nil"/>
          <w:bottom w:val="nil"/>
          <w:right w:val="nil"/>
        </w:pBdr>
        <w:spacing w:after="120"/>
        <w:jc w:val="both"/>
        <w:rPr>
          <w:rFonts w:ascii="Arial" w:eastAsia="Calibri" w:hAnsi="Arial" w:cs="Arial"/>
        </w:rPr>
      </w:pPr>
      <w:r w:rsidRPr="007D4F3A">
        <w:rPr>
          <w:rFonts w:ascii="Arial" w:eastAsia="Calibri" w:hAnsi="Arial" w:cs="Arial"/>
        </w:rPr>
        <w:t>Emisní limity SEL byly aktualizován pro TZL (z 50 mg/m3 na 10 mg/m3), aby nové provozy počítali s aplikací regulace. U většiny technik dají aplikovat opatření, kdy jemný prach z těchto činností a technologií lze zachycovat ve tkaninových filtrech, kde jsou zcela běžně dosahovány výstupní koncentrace pod 10 mg/m3. Z přehledů emisních koncentrací provozoven ke stacionárním zdrojům kódu 4.13 z ISPOP dopadne tato změna celorepublikově celkem na pět provozů, jejichž emise se pohybují nad touto koncentrační hodnotou. Zároveň bylo navrženo přechodné období pro bezproblémovou tranzici pro zařízení větších kapacit. Účinnost bude od 1. 1. 2027.</w:t>
      </w:r>
    </w:p>
    <w:p w14:paraId="3A8085A7" w14:textId="77777777" w:rsidR="00FF2E95" w:rsidRDefault="00000000">
      <w:pPr>
        <w:spacing w:after="120"/>
        <w:jc w:val="both"/>
        <w:rPr>
          <w:rFonts w:ascii="Arial" w:eastAsia="Calibri" w:hAnsi="Arial" w:cs="Arial"/>
          <w:u w:val="single"/>
        </w:rPr>
      </w:pPr>
      <w:r>
        <w:rPr>
          <w:rFonts w:ascii="Arial" w:eastAsia="Calibri" w:hAnsi="Arial" w:cs="Arial"/>
          <w:u w:val="single"/>
        </w:rPr>
        <w:t xml:space="preserve">Bod 4.2.1. Výroby skla, vláken, sklářských výrobků, smaltovacích nebo glazurovacích frit nebo skla pro bižuterní zpracování o celkové projektované kapacitě tavení vyšší než 150 t/rok (kód 5.3. dle přílohy č. 2 zákona), oddíl 4.2. Výroba skla, včetně skleněných vláken, část 4. Zpracování nerostných surovin </w:t>
      </w:r>
    </w:p>
    <w:p w14:paraId="6F942A9C" w14:textId="77777777" w:rsidR="00FF2E95" w:rsidRDefault="00000000">
      <w:pPr>
        <w:spacing w:after="120"/>
        <w:jc w:val="both"/>
        <w:rPr>
          <w:rFonts w:ascii="Arial" w:eastAsia="Calibri" w:hAnsi="Arial" w:cs="Arial"/>
        </w:rPr>
      </w:pPr>
      <w:r>
        <w:rPr>
          <w:rFonts w:ascii="Arial" w:eastAsia="Calibri" w:hAnsi="Arial" w:cs="Arial"/>
        </w:rPr>
        <w:t>V tomto bodě nastala změna umístění vysvětlivky 8 tak, aby byla jednoznačně čitelná a vizuálně jasná, a to ve sloupci tabulky pro hodnoty specifického emisního limitu NO</w:t>
      </w:r>
      <w:r>
        <w:rPr>
          <w:rFonts w:ascii="Arial" w:eastAsia="Calibri" w:hAnsi="Arial" w:cs="Arial"/>
          <w:vertAlign w:val="subscript"/>
        </w:rPr>
        <w:t>x</w:t>
      </w:r>
      <w:r>
        <w:rPr>
          <w:rFonts w:ascii="Arial" w:eastAsia="Calibri" w:hAnsi="Arial" w:cs="Arial"/>
        </w:rPr>
        <w:t xml:space="preserve">. </w:t>
      </w:r>
    </w:p>
    <w:p w14:paraId="2233A5CC" w14:textId="77777777" w:rsidR="00FF2E95" w:rsidRDefault="00000000">
      <w:pPr>
        <w:spacing w:after="120"/>
        <w:jc w:val="both"/>
        <w:rPr>
          <w:rFonts w:ascii="Arial" w:eastAsia="Calibri" w:hAnsi="Arial" w:cs="Arial"/>
        </w:rPr>
      </w:pPr>
      <w:r>
        <w:rPr>
          <w:rFonts w:ascii="Arial" w:eastAsia="Calibri" w:hAnsi="Arial" w:cs="Arial"/>
        </w:rPr>
        <w:t>Vysvětlivka 8 platí pro emisní limity NO</w:t>
      </w:r>
      <w:r>
        <w:rPr>
          <w:rFonts w:ascii="Arial" w:eastAsia="Calibri" w:hAnsi="Arial" w:cs="Arial"/>
          <w:vertAlign w:val="subscript"/>
        </w:rPr>
        <w:t>x</w:t>
      </w:r>
      <w:r>
        <w:rPr>
          <w:rFonts w:ascii="Arial" w:eastAsia="Calibri" w:hAnsi="Arial" w:cs="Arial"/>
        </w:rPr>
        <w:t xml:space="preserve"> (dle předchozí aplikace vyhlášky v praxi) nejen pro rekuperační kontinuální tavící agregáty, ale i pro regenerační kontinuální a diskontinuální tavící agregáty. Některé fáze tavby sklářského kmenu, ze kterého je výsledným produktem specifický sklářský výrobek nebo produkt (zabarvení, homogennost) se bez použití čeření dusičnany neobejdou, ale zároveň nesmí být pochyb na jaké tavící agregáty a fázi technologického procesu tavby se případná aplikace dvojnásobku SEL vztahuje. </w:t>
      </w:r>
    </w:p>
    <w:p w14:paraId="326C5827" w14:textId="77777777" w:rsidR="00FF2E95" w:rsidRDefault="00000000">
      <w:pPr>
        <w:spacing w:after="120"/>
        <w:jc w:val="both"/>
        <w:rPr>
          <w:rFonts w:ascii="Arial" w:eastAsia="Calibri" w:hAnsi="Arial" w:cs="Arial"/>
        </w:rPr>
      </w:pPr>
      <w:r>
        <w:rPr>
          <w:rFonts w:ascii="Arial" w:eastAsia="Calibri" w:hAnsi="Arial" w:cs="Arial"/>
        </w:rPr>
        <w:t>Z množného čísla použitého v současném textu výjimky uvedené ve vysvětlivce č. 8 („uvedených hodnot“) a odkazu na „příslušnou hmotnostní koncentraci“ vyplývá, že výjimka se vztahuje ke všem třem zde uvedeným hodnotám specifických emisních limitů pro NO</w:t>
      </w:r>
      <w:r>
        <w:rPr>
          <w:rFonts w:ascii="Arial" w:eastAsia="Calibri" w:hAnsi="Arial" w:cs="Arial"/>
          <w:vertAlign w:val="subscript"/>
        </w:rPr>
        <w:t>x.</w:t>
      </w:r>
      <w:r>
        <w:rPr>
          <w:rFonts w:ascii="Arial" w:eastAsia="Calibri" w:hAnsi="Arial" w:cs="Arial"/>
        </w:rPr>
        <w:t xml:space="preserve"> </w:t>
      </w:r>
    </w:p>
    <w:p w14:paraId="017EB03B" w14:textId="77777777" w:rsidR="00FF2E95" w:rsidRDefault="00000000">
      <w:pPr>
        <w:spacing w:after="120"/>
        <w:jc w:val="both"/>
        <w:rPr>
          <w:rFonts w:ascii="Arial" w:eastAsia="Calibri" w:hAnsi="Arial" w:cs="Arial"/>
        </w:rPr>
      </w:pPr>
      <w:r>
        <w:rPr>
          <w:rFonts w:ascii="Arial" w:eastAsia="Calibri" w:hAnsi="Arial" w:cs="Arial"/>
        </w:rPr>
        <w:t>Dále došlo k úpravě vysvětlivky č. 8. Pro tavící agregáty   je v bodu. 4.2.1. v příloze č. 8 vyhlášky stanoven emisní limit pro oxidy dusíku 2000 nebo 1000 nebo 1200 mg/m</w:t>
      </w:r>
      <w:r>
        <w:rPr>
          <w:rFonts w:ascii="Arial" w:eastAsia="Calibri" w:hAnsi="Arial" w:cs="Arial"/>
          <w:vertAlign w:val="superscript"/>
        </w:rPr>
        <w:t>3.</w:t>
      </w:r>
      <w:r>
        <w:rPr>
          <w:rFonts w:ascii="Arial" w:eastAsia="Calibri" w:hAnsi="Arial" w:cs="Arial"/>
        </w:rPr>
        <w:t xml:space="preserve"> V případě, že však během tavby probíhá nitrátové čeření, uplatní se výjimka uvedená ve vysvětlivce č. 8, která zní: „Při nitrátovém čeření nesmí příslušná hmotnostní koncentrace oxidů dusíku překročit dvojnásobek uvedených hodnot", tj. aplikuje se dvojnásobek této hodnoty, tedy emisní limit 2000 mg/m</w:t>
      </w:r>
      <w:r>
        <w:rPr>
          <w:rFonts w:ascii="Arial" w:eastAsia="Calibri" w:hAnsi="Arial" w:cs="Arial"/>
          <w:vertAlign w:val="superscript"/>
        </w:rPr>
        <w:t>3</w:t>
      </w:r>
      <w:r>
        <w:rPr>
          <w:rFonts w:ascii="Arial" w:eastAsia="Calibri" w:hAnsi="Arial" w:cs="Arial"/>
        </w:rPr>
        <w:t xml:space="preserve">. </w:t>
      </w:r>
    </w:p>
    <w:p w14:paraId="743B75A9" w14:textId="77777777" w:rsidR="00FF2E95" w:rsidRDefault="00000000">
      <w:pPr>
        <w:spacing w:after="120"/>
        <w:jc w:val="both"/>
        <w:rPr>
          <w:rFonts w:ascii="Arial" w:eastAsia="Calibri" w:hAnsi="Arial" w:cs="Arial"/>
        </w:rPr>
      </w:pPr>
      <w:r>
        <w:rPr>
          <w:rFonts w:ascii="Arial" w:eastAsia="Calibri" w:hAnsi="Arial" w:cs="Arial"/>
        </w:rPr>
        <w:t>Vzhledem k tomu, že v ZBAT se přímo pojem nitrátové čeření neobjevuje, výjimka pro tavbu s nitrátovým čeřením je v případě emisí NO</w:t>
      </w:r>
      <w:r>
        <w:rPr>
          <w:rFonts w:ascii="Arial" w:eastAsia="Calibri" w:hAnsi="Arial" w:cs="Arial"/>
          <w:vertAlign w:val="subscript"/>
        </w:rPr>
        <w:t>x</w:t>
      </w:r>
      <w:r>
        <w:rPr>
          <w:rFonts w:ascii="Arial" w:eastAsia="Calibri" w:hAnsi="Arial" w:cs="Arial"/>
        </w:rPr>
        <w:t xml:space="preserve"> relevantní pro všechny druhy pecních agregátů v </w:t>
      </w:r>
      <w:r>
        <w:rPr>
          <w:rFonts w:ascii="Arial" w:eastAsia="Calibri" w:hAnsi="Arial" w:cs="Arial"/>
        </w:rPr>
        <w:lastRenderedPageBreak/>
        <w:t xml:space="preserve">bodě 4.2.1, a to z toho důvodu, že důsledkem nitrátového čeření roztaveného skla je vždy významný nárůst oxidů dusíku, přičemž tento nárůst není nijak spojen se spalovacím procesem a řádným provozem otopu pece, bez ohledu na to, o jaký typ pecního agregátu se jedná. </w:t>
      </w:r>
    </w:p>
    <w:p w14:paraId="281DD75F" w14:textId="1D66C735" w:rsidR="00FF2E95" w:rsidRDefault="00000000">
      <w:pPr>
        <w:spacing w:after="120"/>
        <w:jc w:val="both"/>
        <w:rPr>
          <w:rFonts w:ascii="Arial" w:eastAsia="Calibri" w:hAnsi="Arial" w:cs="Arial"/>
        </w:rPr>
      </w:pPr>
      <w:r>
        <w:rPr>
          <w:rFonts w:ascii="Arial" w:eastAsia="Calibri" w:hAnsi="Arial" w:cs="Arial"/>
        </w:rPr>
        <w:t xml:space="preserve">Zpřesnění vysvětlivky bylo docíleno celkové jednoznačnosti a intepretace bodu, a byl zvolen aktuální termín, kterými jsou označovány nitráty v </w:t>
      </w:r>
      <w:r w:rsidR="004B12E2">
        <w:rPr>
          <w:rFonts w:ascii="Arial" w:eastAsia="Calibri" w:hAnsi="Arial" w:cs="Arial"/>
        </w:rPr>
        <w:t>ZBAT – tedy</w:t>
      </w:r>
      <w:r>
        <w:rPr>
          <w:rFonts w:ascii="Arial" w:eastAsia="Calibri" w:hAnsi="Arial" w:cs="Arial"/>
        </w:rPr>
        <w:t xml:space="preserve"> dusičnany. Při měření emisí je nezbytné vyhodnotit celou fázi tavby, kde probíhá čeření nitráty a kde se tyto emise projeví. Pro další technologické operace, pokud čeření u nich neprobíhá, by již měl být aplikován specifický emisní limit na základní hodnotě EL. </w:t>
      </w:r>
    </w:p>
    <w:p w14:paraId="1BDC2A03" w14:textId="77777777" w:rsidR="00FF2E95" w:rsidRDefault="00000000">
      <w:pPr>
        <w:pBdr>
          <w:top w:val="nil"/>
          <w:left w:val="nil"/>
          <w:bottom w:val="nil"/>
          <w:right w:val="nil"/>
        </w:pBdr>
        <w:spacing w:after="120"/>
        <w:jc w:val="both"/>
        <w:rPr>
          <w:rFonts w:ascii="Arial" w:eastAsia="Calibri" w:hAnsi="Arial" w:cs="Arial"/>
          <w:u w:val="single"/>
        </w:rPr>
      </w:pPr>
      <w:r>
        <w:rPr>
          <w:rFonts w:ascii="Arial" w:eastAsia="Calibri" w:hAnsi="Arial" w:cs="Arial"/>
          <w:u w:val="single"/>
        </w:rPr>
        <w:t>4.3. Tavení nerostných materiálů, včetně výroby nerostných vláken</w:t>
      </w:r>
    </w:p>
    <w:p w14:paraId="6844680A" w14:textId="77777777" w:rsidR="00FF2E95" w:rsidRDefault="00000000">
      <w:pPr>
        <w:pBdr>
          <w:top w:val="nil"/>
          <w:left w:val="nil"/>
          <w:bottom w:val="nil"/>
          <w:right w:val="nil"/>
        </w:pBdr>
        <w:spacing w:after="120"/>
        <w:jc w:val="both"/>
      </w:pPr>
      <w:r>
        <w:rPr>
          <w:rFonts w:ascii="Arial" w:eastAsia="Calibri" w:hAnsi="Arial" w:cs="Arial"/>
          <w:u w:val="single"/>
        </w:rPr>
        <w:t>4.6. Obalovny živičných směsí, mísírny živic, recyklace živičných povrchů anebo zpracování nebo nakládání s živicemi s výjimkou konečného nanášení na vozovku (kód 5.14. dle přílohy č. 2 zákona)</w:t>
      </w:r>
      <w:r>
        <w:rPr>
          <w:rFonts w:ascii="Calibri" w:eastAsia="Calibri" w:hAnsi="Calibri" w:cs="Calibri"/>
        </w:rPr>
        <w:t> </w:t>
      </w:r>
    </w:p>
    <w:p w14:paraId="23583541" w14:textId="71F6C698" w:rsidR="00FF2E95" w:rsidRDefault="00000000">
      <w:pPr>
        <w:pBdr>
          <w:top w:val="nil"/>
          <w:left w:val="nil"/>
          <w:bottom w:val="nil"/>
          <w:right w:val="nil"/>
        </w:pBdr>
        <w:spacing w:after="120"/>
        <w:jc w:val="both"/>
        <w:rPr>
          <w:rFonts w:ascii="Arial" w:eastAsia="Calibri" w:hAnsi="Arial" w:cs="Arial"/>
          <w:u w:val="single"/>
        </w:rPr>
      </w:pPr>
      <w:r>
        <w:rPr>
          <w:rFonts w:ascii="Arial" w:eastAsia="Calibri" w:hAnsi="Arial" w:cs="Arial"/>
        </w:rPr>
        <w:t>Byly upraveny technické podmínky provozu a další byly doplněny. V ČR se jedná se o potenciálně problematickou technologii, na kterou se opakují stížnosti především pro zápachové epizody a emise TOC.</w:t>
      </w:r>
      <w:r w:rsidRPr="007D4F3A">
        <w:rPr>
          <w:rFonts w:ascii="Arial" w:eastAsia="Calibri" w:hAnsi="Arial" w:cs="Arial"/>
        </w:rPr>
        <w:t xml:space="preserve"> Podmínka byla navržena i na základě problémů v povolovací praxi směřující ke </w:t>
      </w:r>
      <w:r>
        <w:rPr>
          <w:rFonts w:ascii="Arial" w:eastAsia="Calibri" w:hAnsi="Arial" w:cs="Arial"/>
        </w:rPr>
        <w:t xml:space="preserve">regulaci a snížení rizik obtěžování zápachem </w:t>
      </w:r>
      <w:r w:rsidR="004B12E2">
        <w:rPr>
          <w:rFonts w:ascii="Arial" w:eastAsia="Calibri" w:hAnsi="Arial" w:cs="Arial"/>
        </w:rPr>
        <w:t>a k</w:t>
      </w:r>
      <w:r>
        <w:rPr>
          <w:rFonts w:ascii="Arial" w:eastAsia="Calibri" w:hAnsi="Arial" w:cs="Arial"/>
        </w:rPr>
        <w:t xml:space="preserve"> další vymahatelnosti a kontrolovatelnost u dotčených zařízení. Emisní limity SEL byly aktualizovány pro SO</w:t>
      </w:r>
      <w:r>
        <w:rPr>
          <w:rFonts w:ascii="Arial" w:eastAsia="Calibri" w:hAnsi="Arial" w:cs="Arial"/>
          <w:vertAlign w:val="subscript"/>
        </w:rPr>
        <w:t>2</w:t>
      </w:r>
      <w:r>
        <w:rPr>
          <w:rFonts w:ascii="Arial" w:eastAsia="Calibri" w:hAnsi="Arial" w:cs="Arial"/>
        </w:rPr>
        <w:t xml:space="preserve"> (z 500 mg/m</w:t>
      </w:r>
      <w:r>
        <w:rPr>
          <w:rFonts w:ascii="Arial" w:eastAsia="Calibri" w:hAnsi="Arial" w:cs="Arial"/>
          <w:vertAlign w:val="superscript"/>
        </w:rPr>
        <w:t>3</w:t>
      </w:r>
      <w:r>
        <w:rPr>
          <w:rFonts w:ascii="Arial" w:eastAsia="Calibri" w:hAnsi="Arial" w:cs="Arial"/>
        </w:rPr>
        <w:t xml:space="preserve"> na 400 mg/m</w:t>
      </w:r>
      <w:r>
        <w:rPr>
          <w:rFonts w:ascii="Arial" w:eastAsia="Calibri" w:hAnsi="Arial" w:cs="Arial"/>
          <w:vertAlign w:val="superscript"/>
        </w:rPr>
        <w:t>3</w:t>
      </w:r>
      <w:r>
        <w:rPr>
          <w:rFonts w:ascii="Arial" w:eastAsia="Calibri" w:hAnsi="Arial" w:cs="Arial"/>
        </w:rPr>
        <w:t>), pro CO (z 800 mg/ m</w:t>
      </w:r>
      <w:r>
        <w:rPr>
          <w:rFonts w:ascii="Arial" w:eastAsia="Calibri" w:hAnsi="Arial" w:cs="Arial"/>
          <w:vertAlign w:val="superscript"/>
        </w:rPr>
        <w:t>3</w:t>
      </w:r>
      <w:r>
        <w:rPr>
          <w:rFonts w:ascii="Arial" w:eastAsia="Calibri" w:hAnsi="Arial" w:cs="Arial"/>
        </w:rPr>
        <w:t xml:space="preserve"> na 600 mg/m</w:t>
      </w:r>
      <w:r>
        <w:rPr>
          <w:rFonts w:ascii="Arial" w:eastAsia="Calibri" w:hAnsi="Arial" w:cs="Arial"/>
          <w:vertAlign w:val="superscript"/>
        </w:rPr>
        <w:t>3</w:t>
      </w:r>
      <w:r>
        <w:rPr>
          <w:rFonts w:ascii="Arial" w:eastAsia="Calibri" w:hAnsi="Arial" w:cs="Arial"/>
        </w:rPr>
        <w:t>) na základě přehledů emisních koncentrací z obaloven (kód 5.14). Emisní koncentrace NO</w:t>
      </w:r>
      <w:r>
        <w:rPr>
          <w:rFonts w:ascii="Arial" w:eastAsia="Calibri" w:hAnsi="Arial" w:cs="Arial"/>
          <w:vertAlign w:val="subscript"/>
        </w:rPr>
        <w:t>x</w:t>
      </w:r>
      <w:r>
        <w:rPr>
          <w:rFonts w:ascii="Arial" w:eastAsia="Calibri" w:hAnsi="Arial" w:cs="Arial"/>
        </w:rPr>
        <w:t xml:space="preserve"> se dle ISPOP u obaloven pohybují na poměrně nízké úrovni. Z dostupných údajů o emisích obaloven jsou emisní koncentrace NO</w:t>
      </w:r>
      <w:r>
        <w:rPr>
          <w:rFonts w:ascii="Arial" w:eastAsia="Calibri" w:hAnsi="Arial" w:cs="Arial"/>
          <w:vertAlign w:val="subscript"/>
        </w:rPr>
        <w:t>x</w:t>
      </w:r>
      <w:r>
        <w:rPr>
          <w:rFonts w:ascii="Arial" w:eastAsia="Calibri" w:hAnsi="Arial" w:cs="Arial"/>
        </w:rPr>
        <w:t xml:space="preserve"> u většiny obaloven pod hranicí 50 mg/m</w:t>
      </w:r>
      <w:r>
        <w:rPr>
          <w:rFonts w:ascii="Arial" w:eastAsia="Calibri" w:hAnsi="Arial" w:cs="Arial"/>
          <w:vertAlign w:val="superscript"/>
        </w:rPr>
        <w:t>3</w:t>
      </w:r>
      <w:r>
        <w:rPr>
          <w:rFonts w:ascii="Arial" w:eastAsia="Calibri" w:hAnsi="Arial" w:cs="Arial"/>
        </w:rPr>
        <w:t>. Pouze několik obaloven dosahuje emisní koncentrace nad 100 mg/m</w:t>
      </w:r>
      <w:r>
        <w:rPr>
          <w:rFonts w:ascii="Arial" w:eastAsia="Calibri" w:hAnsi="Arial" w:cs="Arial"/>
          <w:vertAlign w:val="superscript"/>
        </w:rPr>
        <w:t>3</w:t>
      </w:r>
      <w:r>
        <w:rPr>
          <w:rFonts w:ascii="Arial" w:eastAsia="Calibri" w:hAnsi="Arial" w:cs="Arial"/>
        </w:rPr>
        <w:t xml:space="preserve"> a všechny obalovny až na dvě výjimky dosahují emisních koncentrací menších než 300 mg/m</w:t>
      </w:r>
      <w:r>
        <w:rPr>
          <w:rFonts w:ascii="Arial" w:eastAsia="Calibri" w:hAnsi="Arial" w:cs="Arial"/>
          <w:vertAlign w:val="superscript"/>
        </w:rPr>
        <w:t>3</w:t>
      </w:r>
      <w:r>
        <w:rPr>
          <w:rFonts w:ascii="Arial" w:eastAsia="Calibri" w:hAnsi="Arial" w:cs="Arial"/>
        </w:rPr>
        <w:t>. Na základě podnětů a řešených kauz, existujících vydaných rozhodnutí a dostupných protokolů a odborného posudků je jasné, že současné hodnoty jsou spíše zastaralé a že provozovatelé budou schopni s rezervou plnit aktualizované SEL, bude-li nadále probíhat realizace opatření a řádná údržba, hodnota má tedy regulační účinek. Pro bezproblémovou tranzici pro jed</w:t>
      </w:r>
      <w:r w:rsidR="007D4F3A">
        <w:rPr>
          <w:rFonts w:ascii="Arial" w:eastAsia="Calibri" w:hAnsi="Arial" w:cs="Arial"/>
        </w:rPr>
        <w:t>n</w:t>
      </w:r>
      <w:r>
        <w:rPr>
          <w:rFonts w:ascii="Arial" w:eastAsia="Calibri" w:hAnsi="Arial" w:cs="Arial"/>
        </w:rPr>
        <w:t>otky provozů bylo zvoleno přechodné období, s účinností aktualizovaných podmínek od 1.1.2026.</w:t>
      </w:r>
    </w:p>
    <w:p w14:paraId="09FFCE7E" w14:textId="5F7A9E07"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Většina navržených podmínek se v současné době objevuje jako obecně použitelné techniky a na základě účinných dopadů vyžadovány jako naprostý standard u povolení provozu a realizaci záměrů z posledních let (ustanovení těchto podmínek v  EIA a v odborných posudcích), tak aby byl záměr nebo realizace zdroje akceptována a je možné je dohledat i v referenčním dokumentu o nejlepších dostupných technikách u stacionárních zdrojů nespadajících pod BREF – Zpracování nerostných surovin (dále jen „neBREF – odpady“), v kapitole 3.3. a 4.3. v podkapitole 4.7.2.</w:t>
      </w:r>
    </w:p>
    <w:p w14:paraId="35A15D04" w14:textId="3D687D5D" w:rsidR="00FF2E95" w:rsidRDefault="00000000">
      <w:pPr>
        <w:pBdr>
          <w:top w:val="nil"/>
          <w:left w:val="nil"/>
          <w:bottom w:val="nil"/>
          <w:right w:val="nil"/>
        </w:pBdr>
        <w:spacing w:after="120"/>
        <w:jc w:val="both"/>
        <w:rPr>
          <w:rFonts w:ascii="Arial" w:eastAsia="Calibri" w:hAnsi="Arial" w:cs="Arial"/>
        </w:rPr>
      </w:pPr>
      <w:r>
        <w:rPr>
          <w:rFonts w:ascii="Arial" w:eastAsia="Calibri" w:hAnsi="Arial" w:cs="Arial"/>
        </w:rPr>
        <w:t xml:space="preserve">Ke vzniku pachových látek dochází v celém výrobním procesu obalovaných směsí, tedy od dovozu vstupních surovin, zejména horkých asfaltových směsí, přes jejich zpracování, výdej, nakládku až po expedici. U recyklátů, které jsou stále častěji využívány, je důležité, aby nebyly příliš vlhké, což by mohlo způsobit problémy při zpracování a zvýšit produkci pachových látek. U asfaltových směsí je klíčové jejich stáčení z cisteren, které by měly být vybaveny rekuperací, například systémem vodních zámků. Asfalt se skladuje ve vyhřívaných silech, která mohou být zdrojem pachových látek, například přes bezpečnostní ventily. Celý proces manipulace se surovinami má být těsný, aby se minimalizovalo vnášení pachových částic, zejména při stáčení hotové směsi do přepravních prostředků. Přepravní vozidla mohou před naložením být ošetřena bioseparačními prostředky, které zabraňují ulpívání horkých směsí na korbách. Po naložení horké směsi do přepravního prostředku příchází na </w:t>
      </w:r>
      <w:r w:rsidR="004B12E2">
        <w:rPr>
          <w:rFonts w:ascii="Arial" w:eastAsia="Calibri" w:hAnsi="Arial" w:cs="Arial"/>
        </w:rPr>
        <w:t>řadu jeho</w:t>
      </w:r>
      <w:r>
        <w:rPr>
          <w:rFonts w:ascii="Arial" w:eastAsia="Calibri" w:hAnsi="Arial" w:cs="Arial"/>
        </w:rPr>
        <w:t xml:space="preserve"> plachtování. To není možné ihned po naložení, a vozidlo se musí přemístit k plachtovací </w:t>
      </w:r>
      <w:r w:rsidR="004B12E2">
        <w:rPr>
          <w:rFonts w:ascii="Arial" w:eastAsia="Calibri" w:hAnsi="Arial" w:cs="Arial"/>
        </w:rPr>
        <w:t>lávce – tento</w:t>
      </w:r>
      <w:r>
        <w:rPr>
          <w:rFonts w:ascii="Arial" w:eastAsia="Calibri" w:hAnsi="Arial" w:cs="Arial"/>
        </w:rPr>
        <w:t xml:space="preserve"> úsek, od </w:t>
      </w:r>
      <w:r>
        <w:rPr>
          <w:rFonts w:ascii="Arial" w:eastAsia="Calibri" w:hAnsi="Arial" w:cs="Arial"/>
        </w:rPr>
        <w:lastRenderedPageBreak/>
        <w:t xml:space="preserve">naložení po plachtování a expedici, je problematický. Pro stávajících zařízení je obtížné realizovat dog house z ekonomických a organizačních důvodů, ale v </w:t>
      </w:r>
      <w:r w:rsidR="004B12E2">
        <w:rPr>
          <w:rFonts w:ascii="Arial" w:eastAsia="Calibri" w:hAnsi="Arial" w:cs="Arial"/>
        </w:rPr>
        <w:t>případě nových</w:t>
      </w:r>
      <w:r>
        <w:rPr>
          <w:rFonts w:ascii="Arial" w:eastAsia="Calibri" w:hAnsi="Arial" w:cs="Arial"/>
        </w:rPr>
        <w:t xml:space="preserve"> zařízení je to vhodné řešení z hlediska prevence.Současně byla přeformulována výjimka přeformulována tak, aby zahrnula nové podmínky a je zařazena na konce znění.</w:t>
      </w:r>
    </w:p>
    <w:p w14:paraId="0A7A207F" w14:textId="77777777" w:rsidR="00FF2E95" w:rsidRDefault="00FF2E95">
      <w:pPr>
        <w:pBdr>
          <w:top w:val="nil"/>
          <w:left w:val="nil"/>
          <w:bottom w:val="nil"/>
          <w:right w:val="nil"/>
        </w:pBdr>
        <w:spacing w:after="120"/>
        <w:jc w:val="both"/>
        <w:rPr>
          <w:rFonts w:ascii="Arial" w:eastAsia="Calibri" w:hAnsi="Arial" w:cs="Arial"/>
        </w:rPr>
      </w:pPr>
    </w:p>
    <w:p w14:paraId="0A3D6AE7" w14:textId="77777777" w:rsidR="00FF2E95" w:rsidRDefault="00000000">
      <w:pPr>
        <w:spacing w:after="120"/>
        <w:jc w:val="both"/>
        <w:rPr>
          <w:rFonts w:ascii="Arial" w:eastAsia="Calibri" w:hAnsi="Arial" w:cs="Arial"/>
          <w:u w:val="single"/>
        </w:rPr>
      </w:pPr>
      <w:r>
        <w:rPr>
          <w:rFonts w:ascii="Arial" w:eastAsia="Calibri" w:hAnsi="Arial" w:cs="Arial"/>
          <w:u w:val="single"/>
        </w:rPr>
        <w:t>Bod 5.1.4. Výroba nebo zpracování syntetických polymerů a kompozitů, s výjimkou výroby syntetických polymerů a kompozitů uvedených pod jiným kódem, o celkové projektované kapacitě vyšší než 100 t za rok nebo s celkovou projektovanou spotřebou5) organických rozpouštědel 0,6 t za rok nebo větší; řezání syntetických polymerů laserem nebo odporovým drátem o celkové projektované kapacitě vyšší než 10 tun za rok (kód 6.5. dle přílohy č. 2 zákona):</w:t>
      </w:r>
    </w:p>
    <w:p w14:paraId="713ACD52" w14:textId="09F52DBA" w:rsidR="00FF2E95" w:rsidRDefault="00000000">
      <w:pPr>
        <w:spacing w:after="120"/>
        <w:jc w:val="both"/>
        <w:rPr>
          <w:rFonts w:ascii="Arial" w:eastAsia="Calibri" w:hAnsi="Arial" w:cs="Arial"/>
        </w:rPr>
      </w:pPr>
      <w:r>
        <w:rPr>
          <w:rFonts w:ascii="Arial" w:eastAsia="Calibri" w:hAnsi="Arial" w:cs="Arial"/>
        </w:rPr>
        <w:t xml:space="preserve">Pro tento bod byla rozšířena TPP. U technologií extruze plastů se předpokládá, že by mohly být případným zdrojem zápachu a bude u nich v omezené míře docházet k fugitivním emisím těkavých organických látek (v důsledku částečné teplotní degradace). Rozšíření TPP bylo provedeno na základě informací uvedených v </w:t>
      </w:r>
      <w:r w:rsidR="004B12E2">
        <w:rPr>
          <w:rFonts w:ascii="Arial" w:eastAsia="Calibri" w:hAnsi="Arial" w:cs="Arial"/>
        </w:rPr>
        <w:t>neBREFu – Zpracování</w:t>
      </w:r>
      <w:r>
        <w:rPr>
          <w:rFonts w:ascii="Arial" w:eastAsia="Calibri" w:hAnsi="Arial" w:cs="Arial"/>
        </w:rPr>
        <w:t xml:space="preserve"> plastů a nakládání s chemickými látkami - str. 64 - kapitola 4.4.2 (zařízení na snížení VOC a/nebo pachových látek).</w:t>
      </w:r>
    </w:p>
    <w:p w14:paraId="77E3C5D6" w14:textId="77777777" w:rsidR="00FF2E95" w:rsidRDefault="00000000">
      <w:pPr>
        <w:spacing w:after="120"/>
        <w:jc w:val="both"/>
        <w:rPr>
          <w:rFonts w:ascii="Arial" w:eastAsia="Calibri" w:hAnsi="Arial" w:cs="Arial"/>
        </w:rPr>
      </w:pPr>
      <w:r>
        <w:rPr>
          <w:rFonts w:ascii="Arial" w:eastAsia="Calibri" w:hAnsi="Arial" w:cs="Arial"/>
        </w:rPr>
        <w:t xml:space="preserve">Pro tento bod byl nově stanoven SEL pro TZL (20 mg/m3), který platí pro mechanické zpracování odpadů, na základě obdrženého námětu. Tento nový SEL byl zaveden z důvodu, že praxe ukázala výskyt TZL u této technologie. SEL 20 mg/m3 pro TZL je běžně stanovovaná (poměrně vysoká) hodnota, kterou lze splnit běžně dostupnými opatřeními. </w:t>
      </w:r>
    </w:p>
    <w:p w14:paraId="7829971A" w14:textId="77777777" w:rsidR="00FF2E95" w:rsidRDefault="00000000">
      <w:pPr>
        <w:spacing w:after="120"/>
        <w:jc w:val="both"/>
        <w:rPr>
          <w:rFonts w:ascii="Arial" w:eastAsia="Calibri" w:hAnsi="Arial" w:cs="Arial"/>
        </w:rPr>
      </w:pPr>
      <w:r>
        <w:rPr>
          <w:rFonts w:ascii="Arial" w:eastAsia="Calibri" w:hAnsi="Arial" w:cs="Arial"/>
        </w:rPr>
        <w:t>Bod 5.1.7. Výroba expandovaného polystyrenu (kód 6.9. dle přílohy č. 2 zákona)</w:t>
      </w:r>
    </w:p>
    <w:p w14:paraId="6E96C418" w14:textId="77777777" w:rsidR="00FF2E95" w:rsidRDefault="00000000">
      <w:pPr>
        <w:spacing w:after="120"/>
        <w:jc w:val="both"/>
        <w:rPr>
          <w:rFonts w:ascii="Arial" w:hAnsi="Arial" w:cs="Arial"/>
        </w:rPr>
      </w:pPr>
      <w:r>
        <w:rPr>
          <w:rFonts w:ascii="Arial" w:eastAsia="Calibri" w:hAnsi="Arial" w:cs="Arial"/>
        </w:rPr>
        <w:t xml:space="preserve">Pro tento bod byla upravena současná technická podmínka provozu, která zní „Při výrobě expandovaného polystyrenu používat minimálně 50 % podílu surovin obsahujících nejvýše 5 % pentanu.“ Nová technická podmínka provozu zní následně: </w:t>
      </w:r>
      <w:r w:rsidRPr="007D4F3A">
        <w:rPr>
          <w:rFonts w:ascii="Arial" w:hAnsi="Arial" w:cs="Arial"/>
        </w:rPr>
        <w:t>"Při výrobě expandovaného polystyrenu používat minimálně 50 % surovin obsahujících nejvýše 6,3 % pentanu.“ Došlo tak k navýšení limitu pro pentan na maximálně 6,3 %.</w:t>
      </w:r>
    </w:p>
    <w:p w14:paraId="28EDAC1B" w14:textId="77777777" w:rsidR="00FF2E95" w:rsidRDefault="00000000">
      <w:pPr>
        <w:spacing w:after="120"/>
        <w:jc w:val="both"/>
        <w:rPr>
          <w:rFonts w:ascii="Arial" w:eastAsia="Calibri" w:hAnsi="Arial" w:cs="Arial"/>
        </w:rPr>
      </w:pPr>
      <w:r>
        <w:rPr>
          <w:rFonts w:ascii="Arial" w:hAnsi="Arial" w:cs="Arial"/>
        </w:rPr>
        <w:t xml:space="preserve">K navýšení došlo kvůli současné situaci na trhu, kdy je na trhu pouze jediná firma nabízející produkty splňující aktuální podmínku. Po konzultaci se svazem chemického průmyslu, VŠCHT Praha a výrobci navrhujeme zvýšení limitu tak, aby odpovídal současné situaci na trhu v EU a nedocházelo tak k situaci, kdy budou výrobci donuceni situací na trhu neplnit původní platný limit. </w:t>
      </w:r>
    </w:p>
    <w:p w14:paraId="40F04420" w14:textId="77777777" w:rsidR="00FF2E95" w:rsidRDefault="00000000">
      <w:pPr>
        <w:spacing w:after="120"/>
        <w:jc w:val="both"/>
        <w:rPr>
          <w:rFonts w:ascii="Arial" w:eastAsia="Calibri" w:hAnsi="Arial" w:cs="Arial"/>
          <w:u w:val="single"/>
        </w:rPr>
      </w:pPr>
      <w:r>
        <w:rPr>
          <w:rFonts w:ascii="Arial" w:eastAsia="Calibri" w:hAnsi="Arial" w:cs="Arial"/>
          <w:u w:val="single"/>
        </w:rPr>
        <w:t>Bod 6.6. Zpracování dřeva, včetně truhlářské výroby a výroby dřevních štěpek a pelet, vyjma výroby uvedené pod kódem 7.8., o celkové projektované spotřebě materiálu 150 m3 a více za rok (kód 7.7. dle přílohy č. 2 zákona):</w:t>
      </w:r>
    </w:p>
    <w:p w14:paraId="5C7261EE" w14:textId="77777777" w:rsidR="00FF2E95" w:rsidRDefault="00000000">
      <w:pPr>
        <w:spacing w:after="120"/>
        <w:jc w:val="both"/>
        <w:rPr>
          <w:rFonts w:ascii="Arial" w:eastAsia="Calibri" w:hAnsi="Arial" w:cs="Arial"/>
        </w:rPr>
      </w:pPr>
      <w:r>
        <w:rPr>
          <w:rFonts w:ascii="Arial" w:eastAsia="Calibri" w:hAnsi="Arial" w:cs="Arial"/>
        </w:rPr>
        <w:t>U tohoto kódu byl zpřísněn SEL pro broušení u TZL z původních 10 mg/m3 na nových 5 mg/m3. Jedná se o návrh na základě námětu od ČIŽP. Pro dosažení stávajícího emisního limitu 10 mg/m3 je nezbytné využít filtračního zařízení, u kterého výrobce zařízení garantuje hodnotu do 1 mg/m3, tzn. že v případě, že provozovatel zajišťuje pravidelný servis tohoto zařízení, není problém dosáhnout hodnoty 5 mg/m3. Do tohoto kódu/bodu bylo také nově zahrnuto sušení pilin. Tzn: Vysvětlivka 2) Platí pro sušení třísek, pilin a dřevních vláken. Smyslem navržené změny je eliminovat pochybnosti o velikostních rozdílech mezi „třískami“ a „pilinami“.</w:t>
      </w:r>
    </w:p>
    <w:p w14:paraId="2B23CD4A" w14:textId="77777777" w:rsidR="00FF2E95" w:rsidRDefault="00000000">
      <w:pPr>
        <w:spacing w:after="120"/>
        <w:jc w:val="both"/>
        <w:rPr>
          <w:rFonts w:ascii="Arial" w:eastAsia="Calibri" w:hAnsi="Arial" w:cs="Arial"/>
        </w:rPr>
      </w:pPr>
      <w:r>
        <w:rPr>
          <w:rFonts w:ascii="Arial" w:eastAsia="Calibri" w:hAnsi="Arial" w:cs="Arial"/>
        </w:rPr>
        <w:t>Do TPP byla nově zahrnuta i dřevní vlákna. Důvody jsou obdobné.</w:t>
      </w:r>
    </w:p>
    <w:p w14:paraId="178763F5" w14:textId="77777777" w:rsidR="00FF2E95" w:rsidRDefault="00000000">
      <w:pPr>
        <w:spacing w:after="120"/>
        <w:jc w:val="both"/>
        <w:rPr>
          <w:rFonts w:ascii="Arial" w:eastAsia="Calibri" w:hAnsi="Arial" w:cs="Arial"/>
          <w:u w:val="single"/>
        </w:rPr>
      </w:pPr>
      <w:r>
        <w:rPr>
          <w:rFonts w:ascii="Arial" w:eastAsia="Calibri" w:hAnsi="Arial" w:cs="Arial"/>
          <w:u w:val="single"/>
        </w:rPr>
        <w:t>Bod 6.16. Výroba lihu, včetně biolihu, o celkové projektované kapacitě 10 000 hl bezvodého lihu za rok a více (Kód 7.18. – Přílohy č. 2 k zákonu)</w:t>
      </w:r>
    </w:p>
    <w:p w14:paraId="401259D6" w14:textId="77777777" w:rsidR="00FF2E95" w:rsidRDefault="00000000">
      <w:pPr>
        <w:spacing w:after="120"/>
        <w:jc w:val="both"/>
        <w:rPr>
          <w:rFonts w:ascii="Arial" w:eastAsia="Calibri" w:hAnsi="Arial" w:cs="Arial"/>
        </w:rPr>
      </w:pPr>
      <w:r>
        <w:rPr>
          <w:rFonts w:ascii="Arial" w:eastAsia="Calibri" w:hAnsi="Arial" w:cs="Arial"/>
        </w:rPr>
        <w:lastRenderedPageBreak/>
        <w:t>Je navržen bod, který vyjme výrobu lihu z výroby potravin. Je tomu tak proto, že u výroby biolihu dochází k pochybnostem o tom, zda se ještě jedná o výrobu potravin. Co se lihovarů týče, ty se v minulosti opakovaně ukazovaly jako problematické z pohledu obtěžování zápachem. Pro stanovení odpovídajících podmínek provozu je vhodné, aby tato skupina stacionárních zdrojů měla vlastní bod.</w:t>
      </w:r>
    </w:p>
    <w:p w14:paraId="1B0D4A8D" w14:textId="77777777" w:rsidR="00FF2E95" w:rsidRDefault="00000000">
      <w:pPr>
        <w:spacing w:after="120"/>
        <w:jc w:val="both"/>
        <w:rPr>
          <w:rFonts w:ascii="Arial" w:eastAsia="Calibri" w:hAnsi="Arial" w:cs="Arial"/>
        </w:rPr>
      </w:pPr>
      <w:r>
        <w:rPr>
          <w:rFonts w:ascii="Arial" w:eastAsia="Calibri" w:hAnsi="Arial" w:cs="Arial"/>
        </w:rPr>
        <w:t>V referenčním dokumentu o nejlepších dostupných technikách u stacionárních zdrojů nespadajících pod BREF – Výroba potravin (dále jen „neBREF – potraviny“) jsou na str. 37 popsány příklady některých procesů (kap. 3.6.3.). Výroba lihu ve velkém průmyslovém lihovaru se skládá z následujících celků: fermentace (kvasírna), destilace, odvodnění, odparka výpalků, rekuperační kolony CO2, reakční nádrž A, reakční kolona B a C, reakční nádoba D, pračka odplynů z lihovaru E, a reakční nádoba F. V odstavci „odparka výpalků“ je uvedeno, že principem technologie odparky je nepřímý ohřev výpalků párou a odpařování a následná kondenzace odpařené vody z výpalků s postupným zahušťováním na požadovanou sušinu. Jedná se o zařízení k omezení emisí a zápachu z výroby bioetanolu. V odstavci „reakční nádrž A“ je uvedeno, že výduchy od vývěv z destilace a odvodnění jsou svedeny do reakční nádrže a zkrápěny mlhou z trysek s roztokem enzymu ve vodě. Reakční nádrž se skládá ze tří zkrápěných kolon. V odstavci „reakční kolona B“ je uvedeno, že odvzdušnění z odparky a dalších souvisejících technologických zařízení je vedeno do vícestupňové reakční kolony se zkrápěním vodou a enzymatickým přípravkem. V odstavci „reakční kolona C“ se uvádí, že odvzdušnění z odparky je po průchodu kolonou B vedeno do reakční kolony C s vodní pračkou a rozstřikováním enzymatického přípravku. V odstavci „reakční nádoba D“ je uvedeno, že odtahy ze tří uvedených technologických celků výroby lihu se spojují a vstupují do reakční nádoby D. V reakční nádobě válcového tvaru jsou instalovány 3 ks rozmlžovacích trysek, do kterých je přiváděna voda obohacená enzymatickým koncentrátem. Z výše uvedeného vyplývá, že při výrobě lihu ve velkém průmyslovém lihovaru se využívají následující opatření k omezování emisí: odparka výpalků, zkrápění, vodní pračka, a rozmlžovací trysky s enzymatickým koncentrátem.</w:t>
      </w:r>
    </w:p>
    <w:p w14:paraId="67F1B499" w14:textId="77777777" w:rsidR="00FF2E95" w:rsidRDefault="00000000">
      <w:pPr>
        <w:spacing w:after="120"/>
        <w:jc w:val="both"/>
        <w:rPr>
          <w:rFonts w:ascii="Arial" w:eastAsia="Calibri" w:hAnsi="Arial" w:cs="Arial"/>
        </w:rPr>
      </w:pPr>
      <w:r>
        <w:rPr>
          <w:rFonts w:ascii="Arial" w:eastAsia="Calibri" w:hAnsi="Arial" w:cs="Arial"/>
        </w:rPr>
        <w:t>Dále je v neBREFu potraviny, v kapitole 3.6.4. (Dosahované emisní úrovně) uvedeno, že vzhledem k tomu, že se nejedná o samostatnou kategorii zdrojů ale o kód nový, nejsou dosahované emisní úrovně z drtivé většiny známy.</w:t>
      </w:r>
    </w:p>
    <w:p w14:paraId="3EAA4652" w14:textId="77777777" w:rsidR="00FF2E95" w:rsidRDefault="00000000">
      <w:pPr>
        <w:spacing w:after="120"/>
        <w:jc w:val="both"/>
        <w:rPr>
          <w:rFonts w:ascii="Arial" w:eastAsia="Calibri" w:hAnsi="Arial" w:cs="Arial"/>
        </w:rPr>
      </w:pPr>
      <w:r>
        <w:rPr>
          <w:rFonts w:ascii="Arial" w:eastAsia="Calibri" w:hAnsi="Arial" w:cs="Arial"/>
        </w:rPr>
        <w:t>V neBREFu potraviny je také uvedeno, že výroba lihu je ve všech výrobních operacích zdrojem VOC (z 99 % lihu) a pachových látek. Pokud probíhá výroba z obilí, je skladování, manipulace a drcení též zdrojem TZL. Z tohoto důvodu byly stanoveny SEL pro TOC a TZL (upřesněno viz níže).</w:t>
      </w:r>
    </w:p>
    <w:p w14:paraId="2558917B" w14:textId="77777777" w:rsidR="00FF2E95" w:rsidRDefault="00000000">
      <w:pPr>
        <w:spacing w:after="120"/>
        <w:jc w:val="both"/>
        <w:rPr>
          <w:rFonts w:ascii="Arial" w:eastAsia="Calibri" w:hAnsi="Arial" w:cs="Arial"/>
        </w:rPr>
      </w:pPr>
      <w:r>
        <w:rPr>
          <w:rFonts w:ascii="Arial" w:eastAsia="Calibri" w:hAnsi="Arial" w:cs="Arial"/>
        </w:rPr>
        <w:t>Dále je v neBREFu – potraviny na str. 40 uvedeno následující:</w:t>
      </w:r>
    </w:p>
    <w:p w14:paraId="51D1DF6B" w14:textId="77777777" w:rsidR="00FF2E95" w:rsidRDefault="00000000">
      <w:pPr>
        <w:spacing w:after="120"/>
        <w:jc w:val="both"/>
        <w:rPr>
          <w:rFonts w:ascii="Arial" w:eastAsia="Calibri" w:hAnsi="Arial" w:cs="Arial"/>
        </w:rPr>
      </w:pPr>
      <w:r>
        <w:rPr>
          <w:rFonts w:ascii="Arial" w:eastAsia="Calibri" w:hAnsi="Arial" w:cs="Arial"/>
        </w:rPr>
        <w:t>Pachové látky a VOC se uvolňují při fermentaci/kvašení suroviny, destilaci, rektifikaci. Emise VOC se uvolňují při skladování a manipulaci s produktem.</w:t>
      </w:r>
    </w:p>
    <w:p w14:paraId="7B74ED80" w14:textId="77777777" w:rsidR="00FF2E95" w:rsidRDefault="00000000">
      <w:pPr>
        <w:spacing w:after="120"/>
        <w:jc w:val="both"/>
        <w:rPr>
          <w:rFonts w:ascii="Arial" w:eastAsia="Calibri" w:hAnsi="Arial" w:cs="Arial"/>
        </w:rPr>
      </w:pPr>
      <w:r>
        <w:rPr>
          <w:rFonts w:ascii="Arial" w:eastAsia="Calibri" w:hAnsi="Arial" w:cs="Arial"/>
        </w:rPr>
        <w:t>Malé lihovary nepoužívají žádná koncová zařízení, emise etanolu se minimalizují utěsněním zařízení a dostatečným kapacitním chlazením par destilátu. Větší lihovary vypírají etanol z odplynů formou mokrého praní a absorpce do vody. Tato zařízení bývají integrována do výrobních technologií, a voda nasycená lihem se vrací na začátek procesu. Velké průmyslové lihovary bývají vybaveny též vypíráním odplynů vodou a dále zařízeními k odstranění pachových látek, a to buď enzymatizací nebo biofiltrací.</w:t>
      </w:r>
    </w:p>
    <w:p w14:paraId="4FC83B57" w14:textId="77777777" w:rsidR="00FF2E95" w:rsidRDefault="00000000">
      <w:pPr>
        <w:spacing w:after="120"/>
        <w:jc w:val="both"/>
        <w:rPr>
          <w:rFonts w:ascii="Arial" w:eastAsia="Calibri" w:hAnsi="Arial" w:cs="Arial"/>
        </w:rPr>
      </w:pPr>
      <w:r>
        <w:rPr>
          <w:rFonts w:ascii="Arial" w:eastAsia="Calibri" w:hAnsi="Arial" w:cs="Arial"/>
        </w:rPr>
        <w:t>Koncová zařízení jako termické dopalování odplynů se díky vysokému bodu varu lihu a jeho dobré rozpustnosti ve vodě nepoužívají.</w:t>
      </w:r>
    </w:p>
    <w:p w14:paraId="4F994B8D" w14:textId="77777777" w:rsidR="00FF2E95" w:rsidRDefault="00000000">
      <w:pPr>
        <w:spacing w:after="120"/>
        <w:jc w:val="both"/>
        <w:rPr>
          <w:rFonts w:ascii="Arial" w:eastAsia="Calibri" w:hAnsi="Arial" w:cs="Arial"/>
        </w:rPr>
      </w:pPr>
      <w:r>
        <w:rPr>
          <w:rFonts w:ascii="Arial" w:eastAsia="Calibri" w:hAnsi="Arial" w:cs="Arial"/>
        </w:rPr>
        <w:lastRenderedPageBreak/>
        <w:t>V závěrech o BAT (FDM – Food, drink, milk) v kapitole 8.2 (Emise do ovzduší) je uvedeno, že nejlepší dostupnou technikou pro snížení řízených emisí prachu do ovzduší je použití kapsového filtru (= tkaninového filtru).</w:t>
      </w:r>
    </w:p>
    <w:p w14:paraId="46F43CFC" w14:textId="77777777" w:rsidR="00FF2E95" w:rsidRDefault="00000000">
      <w:pPr>
        <w:spacing w:after="120"/>
        <w:jc w:val="both"/>
        <w:rPr>
          <w:rFonts w:ascii="Arial" w:eastAsia="Calibri" w:hAnsi="Arial" w:cs="Arial"/>
        </w:rPr>
      </w:pPr>
      <w:r>
        <w:rPr>
          <w:rFonts w:ascii="Arial" w:eastAsia="Calibri" w:hAnsi="Arial" w:cs="Arial"/>
        </w:rPr>
        <w:t>Odůvodnění SEL:</w:t>
      </w:r>
    </w:p>
    <w:p w14:paraId="22D46471" w14:textId="77777777" w:rsidR="00FF2E95" w:rsidRDefault="00000000">
      <w:pPr>
        <w:spacing w:after="120"/>
        <w:jc w:val="both"/>
        <w:rPr>
          <w:rFonts w:ascii="Arial" w:eastAsia="Calibri" w:hAnsi="Arial" w:cs="Arial"/>
        </w:rPr>
      </w:pPr>
      <w:r>
        <w:rPr>
          <w:rFonts w:ascii="Arial" w:eastAsia="Calibri" w:hAnsi="Arial" w:cs="Arial"/>
        </w:rPr>
        <w:t xml:space="preserve">SEL pro TOC (50 mg/m3 – platí pro výrobu ethanolu), </w:t>
      </w:r>
    </w:p>
    <w:p w14:paraId="491E152C" w14:textId="77777777" w:rsidR="00FF2E95" w:rsidRDefault="00000000">
      <w:pPr>
        <w:spacing w:after="120"/>
        <w:jc w:val="both"/>
        <w:rPr>
          <w:rFonts w:ascii="Arial" w:eastAsia="Calibri" w:hAnsi="Arial" w:cs="Arial"/>
        </w:rPr>
      </w:pPr>
      <w:r>
        <w:rPr>
          <w:rFonts w:ascii="Arial" w:eastAsia="Calibri" w:hAnsi="Arial" w:cs="Arial"/>
        </w:rPr>
        <w:t xml:space="preserve">SEL pro TOC (25 mg/m3 – platí pro zpracování lihovarských výpalků), </w:t>
      </w:r>
    </w:p>
    <w:p w14:paraId="221F15D3" w14:textId="77777777" w:rsidR="00FF2E95" w:rsidRDefault="00000000">
      <w:pPr>
        <w:spacing w:after="120"/>
        <w:jc w:val="both"/>
        <w:rPr>
          <w:rFonts w:ascii="Arial" w:eastAsia="Calibri" w:hAnsi="Arial" w:cs="Arial"/>
        </w:rPr>
      </w:pPr>
      <w:r>
        <w:rPr>
          <w:rFonts w:ascii="Arial" w:eastAsia="Calibri" w:hAnsi="Arial" w:cs="Arial"/>
        </w:rPr>
        <w:t>a SEL pro TZL (10 mg/m3 – platí pro drcení a skladování obilí).</w:t>
      </w:r>
    </w:p>
    <w:p w14:paraId="1D94F527" w14:textId="77777777" w:rsidR="00FF2E95" w:rsidRDefault="00000000">
      <w:pPr>
        <w:spacing w:after="120"/>
        <w:jc w:val="both"/>
        <w:rPr>
          <w:rFonts w:ascii="Arial" w:eastAsia="Calibri" w:hAnsi="Arial" w:cs="Arial"/>
        </w:rPr>
      </w:pPr>
      <w:r>
        <w:rPr>
          <w:rFonts w:ascii="Arial" w:eastAsia="Calibri" w:hAnsi="Arial" w:cs="Arial"/>
        </w:rPr>
        <w:t>Stanovené specifické emisní limity vychází ze Závěrů o BAT – FDM (Food, drink, milk)</w:t>
      </w:r>
    </w:p>
    <w:p w14:paraId="768DA72A" w14:textId="77777777" w:rsidR="00FF2E95" w:rsidRDefault="00FF2E95">
      <w:pPr>
        <w:spacing w:after="120"/>
        <w:jc w:val="both"/>
        <w:rPr>
          <w:rFonts w:ascii="Arial" w:eastAsia="Calibri" w:hAnsi="Arial" w:cs="Arial"/>
        </w:rPr>
      </w:pPr>
      <w:hyperlink r:id="rId9" w:tooltip="https://www.mpo.cz/assets/cz/prumysl/ippc-integrovana-prevence-a-omezovani-znecisteni/aktuality/2019/12/Zavery-o-BAT-pro-prumysl-potravin--napoju-a-mleka.pdf" w:history="1">
        <w:r>
          <w:rPr>
            <w:rStyle w:val="Hypertextovodkaz"/>
            <w:rFonts w:ascii="Arial" w:eastAsia="Calibri" w:hAnsi="Arial" w:cs="Arial"/>
          </w:rPr>
          <w:t>https://www.mpo.cz/assets/cz/prumysl/ippc-integrovana-prevence-a-omezovani-znecisteni/aktuality/2019/12/Zavery-o-BAT-pro-prumysl-potravin--napoju-a-mleka.pdf</w:t>
        </w:r>
      </w:hyperlink>
    </w:p>
    <w:p w14:paraId="114738B9" w14:textId="760C6FA6" w:rsidR="00FF2E95" w:rsidRDefault="00000000">
      <w:pPr>
        <w:spacing w:after="120"/>
        <w:jc w:val="both"/>
        <w:rPr>
          <w:rFonts w:ascii="Arial" w:eastAsia="Calibri" w:hAnsi="Arial" w:cs="Arial"/>
        </w:rPr>
      </w:pPr>
      <w:r>
        <w:rPr>
          <w:rFonts w:ascii="Arial" w:eastAsia="Calibri" w:hAnsi="Arial" w:cs="Arial"/>
        </w:rPr>
        <w:t xml:space="preserve">Vztažné podmínky </w:t>
      </w:r>
      <w:r w:rsidR="004B12E2">
        <w:rPr>
          <w:rFonts w:ascii="Arial" w:eastAsia="Calibri" w:hAnsi="Arial" w:cs="Arial"/>
        </w:rPr>
        <w:t>C – koncentrace</w:t>
      </w:r>
      <w:r>
        <w:rPr>
          <w:rFonts w:ascii="Arial" w:eastAsia="Calibri" w:hAnsi="Arial" w:cs="Arial"/>
        </w:rPr>
        <w:t xml:space="preserve"> příslušné látky v odpadním plynu za obvyklých provozních podmínek. </w:t>
      </w:r>
    </w:p>
    <w:p w14:paraId="7457CA99" w14:textId="77777777" w:rsidR="00FF2E95" w:rsidRDefault="00000000">
      <w:pPr>
        <w:spacing w:after="120"/>
        <w:jc w:val="both"/>
        <w:rPr>
          <w:rFonts w:ascii="Arial" w:eastAsia="Calibri" w:hAnsi="Arial" w:cs="Arial"/>
        </w:rPr>
      </w:pPr>
      <w:r>
        <w:rPr>
          <w:rFonts w:ascii="Arial" w:eastAsia="Calibri" w:hAnsi="Arial" w:cs="Arial"/>
        </w:rPr>
        <w:t>V novele vyhlášky byly k bodu 6.16 stanoveny následující TPP, které vycházejí z výše uvedených dokumentů.</w:t>
      </w:r>
    </w:p>
    <w:p w14:paraId="67045507" w14:textId="77777777" w:rsidR="00FF2E95" w:rsidRDefault="00000000">
      <w:pPr>
        <w:spacing w:after="120"/>
        <w:jc w:val="both"/>
        <w:rPr>
          <w:rFonts w:ascii="Arial" w:eastAsia="Calibri" w:hAnsi="Arial" w:cs="Arial"/>
          <w:u w:val="single"/>
        </w:rPr>
      </w:pPr>
      <w:r>
        <w:rPr>
          <w:rFonts w:ascii="Arial" w:eastAsia="Calibri" w:hAnsi="Arial" w:cs="Arial"/>
          <w:u w:val="single"/>
        </w:rPr>
        <w:t>Bod 8.1. Manipulace se sypkými materiály včetně jejich skladování na otevřených plochách jinde neuvedené s celkovou projektovanou plochou deponií 3000 m2 a více s výjimkou stavenišť (kód 12.1. dle přílohy č. 2 zákona)</w:t>
      </w:r>
    </w:p>
    <w:p w14:paraId="2C3EDAB7" w14:textId="77777777" w:rsidR="00FF2E95" w:rsidRDefault="00000000">
      <w:pPr>
        <w:spacing w:after="120"/>
        <w:jc w:val="both"/>
        <w:rPr>
          <w:rFonts w:ascii="Arial" w:eastAsia="Calibri" w:hAnsi="Arial" w:cs="Arial"/>
        </w:rPr>
      </w:pPr>
      <w:r>
        <w:rPr>
          <w:rFonts w:ascii="Arial" w:eastAsia="Calibri" w:hAnsi="Arial" w:cs="Arial"/>
        </w:rPr>
        <w:t>Jedná se o nový bod a cílem tohoto bodu je stanovení podmínek, které zakládají povinnosti a organizaci činností, protože při jejich neplnění mohou být emisně významné a mohou významně přispět ke snížení emisi z abraze a úletu a manipulace. Nejsou ekonomicky náročné, dají se ošetřit organizačně-technickými opatřeními, provozovatel u takového typu stacionárního zdroje a manipulačních ploch je může snadno aplikovat, i přes četnou pestrost typů sypných materiálů. O úletu nerozhoduje jen velikostní frakce materiálu, ale pevnost materiálu a jeho odolnost proti abrazi.</w:t>
      </w:r>
    </w:p>
    <w:p w14:paraId="02596AE9" w14:textId="48E82954" w:rsidR="00FF2E95" w:rsidRDefault="00000000">
      <w:pPr>
        <w:spacing w:after="120"/>
        <w:jc w:val="both"/>
        <w:rPr>
          <w:rFonts w:ascii="Arial" w:eastAsia="Calibri" w:hAnsi="Arial" w:cs="Arial"/>
        </w:rPr>
      </w:pPr>
      <w:r>
        <w:rPr>
          <w:rFonts w:ascii="Arial" w:eastAsia="Calibri" w:hAnsi="Arial" w:cs="Arial"/>
        </w:rPr>
        <w:t xml:space="preserve">Uvedené TPP byly navrhnuty s ohledem na horizontální referenční dokument o nejlepších dostupných technikách při omezování emisí ze skladování, leden 2019, rok 2005, např. str.99, obecně kap.3 a kap.4 dále s ohledem na referenční dokumenty z jednotlivých sektorů a odvětví. Jsou jakousi univerzální syntézou základních </w:t>
      </w:r>
      <w:r w:rsidR="004B12E2">
        <w:rPr>
          <w:rFonts w:ascii="Arial" w:eastAsia="Calibri" w:hAnsi="Arial" w:cs="Arial"/>
        </w:rPr>
        <w:t>účinných</w:t>
      </w:r>
      <w:r>
        <w:rPr>
          <w:rFonts w:ascii="Arial" w:eastAsia="Calibri" w:hAnsi="Arial" w:cs="Arial"/>
        </w:rPr>
        <w:t xml:space="preserve"> podmínek a měly by dosáhnout aplikovaní primárních technik skladování, přepravy a manipulace, přičemž se jedná veskrze o organizační, technické a konstrukční přístupy.</w:t>
      </w:r>
    </w:p>
    <w:p w14:paraId="3B672A9C" w14:textId="46D58220" w:rsidR="00FF2E95" w:rsidRDefault="00000000">
      <w:pPr>
        <w:spacing w:after="120"/>
        <w:jc w:val="both"/>
        <w:rPr>
          <w:rFonts w:ascii="Arial" w:eastAsia="Calibri" w:hAnsi="Arial" w:cs="Arial"/>
        </w:rPr>
      </w:pPr>
      <w:r>
        <w:rPr>
          <w:rFonts w:ascii="Arial" w:eastAsia="Calibri" w:hAnsi="Arial" w:cs="Arial"/>
        </w:rPr>
        <w:t xml:space="preserve">TPP vychází z častých podnětů, kdy s provozováním takovýchto deponií bývají spojeny episody úletů a apod. Při manipulaci a skladování některých materiálů na volných plochách emise TZL mohou vnášet i jiné látky do okolního </w:t>
      </w:r>
      <w:r w:rsidR="004B12E2">
        <w:rPr>
          <w:rFonts w:ascii="Arial" w:eastAsia="Calibri" w:hAnsi="Arial" w:cs="Arial"/>
        </w:rPr>
        <w:t>prostředí - těžké</w:t>
      </w:r>
      <w:r>
        <w:rPr>
          <w:rFonts w:ascii="Arial" w:eastAsia="Calibri" w:hAnsi="Arial" w:cs="Arial"/>
        </w:rPr>
        <w:t xml:space="preserve"> kovy (např. kadmium, měď, nikl, olovo, rtuť, zinek).</w:t>
      </w:r>
    </w:p>
    <w:p w14:paraId="7FDA84D4" w14:textId="0E9C00AB" w:rsidR="00FF2E95" w:rsidRDefault="00000000">
      <w:pPr>
        <w:keepNext/>
        <w:spacing w:before="240" w:after="120" w:line="276" w:lineRule="auto"/>
        <w:ind w:left="357" w:hanging="357"/>
        <w:jc w:val="both"/>
        <w:outlineLvl w:val="1"/>
        <w:rPr>
          <w:rFonts w:ascii="Arial" w:eastAsia="Calibri" w:hAnsi="Arial" w:cs="Arial"/>
          <w:b/>
          <w:bCs/>
        </w:rPr>
      </w:pPr>
      <w:r>
        <w:rPr>
          <w:rFonts w:ascii="Arial" w:eastAsiaTheme="majorEastAsia" w:hAnsi="Arial" w:cs="Arial"/>
          <w:b/>
          <w:color w:val="000000" w:themeColor="text1"/>
          <w:szCs w:val="24"/>
          <w:lang w:bidi="en-US"/>
        </w:rPr>
        <w:t xml:space="preserve">K bodu </w:t>
      </w:r>
      <w:r w:rsidR="004B12E2">
        <w:rPr>
          <w:rFonts w:ascii="Arial" w:eastAsiaTheme="majorEastAsia" w:hAnsi="Arial" w:cs="Arial"/>
          <w:b/>
          <w:color w:val="000000" w:themeColor="text1"/>
          <w:szCs w:val="24"/>
          <w:lang w:bidi="en-US"/>
        </w:rPr>
        <w:t>72</w:t>
      </w:r>
      <w:r>
        <w:rPr>
          <w:rFonts w:ascii="Arial" w:eastAsiaTheme="majorEastAsia" w:hAnsi="Arial" w:cs="Arial"/>
          <w:b/>
          <w:color w:val="000000" w:themeColor="text1"/>
          <w:szCs w:val="24"/>
          <w:lang w:bidi="en-US"/>
        </w:rPr>
        <w:t xml:space="preserve"> (příloha č. 9)</w:t>
      </w:r>
    </w:p>
    <w:p w14:paraId="7D26A7E8" w14:textId="77777777" w:rsidR="00FF2E95" w:rsidRDefault="00000000">
      <w:pPr>
        <w:spacing w:after="120"/>
        <w:jc w:val="both"/>
        <w:rPr>
          <w:rFonts w:ascii="Arial" w:eastAsia="Calibri" w:hAnsi="Arial" w:cs="Arial"/>
        </w:rPr>
      </w:pPr>
      <w:r>
        <w:rPr>
          <w:rFonts w:ascii="Arial" w:eastAsia="Calibri" w:hAnsi="Arial" w:cs="Arial"/>
        </w:rPr>
        <w:t xml:space="preserve">S ohledem na velké množství prováděných změn se navrhuje nahrazení celé přílohy č. 9 novým zněním. </w:t>
      </w:r>
    </w:p>
    <w:p w14:paraId="4F0468E4" w14:textId="77777777" w:rsidR="00FF2E95" w:rsidRDefault="00000000">
      <w:pPr>
        <w:spacing w:after="120"/>
        <w:jc w:val="both"/>
        <w:rPr>
          <w:rFonts w:ascii="Arial" w:eastAsia="Calibri" w:hAnsi="Arial" w:cs="Arial"/>
        </w:rPr>
      </w:pPr>
      <w:r>
        <w:rPr>
          <w:rFonts w:ascii="Arial" w:eastAsia="Calibri" w:hAnsi="Arial" w:cs="Arial"/>
        </w:rPr>
        <w:t>Nově stanovené hodnoty obecných emisních limitů vychází z hodnot hmotnostních toků v kódech 11.X přílohy č. 2 zákona. Obecně se jedná o horní hodnoty specifických emisních limitů pro nižší kapacity nebo příkonové intervaly, kde se předpokládají pouze základní opatření ke snížení emisí. Dosavadní obecné emisní limity byly již velmi zastaralé a dalece přesahovaly současnou technologickou realitu. Hodnoty hmotnostních toků byly přepočteny dle kódů 11.X v příloze č. 2 zákona.</w:t>
      </w:r>
    </w:p>
    <w:p w14:paraId="7738C52C" w14:textId="77777777" w:rsidR="00FF2E95" w:rsidRDefault="00000000">
      <w:pPr>
        <w:spacing w:after="120"/>
        <w:jc w:val="both"/>
        <w:rPr>
          <w:rFonts w:ascii="Arial" w:eastAsia="Calibri" w:hAnsi="Arial" w:cs="Arial"/>
        </w:rPr>
      </w:pPr>
      <w:r>
        <w:rPr>
          <w:rFonts w:ascii="Arial" w:eastAsia="Calibri" w:hAnsi="Arial" w:cs="Arial"/>
        </w:rPr>
        <w:lastRenderedPageBreak/>
        <w:t>Příklad přepočtu č. 1.: V současné době je obecný emisní limit pro TZL 200 mg/m3 a teoretická roční emise vypočítávaná z obecného emisního limitu pro zařazení do kódu 11.1 je 5 tun. za rok. Hodnota roční emise je při výpočtu vždy přímo úměrná koncentraci. Snížíme-li obecný emisní limit na 100 mg/m3, což je hodnota odpovídající aplikaci alespoň minimálních opatření s nízkou účinností, je zřejmé, že aby okruh stacionárních zdrojů zařazených pod kód 11.1 zůstal stejný, musíme ve stejném poměru snížit prahovou hodnotu tohoto kódu. Proto je navrhováno 2,5 t/rok.</w:t>
      </w:r>
    </w:p>
    <w:p w14:paraId="57F11AB9" w14:textId="77777777" w:rsidR="00FF2E95" w:rsidRDefault="00000000">
      <w:pPr>
        <w:spacing w:after="120"/>
        <w:jc w:val="both"/>
        <w:rPr>
          <w:rFonts w:ascii="Arial" w:eastAsia="Calibri" w:hAnsi="Arial" w:cs="Arial"/>
        </w:rPr>
      </w:pPr>
      <w:r>
        <w:rPr>
          <w:rFonts w:ascii="Arial" w:eastAsia="Calibri" w:hAnsi="Arial" w:cs="Arial"/>
        </w:rPr>
        <w:t>Příklad přepočtu č. 2: V současné době je obecný emisní limit pro oxidy síry 2500 mg/m3 a teoretická roční emise vypočítávaná z obecného emisního limitu pro zařazení do kódu 11.2 je 8 tun za rok. Snížíme-li obecný emisní limit na 1700 mg/m3, což je hodnota odpovídající aplikaci alespoň minimálních opatření s nízkou účinností, je zřejmé, že aby okruh stacionárních zdrojů zařazených pod kód 11.2 zůstal stejný, musíme ve stejném poměru snížit prahovou hodnotu tohoto kódu. Proto je navrhováno 5,5 t/rok (zaokrouhleno na desetiny tuny nahoru).</w:t>
      </w:r>
    </w:p>
    <w:p w14:paraId="579B2138" w14:textId="77777777" w:rsidR="00FF2E95" w:rsidRDefault="00000000">
      <w:pPr>
        <w:spacing w:after="120"/>
        <w:jc w:val="both"/>
        <w:rPr>
          <w:rFonts w:ascii="Arial" w:eastAsia="Calibri" w:hAnsi="Arial" w:cs="Arial"/>
        </w:rPr>
      </w:pPr>
      <w:r>
        <w:rPr>
          <w:rFonts w:ascii="Arial" w:eastAsia="Calibri" w:hAnsi="Arial" w:cs="Arial"/>
        </w:rPr>
        <w:t xml:space="preserve">Změna prahových hodnot, která je svázána s předpokládaným snížením některých obecných emisních limitů, je zcela nezávislá jak na průtoku odpadního plynu, tak zejména na počtu provozních hodin. </w:t>
      </w:r>
    </w:p>
    <w:p w14:paraId="75563E67" w14:textId="77777777" w:rsidR="00FF2E95" w:rsidRDefault="00000000">
      <w:pPr>
        <w:spacing w:after="120"/>
        <w:jc w:val="both"/>
        <w:rPr>
          <w:rFonts w:ascii="Arial" w:eastAsia="Calibri" w:hAnsi="Arial" w:cs="Arial"/>
        </w:rPr>
      </w:pPr>
      <w:r>
        <w:rPr>
          <w:rFonts w:ascii="Arial" w:eastAsia="Calibri" w:hAnsi="Arial" w:cs="Arial"/>
        </w:rPr>
        <w:t>Hmotnostní toky:</w:t>
      </w:r>
    </w:p>
    <w:p w14:paraId="08A4E630" w14:textId="77777777" w:rsidR="00FF2E95" w:rsidRDefault="00000000">
      <w:pPr>
        <w:spacing w:after="120"/>
        <w:jc w:val="both"/>
        <w:rPr>
          <w:rFonts w:ascii="Arial" w:eastAsia="Calibri" w:hAnsi="Arial" w:cs="Arial"/>
        </w:rPr>
      </w:pPr>
      <w:r>
        <w:rPr>
          <w:rFonts w:ascii="Arial" w:eastAsia="Calibri" w:hAnsi="Arial" w:cs="Arial"/>
        </w:rPr>
        <w:t>Hmotnostní toky odpovídají prahům kódů 11.X. při provozních hodinách 2000 hodin za rok (přibližně odpovídající jednosměnnému provozu). V případě CO, sirouhlíku a amoniaku jsou ponechány stejné hodnoty jako doposud, protože přepočet podle kódů 11.X nelze použít (podle CO se do kódů 11.X nezařazuje a v případě amoniaku a sirouhlíku dává tento přepočet vyšší hodnoty, než ty dosavadní).</w:t>
      </w:r>
    </w:p>
    <w:p w14:paraId="391F8126" w14:textId="12E7949B"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w:t>
      </w:r>
      <w:r w:rsidR="004B12E2">
        <w:rPr>
          <w:rFonts w:ascii="Arial" w:eastAsiaTheme="majorEastAsia" w:hAnsi="Arial" w:cs="Arial"/>
          <w:b/>
          <w:color w:val="000000" w:themeColor="text1"/>
          <w:szCs w:val="24"/>
          <w:lang w:bidi="en-US"/>
        </w:rPr>
        <w:t> </w:t>
      </w:r>
      <w:r>
        <w:rPr>
          <w:rFonts w:ascii="Arial" w:eastAsiaTheme="majorEastAsia" w:hAnsi="Arial" w:cs="Arial"/>
          <w:b/>
          <w:color w:val="000000" w:themeColor="text1"/>
          <w:szCs w:val="24"/>
          <w:lang w:bidi="en-US"/>
        </w:rPr>
        <w:t>bodu</w:t>
      </w:r>
      <w:r w:rsidR="004B12E2">
        <w:rPr>
          <w:rFonts w:ascii="Arial" w:eastAsiaTheme="majorEastAsia" w:hAnsi="Arial" w:cs="Arial"/>
          <w:b/>
          <w:color w:val="000000" w:themeColor="text1"/>
          <w:szCs w:val="24"/>
          <w:lang w:bidi="en-US"/>
        </w:rPr>
        <w:t xml:space="preserve"> 73</w:t>
      </w:r>
      <w:r>
        <w:rPr>
          <w:rFonts w:ascii="Arial" w:eastAsiaTheme="majorEastAsia" w:hAnsi="Arial" w:cs="Arial"/>
          <w:b/>
          <w:color w:val="000000" w:themeColor="text1"/>
          <w:szCs w:val="24"/>
          <w:lang w:bidi="en-US"/>
        </w:rPr>
        <w:t xml:space="preserve"> (příloha č. 10)</w:t>
      </w:r>
    </w:p>
    <w:p w14:paraId="08AA741D" w14:textId="77777777" w:rsidR="00FF2E95" w:rsidRDefault="00000000">
      <w:pPr>
        <w:spacing w:after="120"/>
        <w:jc w:val="both"/>
        <w:rPr>
          <w:rFonts w:ascii="Arial" w:eastAsia="Calibri" w:hAnsi="Arial" w:cs="Arial"/>
        </w:rPr>
      </w:pPr>
      <w:r>
        <w:rPr>
          <w:rFonts w:ascii="Arial" w:eastAsia="Calibri" w:hAnsi="Arial" w:cs="Arial"/>
        </w:rPr>
        <w:t>Nahrazení přílohy č. 10 upravující náležitosti provozní evidence novým zněním. Nový požadavek v bodě 1.1. představuje nutný údaj pro vymezení minimálních vzdáleností podle §12a zákona. V průběhu roku 2025 bude provozovatelům stacionárních zdrojů umožněno zavést tento údaj do Centrálního registru životního prostředí (CRŽP), odkud bude možné jej využít pro ohlášení souhrnné provozní evidence (SPE) v rámci Integrovaného systému plnění ohlašovacích povinností (ISPOP).</w:t>
      </w:r>
    </w:p>
    <w:p w14:paraId="0E351FD4" w14:textId="77777777" w:rsidR="00FF2E95" w:rsidRDefault="00000000">
      <w:pPr>
        <w:spacing w:after="120"/>
        <w:jc w:val="both"/>
        <w:rPr>
          <w:rFonts w:ascii="Arial" w:eastAsia="Calibri" w:hAnsi="Arial" w:cs="Arial"/>
        </w:rPr>
      </w:pPr>
      <w:r>
        <w:rPr>
          <w:rFonts w:ascii="Arial" w:eastAsia="Calibri" w:hAnsi="Arial" w:cs="Arial"/>
        </w:rPr>
        <w:t>V bodě 1.2. došlo k upřesnění požadavku na zaznamenávání provozních hodin tak, aby bylo jednoznačně zřejmé, že záznamy jsou vedeny s denní četností.</w:t>
      </w:r>
    </w:p>
    <w:p w14:paraId="2712D0B3" w14:textId="77777777" w:rsidR="00FF2E95" w:rsidRDefault="00000000">
      <w:pPr>
        <w:spacing w:after="120"/>
        <w:jc w:val="both"/>
        <w:rPr>
          <w:rFonts w:ascii="Arial" w:eastAsia="Calibri" w:hAnsi="Arial" w:cs="Arial"/>
        </w:rPr>
      </w:pPr>
      <w:r>
        <w:rPr>
          <w:rFonts w:ascii="Arial" w:eastAsia="Calibri" w:hAnsi="Arial" w:cs="Arial"/>
        </w:rPr>
        <w:t>V návaznosti na usnesení vlády č. 99 ze dne 8. 2. 2023, které stanoví úkol novelizovat přílohu č. 10 kap. 1.2. vyhlášky č. 415/2012 Sb. tak, aby pro záložní zdroje bylo stanoveno měsíční sledování počtu provozních hodin s tím, že provozovatel včas indikuje případ, kdy počet provozních hodin záložního zdroje energie podle zákona č. 201/2012 Sb., o ochraně ovzduší, v daném kalendářním roce překročí 300 provozních hodin, byla provedena úprava v tomto smyslu, tj. vložení výjimky z denního sledování tohoto parametru v bodu Proměnlivé údaje v kapitole 1.2., nicméně na úlevu z povinnosti vedení denních záznamů o provozu záložního zdroje nelze vázat předpoklad, ale je nutno odvozovat od podmínky, jejíž splnění musí být provozovatel schopen prokázat dříve, než začne úlevu využívat, resp. než nastane situace překročení 300 provozních hodin.</w:t>
      </w:r>
    </w:p>
    <w:p w14:paraId="18CED7DD" w14:textId="74961BC2"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bodům </w:t>
      </w:r>
      <w:r w:rsidR="004B12E2">
        <w:rPr>
          <w:rFonts w:ascii="Arial" w:eastAsiaTheme="majorEastAsia" w:hAnsi="Arial" w:cs="Arial"/>
          <w:b/>
          <w:color w:val="000000" w:themeColor="text1"/>
          <w:szCs w:val="24"/>
          <w:lang w:bidi="en-US"/>
        </w:rPr>
        <w:t>74</w:t>
      </w:r>
      <w:r>
        <w:rPr>
          <w:rFonts w:ascii="Arial" w:eastAsiaTheme="majorEastAsia" w:hAnsi="Arial" w:cs="Arial"/>
          <w:b/>
          <w:color w:val="000000" w:themeColor="text1"/>
          <w:szCs w:val="24"/>
          <w:lang w:bidi="en-US"/>
        </w:rPr>
        <w:t xml:space="preserve"> až 7</w:t>
      </w:r>
      <w:r w:rsidR="004B12E2">
        <w:rPr>
          <w:rFonts w:ascii="Arial" w:eastAsiaTheme="majorEastAsia" w:hAnsi="Arial" w:cs="Arial"/>
          <w:b/>
          <w:color w:val="000000" w:themeColor="text1"/>
          <w:szCs w:val="24"/>
          <w:lang w:bidi="en-US"/>
        </w:rPr>
        <w:t>6</w:t>
      </w:r>
      <w:r>
        <w:rPr>
          <w:rFonts w:ascii="Arial" w:eastAsiaTheme="majorEastAsia" w:hAnsi="Arial" w:cs="Arial"/>
          <w:b/>
          <w:color w:val="000000" w:themeColor="text1"/>
          <w:szCs w:val="24"/>
          <w:lang w:bidi="en-US"/>
        </w:rPr>
        <w:t xml:space="preserve"> (příloha č. 11)</w:t>
      </w:r>
    </w:p>
    <w:p w14:paraId="39F66945" w14:textId="77777777" w:rsidR="00D54DF9" w:rsidRPr="00D54DF9" w:rsidRDefault="00000000" w:rsidP="00D54DF9">
      <w:pPr>
        <w:spacing w:after="120"/>
        <w:jc w:val="both"/>
        <w:rPr>
          <w:rFonts w:ascii="Arial" w:eastAsia="Arial" w:hAnsi="Arial" w:cs="Arial"/>
          <w:color w:val="000000"/>
        </w:rPr>
      </w:pPr>
      <w:r w:rsidRPr="00D54DF9">
        <w:rPr>
          <w:rFonts w:ascii="Arial" w:eastAsia="Arial" w:hAnsi="Arial" w:cs="Arial"/>
          <w:color w:val="000000"/>
        </w:rPr>
        <w:t>S ohledem na množství změn dochází k nahrazení celé přílohy č. 11 – náležitosti souhrnné provozní evidence.</w:t>
      </w:r>
    </w:p>
    <w:p w14:paraId="3D3146D8" w14:textId="77777777" w:rsidR="00D54DF9" w:rsidRPr="00D54DF9" w:rsidRDefault="00000000" w:rsidP="00D54DF9">
      <w:pPr>
        <w:spacing w:after="120"/>
        <w:jc w:val="both"/>
        <w:rPr>
          <w:rFonts w:ascii="Arial" w:eastAsia="Arial" w:hAnsi="Arial" w:cs="Arial"/>
          <w:color w:val="000000"/>
        </w:rPr>
      </w:pPr>
      <w:r w:rsidRPr="00D54DF9">
        <w:rPr>
          <w:rFonts w:ascii="Arial" w:eastAsia="Arial" w:hAnsi="Arial" w:cs="Arial"/>
          <w:color w:val="000000"/>
        </w:rPr>
        <w:lastRenderedPageBreak/>
        <w:t xml:space="preserve">Úprava nového bodu (2) a) cílí na přemístitelné zdroje (mobilní drtiče a recyklační linky), které nemají stabilní provozovnu a mohou být provozovány na různých místech v rámci kraje. Dále nový bod (2) b) stanoví povinnost zadat informaci o provádění jednorázového měření emisí (např. formou zaškrtnutí ANO/NE) pro stacionární zdroje ohlašující zjednodušeně podle bodu (1) písm. a), která je nezbytná ke splnění reportingové povinnosti uložené směrnicí Evropského parlamentu a Rady 2015/2193 o středních spalovacích zařízeních na roky 2026 a 2031. Omezení na ustanovení § 3 odst. 3 vyhlášky má za cíl vyloučit stacionární zdroje, které neprovádí intervalová jednorázová měření emisí, tj. spalovací stacionární zdroje o jmenovitém tepelném příkonu nižším než 1 MW spalující plynná a kapalná paliva, a současně spalovací stacionární zdroje o jmenovitém tepelném příkonu nižším než 1 MW, které jsou z účinků směrnice vyloučeny. </w:t>
      </w:r>
      <w:r w:rsidRPr="00D54DF9">
        <w:rPr>
          <w:rFonts w:ascii="Arial" w:eastAsia="Arial" w:hAnsi="Arial" w:cs="Arial"/>
          <w:color w:val="000000"/>
        </w:rPr>
        <w:tab/>
      </w:r>
    </w:p>
    <w:p w14:paraId="2677B0F3" w14:textId="77777777" w:rsidR="00D54DF9" w:rsidRPr="00D54DF9" w:rsidRDefault="00000000" w:rsidP="00D54DF9">
      <w:pPr>
        <w:spacing w:after="120"/>
        <w:jc w:val="both"/>
        <w:rPr>
          <w:rFonts w:ascii="Arial" w:eastAsia="Arial" w:hAnsi="Arial" w:cs="Arial"/>
          <w:color w:val="000000"/>
        </w:rPr>
      </w:pPr>
      <w:r w:rsidRPr="00D54DF9">
        <w:rPr>
          <w:rFonts w:ascii="Arial" w:eastAsia="Arial" w:hAnsi="Arial" w:cs="Arial"/>
          <w:color w:val="000000"/>
        </w:rPr>
        <w:t xml:space="preserve">V tabulce 1.1. byl přidán nový bod 3. (Údaje o stacionárních zdrojích) týkající se identifikace stacionárního zdroje, </w:t>
      </w:r>
      <w:bookmarkStart w:id="15" w:name="_Hlk192066060"/>
      <w:r w:rsidRPr="00D54DF9">
        <w:rPr>
          <w:rFonts w:ascii="Arial" w:eastAsia="Arial" w:hAnsi="Arial" w:cs="Arial"/>
          <w:color w:val="000000"/>
        </w:rPr>
        <w:t>na který se vztahují minimální vzdálenosti podle §12a novely zákona</w:t>
      </w:r>
      <w:bookmarkEnd w:id="15"/>
      <w:r w:rsidRPr="00D54DF9">
        <w:rPr>
          <w:rFonts w:ascii="Arial" w:eastAsia="Arial" w:hAnsi="Arial" w:cs="Arial"/>
          <w:color w:val="000000"/>
        </w:rPr>
        <w:t xml:space="preserve">. </w:t>
      </w:r>
    </w:p>
    <w:p w14:paraId="58CC2401" w14:textId="77777777" w:rsidR="00D54DF9" w:rsidRPr="00D54DF9" w:rsidRDefault="00000000" w:rsidP="00D54DF9">
      <w:pPr>
        <w:spacing w:after="120"/>
        <w:jc w:val="both"/>
        <w:rPr>
          <w:rFonts w:ascii="Arial" w:eastAsia="Arial" w:hAnsi="Arial" w:cs="Arial"/>
          <w:color w:val="000000"/>
        </w:rPr>
      </w:pPr>
      <w:r w:rsidRPr="00D54DF9">
        <w:rPr>
          <w:rFonts w:ascii="Arial" w:eastAsia="Arial" w:hAnsi="Arial" w:cs="Arial"/>
          <w:color w:val="000000"/>
        </w:rPr>
        <w:t>Ve vysvětlivce č. 18 a 19 k tabulce 1.2. a ve vysvětlivce č. 6 a 8 k tabulce 1.3. je prostřednictvím navržené změny reflektována skutečnost, že byla přijata vyhláška č. 169/2023 Sb., o stanovení podmínek, při jejichž splnění přestává být tuhé palivo z odpadu odpadem, a je tedy dostupné tuhé palivo z odpadů, které je však nadále možné spalovat pouze v režimu tepelného zpracování odpadu, tato skutečnost se zaznamená do SPE.</w:t>
      </w:r>
    </w:p>
    <w:p w14:paraId="2A8E3061" w14:textId="77777777" w:rsidR="00D54DF9" w:rsidRPr="00D54DF9" w:rsidRDefault="00000000" w:rsidP="00D54DF9">
      <w:pPr>
        <w:spacing w:after="120"/>
        <w:jc w:val="both"/>
        <w:rPr>
          <w:rFonts w:ascii="Arial" w:eastAsia="Arial" w:hAnsi="Arial" w:cs="Arial"/>
          <w:color w:val="000000"/>
        </w:rPr>
      </w:pPr>
      <w:r w:rsidRPr="00D54DF9">
        <w:rPr>
          <w:rFonts w:ascii="Arial" w:eastAsia="Arial" w:hAnsi="Arial" w:cs="Arial"/>
          <w:color w:val="000000"/>
        </w:rPr>
        <w:t>Rozšíření položek 6 a 8 v tabulce 1.3. o elektrickou energii, resp. o spotřebu elektrické energie, umožní zpřesnění charakteru vypouštěných emisí a bude využitelné i v koncepčních dokumentech.</w:t>
      </w:r>
    </w:p>
    <w:p w14:paraId="2BE2AFF0" w14:textId="77777777" w:rsidR="00D54DF9" w:rsidRPr="00D54DF9" w:rsidRDefault="00000000" w:rsidP="00D54DF9">
      <w:pPr>
        <w:spacing w:after="120"/>
        <w:jc w:val="both"/>
        <w:rPr>
          <w:rFonts w:ascii="Arial" w:eastAsia="Arial" w:hAnsi="Arial" w:cs="Arial"/>
          <w:color w:val="000000"/>
        </w:rPr>
      </w:pPr>
      <w:r w:rsidRPr="00D54DF9">
        <w:rPr>
          <w:rFonts w:ascii="Arial" w:eastAsia="Arial" w:hAnsi="Arial" w:cs="Arial"/>
          <w:color w:val="000000"/>
        </w:rPr>
        <w:t xml:space="preserve">Na základě připomínky ve VPŘ byla pod tabulkou 1.5. doplněna vysvětlivka pro provozovatele stacionárních zdrojů, kteří na těchto zdrojích neprovádí každoroční zjišťování emisí, aby vyplnili údaje z posledního pravidelného (intervalového) jednorázového měření emisí. </w:t>
      </w:r>
    </w:p>
    <w:p w14:paraId="32845498" w14:textId="77777777" w:rsidR="00D54DF9" w:rsidRPr="00D54DF9" w:rsidRDefault="00000000" w:rsidP="00D54DF9">
      <w:pPr>
        <w:spacing w:after="120"/>
        <w:jc w:val="both"/>
        <w:rPr>
          <w:rFonts w:ascii="Arial" w:eastAsia="Arial" w:hAnsi="Arial" w:cs="Arial"/>
          <w:color w:val="000000"/>
        </w:rPr>
      </w:pPr>
      <w:r w:rsidRPr="00D54DF9">
        <w:rPr>
          <w:rFonts w:ascii="Arial" w:eastAsia="Arial" w:hAnsi="Arial" w:cs="Arial"/>
          <w:color w:val="000000"/>
        </w:rPr>
        <w:t>Od 1.1. 2026 budou dle novelizovaného znění zákona o ochraně ovzduší výsledky jednorázového měření emisí ohlašovány do ISPOP přímo autorizovanou osobou, část 1.5. se proto od 1. ledna 2026 mění tak, že se výslovně stanoví, že se nepoužije na zdroje provádějící jednorázové měření emisí. Platí nicméně, jak stanoví přechodné ustanovení, že údaje za rok 2025 budou do 31. března 2026 ohlášeny podle úpravy platné v roce 2025, tedy v roce, za který se data ohlašují. Platí totiž, že ohlášení souhrnné provozní evidence probíhá do konce března kalendářního roku následujícího po kalendářním roce, za který se data ohlašují. Ohlášení SPE učiněné provozovateli za rok 2025 i v části 1.5. je nezbytné k získání údajů nezbytných ke splnění reportingové povinnosti uložené směrnicí Evropského parlamentu a Rady 2015/2193 o středních spalovacích zařízeních.</w:t>
      </w:r>
    </w:p>
    <w:p w14:paraId="6A2E8FB7" w14:textId="4273BA06" w:rsidR="00D54DF9" w:rsidRDefault="00000000">
      <w:pPr>
        <w:spacing w:after="120"/>
        <w:jc w:val="both"/>
        <w:rPr>
          <w:rFonts w:ascii="Arial" w:eastAsia="Arial" w:hAnsi="Arial" w:cs="Arial"/>
          <w:color w:val="000000"/>
        </w:rPr>
      </w:pPr>
      <w:r w:rsidRPr="00D54DF9">
        <w:rPr>
          <w:rFonts w:ascii="Arial" w:eastAsia="Arial" w:hAnsi="Arial" w:cs="Arial"/>
          <w:color w:val="000000"/>
        </w:rPr>
        <w:t>Dále budou od 1.1.2028 výsledky kontinuálního měření emisí ohlašovány do ISKO, část 1.5. se proto od 1. ledna 2028 zcela ruší. I v tomto případě je nutné zohlednit přechodné ustanovení, které stanoví, že údaje za rok 2027 budou do 31. března 2028 ohlášeny podle úpravy platné v roce 2027, za který se data ohlašují. Jak již bylo uvedeno, ohlášení souhrnné provozní evidence probíhá v kalendářním roce následujícím po roce, za který se ohlašuje.</w:t>
      </w:r>
    </w:p>
    <w:p w14:paraId="17EE0B5A" w14:textId="383369FA"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7</w:t>
      </w:r>
      <w:r w:rsidR="004B12E2">
        <w:rPr>
          <w:rFonts w:ascii="Arial" w:eastAsiaTheme="majorEastAsia" w:hAnsi="Arial" w:cs="Arial"/>
          <w:b/>
          <w:color w:val="000000" w:themeColor="text1"/>
          <w:szCs w:val="24"/>
          <w:lang w:bidi="en-US"/>
        </w:rPr>
        <w:t>7</w:t>
      </w:r>
      <w:r>
        <w:rPr>
          <w:rFonts w:ascii="Arial" w:eastAsiaTheme="majorEastAsia" w:hAnsi="Arial" w:cs="Arial"/>
          <w:b/>
          <w:color w:val="000000" w:themeColor="text1"/>
          <w:szCs w:val="24"/>
          <w:lang w:bidi="en-US"/>
        </w:rPr>
        <w:t xml:space="preserve"> (příloha č. 12)</w:t>
      </w:r>
    </w:p>
    <w:p w14:paraId="22363817" w14:textId="77777777" w:rsidR="00FF2E95" w:rsidRDefault="00000000">
      <w:pPr>
        <w:spacing w:after="120"/>
        <w:jc w:val="both"/>
        <w:rPr>
          <w:rFonts w:ascii="Arial" w:eastAsia="Calibri" w:hAnsi="Arial" w:cs="Arial"/>
        </w:rPr>
      </w:pPr>
      <w:r>
        <w:rPr>
          <w:rFonts w:ascii="Arial" w:eastAsia="Calibri" w:hAnsi="Arial" w:cs="Arial"/>
        </w:rPr>
        <w:t>S ohledem na množství změn dochází k nahrazení celé přílohy č. 12 – náležitosti provozního řádu.</w:t>
      </w:r>
    </w:p>
    <w:p w14:paraId="15128D45" w14:textId="77777777" w:rsidR="00FF2E95" w:rsidRDefault="00000000">
      <w:pPr>
        <w:spacing w:after="120"/>
        <w:jc w:val="both"/>
        <w:rPr>
          <w:rFonts w:ascii="Arial" w:eastAsia="Calibri" w:hAnsi="Arial" w:cs="Arial"/>
        </w:rPr>
      </w:pPr>
      <w:r>
        <w:rPr>
          <w:rFonts w:ascii="Arial" w:eastAsia="Calibri" w:hAnsi="Arial" w:cs="Arial"/>
        </w:rPr>
        <w:t xml:space="preserve">Dochází k uvedení textace bodu 11 (a sloučení textu z různých jiných bodů) do souladu s příslušnými ustanoveními v § 17 zákona (zejména tak, aby se používaly stejné pojmy). Dále byl doplněn text do bodu č. 7, který by měl obsahovat technické podrobnosti sledování a záznamu provozního parametru. V úvodní části (bod 1) náležitostí je zahrnuta i GPS lokalizace </w:t>
      </w:r>
      <w:r>
        <w:rPr>
          <w:rFonts w:ascii="Arial" w:eastAsia="Calibri" w:hAnsi="Arial" w:cs="Arial"/>
        </w:rPr>
        <w:lastRenderedPageBreak/>
        <w:t>u stacionárních zdrojů, pro které jsou stanoveny minimální vzdálenosti. Byla doplněna povinnost identifikovat problematické oblasti technologie z pohledu prachu a zápachu a byl doplněn taxativní výčet kódů, pro které toto platí (prach). Byl také významně rozšířen seznam kódů, pro které platí povinnost identifikace opatření proti zápachu. Ostatní úpravy jsou víceméně formálního charakteru. Došlo k přesunu některých částí textu tak, aby měly jednotlivé oddíly logickou návaznost a podobné informace byly vždy v jedné kapitole.</w:t>
      </w:r>
    </w:p>
    <w:p w14:paraId="03C24B6A" w14:textId="77777777" w:rsidR="00FF2E95" w:rsidRDefault="00000000">
      <w:pPr>
        <w:spacing w:after="120"/>
        <w:jc w:val="both"/>
        <w:rPr>
          <w:rFonts w:ascii="Arial" w:eastAsia="Calibri" w:hAnsi="Arial" w:cs="Arial"/>
        </w:rPr>
      </w:pPr>
      <w:r>
        <w:rPr>
          <w:rFonts w:ascii="Arial" w:eastAsia="Calibri" w:hAnsi="Arial" w:cs="Arial"/>
        </w:rPr>
        <w:t>Byly sladěny pojmy týkající se závad a poruch tak, aby korespondovaly s příslušnými ustanoveními zákona (§ 17 odst. 3, písm. e) a f)).</w:t>
      </w:r>
    </w:p>
    <w:p w14:paraId="4FD3CF97" w14:textId="77777777" w:rsidR="00FF2E95" w:rsidRDefault="00000000">
      <w:pPr>
        <w:spacing w:after="120"/>
        <w:jc w:val="both"/>
        <w:rPr>
          <w:rFonts w:ascii="Arial" w:eastAsia="Calibri" w:hAnsi="Arial" w:cs="Arial"/>
        </w:rPr>
      </w:pPr>
      <w:r>
        <w:rPr>
          <w:rFonts w:ascii="Arial" w:eastAsia="Calibri" w:hAnsi="Arial" w:cs="Arial"/>
        </w:rPr>
        <w:t>Pro zpracování provozního řádu obecně platí, že se uvádějí jen ty části, které jsou pro daný zdroj relevantní – je tedy logické, že např. popis kontinuálního měření uvede pouze provozovatel zdroje s touto povinností.</w:t>
      </w:r>
    </w:p>
    <w:p w14:paraId="0BCFA289" w14:textId="395CCFF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7</w:t>
      </w:r>
      <w:r w:rsidR="0023273C">
        <w:rPr>
          <w:rFonts w:ascii="Arial" w:eastAsiaTheme="majorEastAsia" w:hAnsi="Arial" w:cs="Arial"/>
          <w:b/>
          <w:color w:val="000000" w:themeColor="text1"/>
          <w:szCs w:val="24"/>
          <w:lang w:bidi="en-US"/>
        </w:rPr>
        <w:t>8</w:t>
      </w:r>
      <w:r>
        <w:rPr>
          <w:rFonts w:ascii="Arial" w:eastAsiaTheme="majorEastAsia" w:hAnsi="Arial" w:cs="Arial"/>
          <w:b/>
          <w:color w:val="000000" w:themeColor="text1"/>
          <w:szCs w:val="24"/>
          <w:lang w:bidi="en-US"/>
        </w:rPr>
        <w:t xml:space="preserve"> (příloha č. 13)</w:t>
      </w:r>
    </w:p>
    <w:p w14:paraId="379B0A9B" w14:textId="77777777" w:rsidR="00FF2E95" w:rsidRDefault="00000000">
      <w:pPr>
        <w:spacing w:after="120"/>
        <w:jc w:val="both"/>
        <w:rPr>
          <w:rFonts w:ascii="Arial" w:eastAsia="Calibri" w:hAnsi="Arial" w:cs="Arial"/>
        </w:rPr>
      </w:pPr>
      <w:r>
        <w:rPr>
          <w:rFonts w:ascii="Arial" w:eastAsia="Calibri" w:hAnsi="Arial" w:cs="Arial"/>
        </w:rPr>
        <w:t>Hlavní změny spočívají v následujících úpravách. Byl rozsáhle doplněn bod 6 (závěr), a sice z toho důvodu, že odborné posudky jsou v této části obvykle zásadním způsobem nedostatečné a absence jakýchkoliv smysluplných doporučení nebývá nijak zdůvodněna. V souvislosti s úpravou § 12 vyhlášky byl doplněn návrh způsobu výpočtu emisí tam, kde by měl být tento způsob stanoven krajským úřadem, neboť odborný posudek coby součást žádosti se jeví jako ideální dokument pro předložení takového návrhu (vzhledem k tomu, že je zpracováván autorizovanou osobou). U zdrojů, pro které jsou stanoveny minimální vzdálenosti se vyžaduje také GPS lokalizace a uvedení vzdálenosti mezi hranou stavebního objektu, případně provozovny, resp. geometrického středu zdroje od ploch v územním plánu, pro které jsou stanoveny minimální vzdálenosti. Jelikož závazné stanovisko, pro které je odborný posudek podkladem, se má řídit minimální vzdáleností, je nezbytné, aby autorizovaná osoba tuto vzdálenost určila v odborném posudku a případně ji porovnala s minimální vzdáleností. Toto je zakotveno také v bodě 6. Ostatní úpravy jsou víceméně formálního charakteru.</w:t>
      </w:r>
    </w:p>
    <w:p w14:paraId="51F2B5EC" w14:textId="645A903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bodu 7</w:t>
      </w:r>
      <w:r w:rsidR="0023273C">
        <w:rPr>
          <w:rFonts w:ascii="Arial" w:eastAsiaTheme="majorEastAsia" w:hAnsi="Arial" w:cs="Arial"/>
          <w:b/>
          <w:color w:val="000000" w:themeColor="text1"/>
          <w:szCs w:val="24"/>
          <w:lang w:bidi="en-US"/>
        </w:rPr>
        <w:t>9</w:t>
      </w:r>
      <w:r>
        <w:rPr>
          <w:rFonts w:ascii="Arial" w:eastAsiaTheme="majorEastAsia" w:hAnsi="Arial" w:cs="Arial"/>
          <w:b/>
          <w:color w:val="000000" w:themeColor="text1"/>
          <w:szCs w:val="24"/>
          <w:lang w:bidi="en-US"/>
        </w:rPr>
        <w:t xml:space="preserve"> (příloha č. 14)</w:t>
      </w:r>
    </w:p>
    <w:p w14:paraId="673A01DD" w14:textId="77777777" w:rsidR="00FF2E95" w:rsidRDefault="00000000">
      <w:pPr>
        <w:spacing w:after="120"/>
        <w:jc w:val="both"/>
        <w:rPr>
          <w:rFonts w:ascii="Arial" w:eastAsia="Calibri" w:hAnsi="Arial" w:cs="Arial"/>
        </w:rPr>
      </w:pPr>
      <w:r>
        <w:rPr>
          <w:rFonts w:ascii="Arial" w:eastAsia="Calibri" w:hAnsi="Arial" w:cs="Arial"/>
        </w:rPr>
        <w:t>S ohledem na množství změn dochází k nahrazení celé přílohy č. 14.</w:t>
      </w:r>
    </w:p>
    <w:p w14:paraId="3766610A" w14:textId="77777777" w:rsidR="00FF2E95" w:rsidRDefault="00000000">
      <w:pPr>
        <w:spacing w:after="120"/>
        <w:jc w:val="both"/>
        <w:rPr>
          <w:rFonts w:ascii="Arial" w:eastAsia="Calibri" w:hAnsi="Arial" w:cs="Arial"/>
        </w:rPr>
      </w:pPr>
      <w:r>
        <w:rPr>
          <w:rFonts w:ascii="Arial" w:eastAsia="Calibri" w:hAnsi="Arial" w:cs="Arial"/>
        </w:rPr>
        <w:t xml:space="preserve">Na základě zmocnění ze zákona o ochraně ovzduší, který stanoví povinnost on-line ohlašování termínu provedení jednorázového měření emisí jsou stanoveny náležitosti ohlášení termínu provedení/změny/zrušení jednorázového měření emisí, které obsahují identifikační znaky provozovatele i stacionárního zdroje, které jsou nezbytnou součástí protokolu o jednorázovém měření emisí. Konkrétně se jedná o identifikační údaje provozovatele a stacionárního zdroje, včetně zařazení stacionárního zdroje, názvu stacionárního zdroje, označení místa měření a jmenovitého tepelného příkonu nebo projektované kapacity, jichž se ohlášení termínu provedení jednorázového měření emisí týká, závazný termín provedení jednorázového měření emisí, </w:t>
      </w:r>
      <w:r>
        <w:rPr>
          <w:rFonts w:ascii="Arial" w:eastAsia="Arial" w:hAnsi="Arial" w:cs="Arial"/>
          <w:color w:val="000000"/>
        </w:rPr>
        <w:t xml:space="preserve"> rozsah znečišťujících látek, jejichž hmotnostní koncentrace jsou předmětem jednorázového měření emisí </w:t>
      </w:r>
      <w:r>
        <w:rPr>
          <w:rFonts w:ascii="Arial" w:eastAsia="Calibri" w:hAnsi="Arial" w:cs="Arial"/>
        </w:rPr>
        <w:t>a identifikační údaje autorizované osoby, která bude jednorázové měření emisí provádět.</w:t>
      </w:r>
    </w:p>
    <w:p w14:paraId="6DA589BB" w14:textId="77777777" w:rsidR="00FF2E95" w:rsidRDefault="00000000">
      <w:pPr>
        <w:spacing w:after="120"/>
        <w:jc w:val="both"/>
        <w:rPr>
          <w:rFonts w:ascii="Arial" w:eastAsia="Calibri" w:hAnsi="Arial" w:cs="Arial"/>
        </w:rPr>
      </w:pPr>
      <w:r>
        <w:rPr>
          <w:rFonts w:ascii="Arial" w:eastAsia="Calibri" w:hAnsi="Arial" w:cs="Arial"/>
        </w:rPr>
        <w:t xml:space="preserve">Změny a zrušení ohlášeného termínu provedení jednorázového měření emisí budou provedeny téže formulářem s vyznačením (zaškrtávací pole), zda se jedná o změnu nebo zrušení termínu provedení jednorázového měření emisí. </w:t>
      </w:r>
      <w:r>
        <w:rPr>
          <w:rFonts w:ascii="Arial" w:eastAsia="Arial" w:hAnsi="Arial" w:cs="Arial"/>
          <w:color w:val="000000"/>
        </w:rPr>
        <w:t> V případě výpadku ISPOP, který bude ověřitelný na stránkách CENIA, lze zrušení jednorázového měření provést zasláním datové zprávy přímo inspekci, aby se zabránilo marnému výjezdu inspektorů. To nicméně nezprošťuje provozovatele povinnosti nahrát toto zrušení termínu jednorázového měření emisí do ISPOP dodatečně, kdy přílohou ohlášení bude datová zpráva zaslaná inspekci v zákonem stanoveném termínu.</w:t>
      </w:r>
    </w:p>
    <w:p w14:paraId="02A1C79E" w14:textId="77777777" w:rsidR="00FF2E95" w:rsidRDefault="00000000">
      <w:pPr>
        <w:spacing w:after="120"/>
        <w:jc w:val="both"/>
        <w:rPr>
          <w:rFonts w:ascii="Arial" w:eastAsia="Calibri" w:hAnsi="Arial" w:cs="Arial"/>
        </w:rPr>
      </w:pPr>
      <w:r>
        <w:rPr>
          <w:rFonts w:ascii="Arial" w:eastAsia="Calibri" w:hAnsi="Arial" w:cs="Arial"/>
        </w:rPr>
        <w:lastRenderedPageBreak/>
        <w:t xml:space="preserve">Odůvodnění navrhované změny náležitostí protokolu o jednorázovém měření emisí </w:t>
      </w:r>
    </w:p>
    <w:p w14:paraId="1373B578" w14:textId="77777777" w:rsidR="00FF2E95" w:rsidRDefault="00000000">
      <w:pPr>
        <w:spacing w:after="120"/>
        <w:jc w:val="both"/>
        <w:rPr>
          <w:rFonts w:ascii="Arial" w:eastAsia="Calibri" w:hAnsi="Arial" w:cs="Arial"/>
        </w:rPr>
      </w:pPr>
      <w:r>
        <w:rPr>
          <w:rFonts w:ascii="Arial" w:eastAsia="Calibri" w:hAnsi="Arial" w:cs="Arial"/>
        </w:rPr>
        <w:t>ISPOP pro účely evidence přidává stacionárním zdrojům svá pořadová čísla, která neodpovídají číslování stacionárních zdrojů u provozovatele a v povolení provozu. Pro účely přesné identifikace stacionárního zdroje v protokolu z jednorázového měření emisí a dále při porovnání z ohlášenou SPE je nezbytné v protokolu uvádět všechna pořadová čísla a označení místa jednorázového měření emisí dle provozního řádu nebo povolení provozu nebo technické dokumentace. Jelikož jsou obě čísla, tj. číslo zdroje přidělené systémem ISPOP i číslo zdroje u provozovatele a v povolení provozu a označení místa měření, obsahem ohlášení termínu provedení jednorázového měření emisí, je jejich převzetí do protokolu o jednorázovém měření emisí triviální.</w:t>
      </w:r>
    </w:p>
    <w:p w14:paraId="40DFE8C2" w14:textId="09691D8B"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bodu </w:t>
      </w:r>
      <w:r w:rsidR="0023273C">
        <w:rPr>
          <w:rFonts w:ascii="Arial" w:eastAsiaTheme="majorEastAsia" w:hAnsi="Arial" w:cs="Arial"/>
          <w:b/>
          <w:color w:val="000000" w:themeColor="text1"/>
          <w:szCs w:val="24"/>
          <w:lang w:bidi="en-US"/>
        </w:rPr>
        <w:t>80</w:t>
      </w:r>
      <w:r>
        <w:rPr>
          <w:rFonts w:ascii="Arial" w:eastAsiaTheme="majorEastAsia" w:hAnsi="Arial" w:cs="Arial"/>
          <w:b/>
          <w:color w:val="000000" w:themeColor="text1"/>
          <w:szCs w:val="24"/>
          <w:lang w:bidi="en-US"/>
        </w:rPr>
        <w:t xml:space="preserve"> (příloha č. 15)</w:t>
      </w:r>
    </w:p>
    <w:p w14:paraId="68F12939" w14:textId="77777777" w:rsidR="00FF2E95" w:rsidRDefault="00000000">
      <w:pPr>
        <w:spacing w:after="120"/>
        <w:jc w:val="both"/>
        <w:rPr>
          <w:rFonts w:ascii="Arial" w:eastAsia="Calibri" w:hAnsi="Arial" w:cs="Arial"/>
        </w:rPr>
      </w:pPr>
      <w:r>
        <w:rPr>
          <w:rFonts w:ascii="Arial" w:eastAsia="Calibri" w:hAnsi="Arial" w:cs="Arial"/>
        </w:rPr>
        <w:t>S ohledem na množství změn dochází k nahrazení celé přílohy č. 15.</w:t>
      </w:r>
    </w:p>
    <w:p w14:paraId="06C76C3E" w14:textId="77777777" w:rsidR="00FF2E95" w:rsidRDefault="00000000">
      <w:pPr>
        <w:spacing w:after="120"/>
        <w:jc w:val="both"/>
        <w:rPr>
          <w:rFonts w:ascii="Arial" w:eastAsia="Calibri" w:hAnsi="Arial" w:cs="Arial"/>
        </w:rPr>
      </w:pPr>
      <w:r>
        <w:rPr>
          <w:rFonts w:ascii="Arial" w:eastAsia="Calibri" w:hAnsi="Arial" w:cs="Arial"/>
        </w:rPr>
        <w:t>V praxi se ukázalo, že řada zpracovatelů rozptylových studií sice formálně naplňuje jejich obsahové náležitosti, ale způsob naplnění neumožňuje jednoduchou kontrolu jejich přesnosti a správnosti. Doplňuje se proto obecná náležitost, která stanoví obecné podmínky pro podobu rozptylových studií.</w:t>
      </w:r>
    </w:p>
    <w:p w14:paraId="2B9035A8" w14:textId="77777777" w:rsidR="00FF2E95" w:rsidRDefault="00000000">
      <w:pPr>
        <w:spacing w:after="120"/>
        <w:jc w:val="both"/>
        <w:rPr>
          <w:rFonts w:ascii="Arial" w:eastAsia="Calibri" w:hAnsi="Arial" w:cs="Arial"/>
        </w:rPr>
      </w:pPr>
      <w:r>
        <w:rPr>
          <w:rFonts w:ascii="Arial" w:eastAsia="Calibri" w:hAnsi="Arial" w:cs="Arial"/>
        </w:rPr>
        <w:t>Ad 3.2 a) a b) Údaje o zdrojích</w:t>
      </w:r>
    </w:p>
    <w:p w14:paraId="56672B2C" w14:textId="77777777" w:rsidR="00FF2E95" w:rsidRDefault="00000000">
      <w:pPr>
        <w:spacing w:after="120"/>
        <w:jc w:val="both"/>
        <w:rPr>
          <w:rFonts w:ascii="Arial" w:eastAsia="Calibri" w:hAnsi="Arial" w:cs="Arial"/>
        </w:rPr>
      </w:pPr>
      <w:r>
        <w:rPr>
          <w:rFonts w:ascii="Arial" w:eastAsia="Calibri" w:hAnsi="Arial" w:cs="Arial"/>
        </w:rPr>
        <w:t xml:space="preserve">Ustanovení je na základě praktických zkušeností s rozptylovými studiemi rozšířeno takovým způsobem, aby technologické vybavení předmětného stacionárního zdroje bylo popsáno především s ohledem na emise tohoto zdroje. Doposud sice byly u některých rozptylových studií uváděny podrobné informace o konkrétní technologii, avšak chyběly klíčové informace o emisích, příp. skutečnostech, které je mohou ovlivňovat. </w:t>
      </w:r>
    </w:p>
    <w:p w14:paraId="4EF01937" w14:textId="77777777" w:rsidR="00FF2E95" w:rsidRDefault="00000000">
      <w:pPr>
        <w:spacing w:after="120"/>
        <w:jc w:val="both"/>
        <w:rPr>
          <w:rFonts w:ascii="Arial" w:eastAsia="Calibri" w:hAnsi="Arial" w:cs="Arial"/>
        </w:rPr>
      </w:pPr>
      <w:r>
        <w:rPr>
          <w:rFonts w:ascii="Arial" w:eastAsia="Calibri" w:hAnsi="Arial" w:cs="Arial"/>
        </w:rPr>
        <w:t>Ad 3.2. c) Údaje o zdrojích</w:t>
      </w:r>
    </w:p>
    <w:p w14:paraId="6C0431D6" w14:textId="77777777" w:rsidR="00FF2E95" w:rsidRDefault="00000000">
      <w:pPr>
        <w:spacing w:after="120"/>
        <w:jc w:val="both"/>
        <w:rPr>
          <w:rFonts w:ascii="Arial" w:eastAsia="Calibri" w:hAnsi="Arial" w:cs="Arial"/>
        </w:rPr>
      </w:pPr>
      <w:r>
        <w:rPr>
          <w:rFonts w:ascii="Arial" w:eastAsia="Calibri" w:hAnsi="Arial" w:cs="Arial"/>
        </w:rPr>
        <w:t>Výčet požadovaných informací je nově rozšířen o rychlost a plynulost dopravy, což jsou parametry, které vstupují do výpočtu výsledného stavu kvality ovzduší a mohou ho zásadním způsobem ovlivnit.</w:t>
      </w:r>
    </w:p>
    <w:p w14:paraId="77F8DD4B" w14:textId="77777777" w:rsidR="00FF2E95" w:rsidRDefault="00000000">
      <w:pPr>
        <w:spacing w:after="120"/>
        <w:jc w:val="both"/>
        <w:rPr>
          <w:rFonts w:ascii="Arial" w:eastAsia="Calibri" w:hAnsi="Arial" w:cs="Arial"/>
        </w:rPr>
      </w:pPr>
      <w:r>
        <w:rPr>
          <w:rFonts w:ascii="Arial" w:eastAsia="Calibri" w:hAnsi="Arial" w:cs="Arial"/>
        </w:rPr>
        <w:t>Ad 3.3. Meteorologické podklady</w:t>
      </w:r>
    </w:p>
    <w:p w14:paraId="214E7E82" w14:textId="77777777" w:rsidR="00FF2E95" w:rsidRDefault="00000000">
      <w:pPr>
        <w:spacing w:after="120"/>
        <w:jc w:val="both"/>
        <w:rPr>
          <w:rFonts w:ascii="Arial" w:eastAsia="Calibri" w:hAnsi="Arial" w:cs="Arial"/>
        </w:rPr>
      </w:pPr>
      <w:r>
        <w:rPr>
          <w:rFonts w:ascii="Arial" w:eastAsia="Calibri" w:hAnsi="Arial" w:cs="Arial"/>
        </w:rPr>
        <w:t>Požadavky na meteorologické podklady byly aktualizovány tak, aby lépe odpovídaly aktuální dobré praxi (pokrytí 10 z 15 let, využití dat dle potřeb modelu) a zároveň umožňovaly snadnější kontrolu správnosti (uvedení veškerých dat, zpracovatele).</w:t>
      </w:r>
    </w:p>
    <w:p w14:paraId="5B58093B" w14:textId="77777777" w:rsidR="00FF2E95" w:rsidRDefault="00000000">
      <w:pPr>
        <w:spacing w:after="120"/>
        <w:jc w:val="both"/>
        <w:rPr>
          <w:rFonts w:ascii="Arial" w:eastAsia="Calibri" w:hAnsi="Arial" w:cs="Arial"/>
        </w:rPr>
      </w:pPr>
      <w:r>
        <w:rPr>
          <w:rFonts w:ascii="Arial" w:eastAsia="Calibri" w:hAnsi="Arial" w:cs="Arial"/>
        </w:rPr>
        <w:t>Ad 3.5 Znečišťující látky a příslušné imisní limity</w:t>
      </w:r>
    </w:p>
    <w:p w14:paraId="5B670BA0" w14:textId="77777777" w:rsidR="00FF2E95" w:rsidRDefault="00000000">
      <w:pPr>
        <w:spacing w:after="120"/>
        <w:jc w:val="both"/>
        <w:rPr>
          <w:rFonts w:ascii="Arial" w:eastAsia="Calibri" w:hAnsi="Arial" w:cs="Arial"/>
        </w:rPr>
      </w:pPr>
      <w:r>
        <w:rPr>
          <w:rFonts w:ascii="Arial" w:eastAsia="Calibri" w:hAnsi="Arial" w:cs="Arial"/>
        </w:rPr>
        <w:t>Doplnění odkazu na konkrétní ustanovení zákona o ochraně ovzduší odstraňuje možnou interpretační nejistotu, protože jednoznačně stanovuje, o jaké imisní limity se jedná.</w:t>
      </w:r>
    </w:p>
    <w:p w14:paraId="1B35E83F" w14:textId="1AAA73FD"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bodu </w:t>
      </w:r>
      <w:r w:rsidR="0023273C">
        <w:rPr>
          <w:rFonts w:ascii="Arial" w:eastAsiaTheme="majorEastAsia" w:hAnsi="Arial" w:cs="Arial"/>
          <w:b/>
          <w:color w:val="000000" w:themeColor="text1"/>
          <w:szCs w:val="24"/>
          <w:lang w:bidi="en-US"/>
        </w:rPr>
        <w:t>81</w:t>
      </w:r>
      <w:r>
        <w:rPr>
          <w:rFonts w:ascii="Arial" w:eastAsiaTheme="majorEastAsia" w:hAnsi="Arial" w:cs="Arial"/>
          <w:b/>
          <w:color w:val="000000" w:themeColor="text1"/>
          <w:szCs w:val="24"/>
          <w:lang w:bidi="en-US"/>
        </w:rPr>
        <w:t xml:space="preserve"> (příloha č. 17)</w:t>
      </w:r>
    </w:p>
    <w:p w14:paraId="7E1B7AAC"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Tato část vyhlášky upravuje způsob stanovení specifického emisního limitu na základě zmocnění v § 4 odst. 7 zákona. Jedná se o případy, kdy je v souladu s § 4 odst. 2 a 3 stanovován v povolení provozu stacionárního zdroje specifický emisní limit na hodnotě, která je nižší než hodnota specifického emisního limitu uvedeného v této vyhlášce nebo je stanovován pro znečišťující látku, pro kterou v této vyhlášce specifický emisní limit vůbec není.</w:t>
      </w:r>
    </w:p>
    <w:p w14:paraId="7F3E04C1" w14:textId="77777777" w:rsidR="00FF2E95" w:rsidRDefault="00000000">
      <w:pPr>
        <w:spacing w:after="120"/>
        <w:jc w:val="both"/>
        <w:rPr>
          <w:rFonts w:ascii="Arial" w:eastAsia="Calibri" w:hAnsi="Arial" w:cs="Arial"/>
        </w:rPr>
      </w:pPr>
      <w:r>
        <w:rPr>
          <w:rFonts w:ascii="Arial" w:eastAsia="Calibri" w:hAnsi="Arial" w:cs="Arial"/>
        </w:rPr>
        <w:t xml:space="preserve">Stanoveny jsou zásady pro ukládání specifických emisních limitů nad rámec této vyhlášky nebo pro jejich zpřísňování. Většina zásad vychází z premisy, že specifický emisní limit by měl mít regulační účinek. Což znamená, že jeho plnění zajišťuje řádný provoz zařízení ke snižování emisí nebo provádění opatření ke snižování emisí. Podobně je konstruována příloha č. 17 již nyní, nicméně její působnost je změnou zákonného zmocnění rozšířena na všechny </w:t>
      </w:r>
      <w:r>
        <w:rPr>
          <w:rFonts w:ascii="Arial" w:eastAsia="Calibri" w:hAnsi="Arial" w:cs="Arial"/>
        </w:rPr>
        <w:lastRenderedPageBreak/>
        <w:t>znečišťující látky. Kromě samotných hodnot jsou zde stanoveny i zásady pro stanovení vztažných podmínek. Vztažné podmínky A (přepočet na normální stavové podmínky) se používají vždy tam, kde je předpoklad, že měřená vzdušina bude mít vysokou teplotu a že tato teplota bude zkreslovat reálný význam naměřené koncentrace z důvodu teplotní roztažnosti plynů. Ve vztahu k zápachu je specifikováno, že pachové jednotky lze použít pouze tam, kde nelze použít specifický emisní limit vyjádřený jako koncentrace znečišťující látky. Je tomu tak proto, že pachová jednotka není fyzikální veličinou a měla by být použita až tehdy, nelze-li provádění opatření (provoz zařízení ke snížení emisí) vymáhat jiným způsobem (např. přes koncentraci VOC). Dále je specifikováno, že v případě, že se jedná o prevenci zápachu, se výše emisního limitu neodvíjí od absence zápachu v obytné zástavbě, ale od technických možností zvoleného opatření (platí stále stejné zásady). Úlohou povolovacího procesu není eliminace zápachu (absence zápachu v obytné zástavbě je primárně určena správným územním plánováním, resp. vzdáleností zástavby od zdroje), ale maximální využití dostupných opatření a zajištění jejich vymahatelnosti a kontrolovatelnosti.</w:t>
      </w:r>
    </w:p>
    <w:p w14:paraId="09494C17" w14:textId="5D8A2F99"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bodu </w:t>
      </w:r>
      <w:r w:rsidR="0023273C">
        <w:rPr>
          <w:rFonts w:ascii="Arial" w:eastAsiaTheme="majorEastAsia" w:hAnsi="Arial" w:cs="Arial"/>
          <w:b/>
          <w:color w:val="000000" w:themeColor="text1"/>
          <w:szCs w:val="24"/>
          <w:lang w:bidi="en-US"/>
        </w:rPr>
        <w:t>82</w:t>
      </w:r>
      <w:r>
        <w:rPr>
          <w:rFonts w:ascii="Arial" w:eastAsiaTheme="majorEastAsia" w:hAnsi="Arial" w:cs="Arial"/>
          <w:b/>
          <w:color w:val="000000" w:themeColor="text1"/>
          <w:szCs w:val="24"/>
          <w:lang w:bidi="en-US"/>
        </w:rPr>
        <w:t xml:space="preserve"> (příloha č. 18)</w:t>
      </w:r>
    </w:p>
    <w:p w14:paraId="5BF8B817"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Drobná úprava v příloze č. 18 reflektuje vstup v účinnost zákazu provozování kotlů na pevná paliva nesplňujících požadavky přílohy č. 11 zákona od 1. 9. 2022, resp. 2024.</w:t>
      </w:r>
    </w:p>
    <w:p w14:paraId="6FBB2ADC" w14:textId="7362DD4B"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 xml:space="preserve">K bodu </w:t>
      </w:r>
      <w:r w:rsidR="0023273C">
        <w:rPr>
          <w:rFonts w:ascii="Arial" w:eastAsiaTheme="majorEastAsia" w:hAnsi="Arial" w:cs="Arial"/>
          <w:b/>
          <w:color w:val="000000" w:themeColor="text1"/>
          <w:szCs w:val="24"/>
          <w:lang w:bidi="en-US"/>
        </w:rPr>
        <w:t>83</w:t>
      </w:r>
      <w:r>
        <w:rPr>
          <w:rFonts w:ascii="Arial" w:eastAsiaTheme="majorEastAsia" w:hAnsi="Arial" w:cs="Arial"/>
          <w:b/>
          <w:color w:val="000000" w:themeColor="text1"/>
          <w:szCs w:val="24"/>
          <w:lang w:bidi="en-US"/>
        </w:rPr>
        <w:t xml:space="preserve"> (přílohy č. 19 až 24)</w:t>
      </w:r>
    </w:p>
    <w:p w14:paraId="7A683853"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Doplnění nových příloh v návaznosti na rozšíření zákonných zmocnění.</w:t>
      </w:r>
    </w:p>
    <w:p w14:paraId="0B45B27B" w14:textId="77777777" w:rsidR="00FF2E95" w:rsidRDefault="00000000">
      <w:pPr>
        <w:pBdr>
          <w:top w:val="nil"/>
          <w:left w:val="nil"/>
          <w:bottom w:val="nil"/>
          <w:right w:val="nil"/>
        </w:pBdr>
        <w:spacing w:after="120" w:line="235" w:lineRule="atLeast"/>
        <w:jc w:val="both"/>
        <w:rPr>
          <w:rFonts w:ascii="Arial" w:eastAsia="Calibri" w:hAnsi="Arial" w:cs="Arial"/>
          <w:u w:val="single"/>
        </w:rPr>
      </w:pPr>
      <w:r>
        <w:rPr>
          <w:rFonts w:ascii="Arial" w:eastAsia="Calibri" w:hAnsi="Arial" w:cs="Arial"/>
          <w:u w:val="single"/>
        </w:rPr>
        <w:t>K příloze č. 19</w:t>
      </w:r>
    </w:p>
    <w:p w14:paraId="0BDCC292" w14:textId="5B75AF76"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V příloze č. 19 je na základě zmocnění</w:t>
      </w:r>
      <w:r w:rsidR="007D4F3A">
        <w:rPr>
          <w:rFonts w:ascii="Arial" w:eastAsia="Calibri" w:hAnsi="Arial" w:cs="Arial"/>
        </w:rPr>
        <w:t xml:space="preserve"> </w:t>
      </w:r>
      <w:r>
        <w:rPr>
          <w:rFonts w:ascii="Arial" w:eastAsia="Calibri" w:hAnsi="Arial" w:cs="Arial"/>
        </w:rPr>
        <w:t>stanoveno, pro které kódy a které technologie odlučovačů, má být provozní parametr sledován a kontinuálně zaznamenáván. Obě podmínky jsou kumulativní, to znamená, že specifický emisní limit je plněn díky provozu některého ze zde uvedených odlučovačů a současně se jedná o kód, který je předmětem výčtu.</w:t>
      </w:r>
    </w:p>
    <w:p w14:paraId="2F21231F"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 xml:space="preserve">Obecně jsou zde zařazeny zejména zpracovatelské činnosti v oblasti zpracování kovů a nerostných surovin, které bývají nejčastěji zdrojem TZL. Dále se ve výčtu vyskytují některé činnosti produkující VOC, které bývají zdrojem zápachu. Nástroj však není omezen pouze na tyto znečišťující látky. Tabulka zařízení ke snižování emisí, pro který se má tento nástroj aplikovat, obsahuje také zařízení ke snižování emisí oxidů dusíku, kde je při využití SNCR či SCR navrhováno sledování teploty odpadního plynu a současně spotřeby redukčního činidla, aby byla získána vypovídající informace o provozu těchto zařízení ke snižování emisí, když samostatné zjišťování těchto veličin dostatečnou vypovídací schopnost neposkytne. Obě veličiny jsou součástí řídících systémů SNCR i SCR. </w:t>
      </w:r>
    </w:p>
    <w:p w14:paraId="254D2C10"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Stanovením rozsahu a podmínek je zcela naplněno zákonné zmocnění. Podrobný technický popis jednotlivých způsobů sledování a záznamu je pak otázkou konkrétních řešení, které by měly být stanoveny v provozním řádu (případně přímo v povolení provozu).</w:t>
      </w:r>
    </w:p>
    <w:p w14:paraId="46EFCBF0"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 xml:space="preserve">U některých kódů jsou množiny stacionárních zdrojů zúženy. Jelikož se jedná o provozní parametry, jejichž sledování doplňuje jednorázové měření emisí, je zřejmé, že zdroje, které měří emise kontinuálně, nebudou nepřetržitě sledovat provozní parametr, i když v tomto výčtu třeba budou uvedeny. </w:t>
      </w:r>
    </w:p>
    <w:p w14:paraId="786F9EEF" w14:textId="77777777" w:rsidR="00FF2E95" w:rsidRDefault="00000000">
      <w:pPr>
        <w:pBdr>
          <w:top w:val="nil"/>
          <w:left w:val="nil"/>
          <w:bottom w:val="nil"/>
          <w:right w:val="nil"/>
        </w:pBdr>
        <w:spacing w:after="120" w:line="235" w:lineRule="atLeast"/>
        <w:jc w:val="both"/>
        <w:rPr>
          <w:rFonts w:ascii="Arial" w:eastAsia="Calibri" w:hAnsi="Arial" w:cs="Arial"/>
          <w:u w:val="single"/>
        </w:rPr>
      </w:pPr>
      <w:r>
        <w:rPr>
          <w:rFonts w:ascii="Arial" w:eastAsia="Calibri" w:hAnsi="Arial" w:cs="Arial"/>
          <w:u w:val="single"/>
        </w:rPr>
        <w:t>K příloze č. 20</w:t>
      </w:r>
    </w:p>
    <w:p w14:paraId="6D31347A"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 xml:space="preserve">Upravuje minimální vzdálenosti, vymezené plochy a způsob jejich použití. Plochy jsou zvoleny s ohledem na plochy, které jsou trvale využívány k bydlení, případně plochy související a hodnoty vzdáleností vycházejí z výzkumu zadaného TAČR (projektové číslo </w:t>
      </w:r>
      <w:r>
        <w:t>TITOMZP903</w:t>
      </w:r>
      <w:r>
        <w:rPr>
          <w:rFonts w:ascii="Arial" w:eastAsia="Calibri" w:hAnsi="Arial" w:cs="Arial"/>
        </w:rPr>
        <w:t xml:space="preserve">): </w:t>
      </w:r>
    </w:p>
    <w:p w14:paraId="13B71DB1" w14:textId="77777777" w:rsidR="00FF2E95" w:rsidRDefault="00FF2E95">
      <w:pPr>
        <w:pBdr>
          <w:top w:val="nil"/>
          <w:left w:val="nil"/>
          <w:bottom w:val="nil"/>
          <w:right w:val="nil"/>
        </w:pBdr>
        <w:spacing w:after="120" w:line="235" w:lineRule="atLeast"/>
        <w:jc w:val="both"/>
        <w:rPr>
          <w:rFonts w:ascii="Arial" w:eastAsia="Calibri" w:hAnsi="Arial" w:cs="Arial"/>
        </w:rPr>
      </w:pPr>
      <w:hyperlink r:id="rId10" w:tooltip="https://www.mzp.cz/C1257458002F0DC7/cz/zdroje_znecistovani_ovzdusi/$FILE/OOO-ProjektTACR_TITOMZP903_ Zaverecna_ zprava-20240531.pdf" w:history="1">
        <w:r>
          <w:rPr>
            <w:rStyle w:val="Hypertextovodkaz"/>
            <w:rFonts w:ascii="Arial" w:eastAsia="Calibri" w:hAnsi="Arial" w:cs="Arial"/>
          </w:rPr>
          <w:t>https://www.mzp.cz/C1257458002F0DC7/cz/zdroje_znecistovani_ovzdusi/$FILE/OOO-ProjektTACR_TITOMZP903_%20Zaverecna_%20zprava-20240531.pdf</w:t>
        </w:r>
      </w:hyperlink>
    </w:p>
    <w:p w14:paraId="72FABC08" w14:textId="65D8C8B1"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lastRenderedPageBreak/>
        <w:t xml:space="preserve">Nastavené hodnoty odpovídají stavu při realizaci dostupných opatření. Představují tedy jakési dělítko mezi tím, kdy je ještě situace řešitelná čistě technickými opatřeními a kdy se z potenciálního problému stává otázka správného využití území. Toto může mj. znamenat, že v případě opakovaných podnětů na zdroje, kde není dodržena vzdálenost, podaných na ČIŽP mohou být po vyčerpání technických možností tyto podněty </w:t>
      </w:r>
      <w:r w:rsidR="0023273C">
        <w:rPr>
          <w:rFonts w:ascii="Arial" w:eastAsia="Calibri" w:hAnsi="Arial" w:cs="Arial"/>
        </w:rPr>
        <w:t>odkládány – zejména</w:t>
      </w:r>
      <w:r>
        <w:rPr>
          <w:rFonts w:ascii="Arial" w:eastAsia="Calibri" w:hAnsi="Arial" w:cs="Arial"/>
        </w:rPr>
        <w:t xml:space="preserve"> pokud byla výroba v území </w:t>
      </w:r>
      <w:r w:rsidR="00EA3215">
        <w:rPr>
          <w:rFonts w:ascii="Arial" w:eastAsia="Calibri" w:hAnsi="Arial" w:cs="Arial"/>
        </w:rPr>
        <w:t>dříve</w:t>
      </w:r>
      <w:r>
        <w:rPr>
          <w:rFonts w:ascii="Arial" w:eastAsia="Calibri" w:hAnsi="Arial" w:cs="Arial"/>
        </w:rPr>
        <w:t xml:space="preserve"> než obytná zástavba. ČIŽP bude moci v takových případech věc uzavřít s tím, že problém vznikl nesprávným umístěním obytné zástavby, resp. nesprávným využitím území. Podrobné zdůvodnění této úpravy je popsáno v důvodové zprávě k příslušné novele zákona.</w:t>
      </w:r>
    </w:p>
    <w:p w14:paraId="180C699B" w14:textId="77777777" w:rsidR="00FF2E95" w:rsidRDefault="00000000">
      <w:pPr>
        <w:pBdr>
          <w:top w:val="nil"/>
          <w:left w:val="nil"/>
          <w:bottom w:val="nil"/>
          <w:right w:val="nil"/>
        </w:pBdr>
        <w:spacing w:after="120" w:line="235" w:lineRule="atLeast"/>
        <w:jc w:val="both"/>
        <w:rPr>
          <w:rFonts w:ascii="Arial" w:eastAsia="Calibri" w:hAnsi="Arial" w:cs="Arial"/>
          <w:u w:val="single"/>
        </w:rPr>
      </w:pPr>
      <w:r>
        <w:rPr>
          <w:rFonts w:ascii="Arial" w:eastAsia="Calibri" w:hAnsi="Arial" w:cs="Arial"/>
          <w:u w:val="single"/>
        </w:rPr>
        <w:t>K příloze č. 21</w:t>
      </w:r>
    </w:p>
    <w:p w14:paraId="2F3C2BF6" w14:textId="77777777" w:rsidR="00FF2E95" w:rsidRDefault="00000000">
      <w:pPr>
        <w:pBdr>
          <w:top w:val="nil"/>
          <w:left w:val="nil"/>
          <w:bottom w:val="nil"/>
          <w:right w:val="nil"/>
        </w:pBdr>
        <w:spacing w:line="257" w:lineRule="auto"/>
        <w:rPr>
          <w:rFonts w:ascii="Arial" w:eastAsia="Arial" w:hAnsi="Arial" w:cs="Arial"/>
          <w:color w:val="000000"/>
        </w:rPr>
      </w:pPr>
      <w:r>
        <w:rPr>
          <w:rFonts w:ascii="Arial" w:eastAsia="Calibri" w:hAnsi="Arial" w:cs="Arial"/>
        </w:rPr>
        <w:t xml:space="preserve">Upravuje náležitosti hlášení o plnění opatření programu zlepšování kvality ovzduší a náležitosti časového plánu provádění opatření programu zlepšování kvality ovzduší. </w:t>
      </w:r>
      <w:r>
        <w:rPr>
          <w:rFonts w:ascii="Arial" w:eastAsia="Arial" w:hAnsi="Arial" w:cs="Arial"/>
          <w:color w:val="000000"/>
        </w:rPr>
        <w:t>Obě hlášení byla navržena tak, aby odpovídala stávající praxi s tvorbou časového plánu. Příloha č. 21 tak zcela přebírá formulář tak jak již je navržen v nezávazné podobě na webových stránkách MŽP:</w:t>
      </w:r>
    </w:p>
    <w:p w14:paraId="326F4F3D" w14:textId="77777777" w:rsidR="00FF2E95" w:rsidRDefault="00000000">
      <w:pPr>
        <w:pBdr>
          <w:top w:val="nil"/>
          <w:left w:val="nil"/>
          <w:bottom w:val="nil"/>
          <w:right w:val="nil"/>
        </w:pBdr>
        <w:spacing w:line="257" w:lineRule="auto"/>
        <w:rPr>
          <w:rFonts w:ascii="Arial" w:eastAsia="Arial" w:hAnsi="Arial" w:cs="Arial"/>
          <w:color w:val="000000"/>
        </w:rPr>
      </w:pPr>
      <w:r>
        <w:rPr>
          <w:rFonts w:ascii="Arial" w:eastAsia="Arial" w:hAnsi="Arial" w:cs="Arial"/>
          <w:color w:val="000000"/>
        </w:rPr>
        <w:t>https://www.mzp.cz/C1257458002F0DC7/cz/programy_zlepsovani_kvality_ovzdusi/$FILE/OOO-vzor_Casovy_plan-20211126.docx</w:t>
      </w:r>
    </w:p>
    <w:p w14:paraId="733FACF3" w14:textId="77777777" w:rsidR="00FF2E95" w:rsidRDefault="00000000">
      <w:pPr>
        <w:pBdr>
          <w:top w:val="nil"/>
          <w:left w:val="nil"/>
          <w:bottom w:val="nil"/>
          <w:right w:val="nil"/>
        </w:pBdr>
        <w:spacing w:line="257" w:lineRule="auto"/>
        <w:rPr>
          <w:rFonts w:ascii="Arial" w:eastAsia="Arial" w:hAnsi="Arial" w:cs="Arial"/>
          <w:color w:val="000000"/>
        </w:rPr>
      </w:pPr>
      <w:r>
        <w:rPr>
          <w:rFonts w:ascii="Arial" w:eastAsia="Arial" w:hAnsi="Arial" w:cs="Arial"/>
          <w:color w:val="000000"/>
        </w:rPr>
        <w:t xml:space="preserve">Zde uvádíme, že stávající formulář je mezi adresáty PZKO již zažitý a řada obcí jej již ve své praxi používá.  Oba formuláře obsahují (v souladu se stávající praxí) následující položky, které umožňují sledovat stav plnění opatření a zodpovědností za jednotlivé aspekty jejich naplnění: </w:t>
      </w:r>
    </w:p>
    <w:p w14:paraId="6CDAE5A7" w14:textId="3F27C64C" w:rsidR="00FF2E95" w:rsidRDefault="00000000">
      <w:pPr>
        <w:pStyle w:val="Odstavecseseznamem"/>
        <w:numPr>
          <w:ilvl w:val="0"/>
          <w:numId w:val="8"/>
        </w:numPr>
        <w:pBdr>
          <w:top w:val="nil"/>
          <w:left w:val="nil"/>
          <w:bottom w:val="nil"/>
          <w:right w:val="nil"/>
        </w:pBdr>
        <w:spacing w:line="257" w:lineRule="auto"/>
        <w:rPr>
          <w:rFonts w:ascii="Arial" w:eastAsia="Arial" w:hAnsi="Arial" w:cs="Arial"/>
          <w:color w:val="000000"/>
        </w:rPr>
      </w:pPr>
      <w:r>
        <w:rPr>
          <w:rFonts w:ascii="Arial" w:eastAsia="Arial" w:hAnsi="Arial" w:cs="Arial"/>
          <w:color w:val="000000"/>
        </w:rPr>
        <w:t xml:space="preserve">Kód opatření, Název </w:t>
      </w:r>
      <w:r w:rsidR="0023273C">
        <w:rPr>
          <w:rFonts w:ascii="Arial" w:eastAsia="Arial" w:hAnsi="Arial" w:cs="Arial"/>
          <w:color w:val="000000"/>
        </w:rPr>
        <w:t>opatření – umožňují</w:t>
      </w:r>
      <w:r>
        <w:rPr>
          <w:rFonts w:ascii="Arial" w:eastAsia="Arial" w:hAnsi="Arial" w:cs="Arial"/>
          <w:color w:val="000000"/>
        </w:rPr>
        <w:t xml:space="preserve"> jednoznačnou identifikaci vazby na opatření v PZKO. </w:t>
      </w:r>
    </w:p>
    <w:p w14:paraId="24A92FC8" w14:textId="3A821F84" w:rsidR="00FF2E95" w:rsidRDefault="00000000">
      <w:pPr>
        <w:pStyle w:val="Odstavecseseznamem"/>
        <w:numPr>
          <w:ilvl w:val="0"/>
          <w:numId w:val="8"/>
        </w:numPr>
        <w:pBdr>
          <w:top w:val="nil"/>
          <w:left w:val="nil"/>
          <w:bottom w:val="nil"/>
          <w:right w:val="nil"/>
        </w:pBdr>
        <w:spacing w:line="257" w:lineRule="auto"/>
        <w:rPr>
          <w:rFonts w:ascii="Arial" w:eastAsia="Arial" w:hAnsi="Arial" w:cs="Arial"/>
          <w:color w:val="000000"/>
        </w:rPr>
      </w:pPr>
      <w:r>
        <w:rPr>
          <w:rFonts w:ascii="Arial" w:eastAsia="Arial" w:hAnsi="Arial" w:cs="Arial"/>
          <w:color w:val="000000"/>
        </w:rPr>
        <w:t xml:space="preserve">Gesce – zajišťuje jednoznačnou identifikaci zodpovědného útvaru za provádění opatření </w:t>
      </w:r>
    </w:p>
    <w:p w14:paraId="099AC5BB" w14:textId="77777777" w:rsidR="00FF2E95" w:rsidRDefault="00000000">
      <w:pPr>
        <w:pStyle w:val="Odstavecseseznamem"/>
        <w:numPr>
          <w:ilvl w:val="0"/>
          <w:numId w:val="8"/>
        </w:numPr>
        <w:pBdr>
          <w:top w:val="nil"/>
          <w:left w:val="nil"/>
          <w:bottom w:val="nil"/>
          <w:right w:val="nil"/>
        </w:pBdr>
        <w:spacing w:line="257" w:lineRule="auto"/>
        <w:rPr>
          <w:rFonts w:ascii="Arial" w:eastAsia="Arial" w:hAnsi="Arial" w:cs="Arial"/>
          <w:color w:val="000000"/>
        </w:rPr>
      </w:pPr>
      <w:r>
        <w:rPr>
          <w:rFonts w:ascii="Arial" w:eastAsia="Arial" w:hAnsi="Arial" w:cs="Arial"/>
          <w:color w:val="000000"/>
        </w:rPr>
        <w:t>Způsob provádění opatření (Aktivita, Dílčí kroky, Interní gesce) - umožňují sledování postupu prací na realizaci opatření</w:t>
      </w:r>
    </w:p>
    <w:p w14:paraId="11A041A5" w14:textId="77777777" w:rsidR="00FF2E95" w:rsidRDefault="00000000">
      <w:pPr>
        <w:pStyle w:val="Odstavecseseznamem"/>
        <w:numPr>
          <w:ilvl w:val="0"/>
          <w:numId w:val="8"/>
        </w:numPr>
        <w:pBdr>
          <w:top w:val="nil"/>
          <w:left w:val="nil"/>
          <w:bottom w:val="nil"/>
          <w:right w:val="nil"/>
        </w:pBdr>
        <w:spacing w:line="257" w:lineRule="auto"/>
        <w:rPr>
          <w:rFonts w:ascii="Arial" w:eastAsia="Arial" w:hAnsi="Arial" w:cs="Arial"/>
          <w:color w:val="000000"/>
        </w:rPr>
      </w:pPr>
      <w:r>
        <w:rPr>
          <w:rFonts w:ascii="Arial" w:eastAsia="Arial" w:hAnsi="Arial" w:cs="Arial"/>
          <w:color w:val="000000"/>
        </w:rPr>
        <w:t xml:space="preserve">Zdroje financování </w:t>
      </w:r>
    </w:p>
    <w:p w14:paraId="4C031EF2" w14:textId="77777777" w:rsidR="00FF2E95" w:rsidRDefault="00000000">
      <w:pPr>
        <w:pBdr>
          <w:top w:val="nil"/>
          <w:left w:val="nil"/>
          <w:bottom w:val="nil"/>
          <w:right w:val="nil"/>
        </w:pBdr>
        <w:spacing w:line="257" w:lineRule="auto"/>
        <w:rPr>
          <w:rFonts w:ascii="Arial" w:eastAsia="Arial" w:hAnsi="Arial" w:cs="Arial"/>
          <w:color w:val="000000"/>
        </w:rPr>
      </w:pPr>
      <w:r>
        <w:rPr>
          <w:rFonts w:ascii="Arial" w:eastAsia="Arial" w:hAnsi="Arial" w:cs="Arial"/>
          <w:color w:val="000000"/>
        </w:rPr>
        <w:t xml:space="preserve">Formulář pro hlášení o plnění opatření navíc obsahuje následující dodatečnou kolonku: Termín splnění. </w:t>
      </w:r>
    </w:p>
    <w:p w14:paraId="2EC7191C" w14:textId="77777777" w:rsidR="00FF2E95" w:rsidRDefault="00000000">
      <w:pPr>
        <w:pBdr>
          <w:top w:val="nil"/>
          <w:left w:val="nil"/>
          <w:bottom w:val="nil"/>
          <w:right w:val="nil"/>
        </w:pBdr>
        <w:spacing w:line="257" w:lineRule="auto"/>
        <w:rPr>
          <w:rFonts w:ascii="Arial" w:eastAsia="Arial" w:hAnsi="Arial" w:cs="Arial"/>
        </w:rPr>
      </w:pPr>
      <w:r>
        <w:rPr>
          <w:rFonts w:ascii="Arial" w:eastAsia="Arial" w:hAnsi="Arial" w:cs="Arial"/>
          <w:color w:val="000000"/>
        </w:rPr>
        <w:t>Podrobný popis všech atributů je pak uveden přímo v textu přílohy.</w:t>
      </w:r>
    </w:p>
    <w:p w14:paraId="271B0FEE" w14:textId="77777777" w:rsidR="00FF2E95" w:rsidRDefault="00000000">
      <w:pPr>
        <w:pBdr>
          <w:top w:val="nil"/>
          <w:left w:val="nil"/>
          <w:bottom w:val="nil"/>
          <w:right w:val="nil"/>
        </w:pBdr>
        <w:spacing w:after="120" w:line="235" w:lineRule="atLeast"/>
        <w:jc w:val="both"/>
        <w:rPr>
          <w:rFonts w:ascii="Arial" w:eastAsia="Calibri" w:hAnsi="Arial" w:cs="Arial"/>
          <w:u w:val="single"/>
        </w:rPr>
      </w:pPr>
      <w:r>
        <w:rPr>
          <w:rFonts w:ascii="Arial" w:eastAsia="Calibri" w:hAnsi="Arial" w:cs="Arial"/>
          <w:u w:val="single"/>
        </w:rPr>
        <w:t>K příloze č. 22</w:t>
      </w:r>
    </w:p>
    <w:p w14:paraId="543EDF3F"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Upravuje v návaznosti na zákonné zmocnění formát a strukturu řádného a dodatečného poplatkového přiznání. Obsahové náležitosti této přílohy vycházejí ze stávajícího formuláře/datového standardu F_OVZ_POPL, pomocí kterého ohlašují provozovatelé poplatek prostřednictvím systému ISPOP. Ze systematiky daňového řádu lze opravné daňové přiznání považovat za přiznání řádné (podává se v zákonné lhůtě pro podání řádného přiznání), proto v této příloze není opravné daňové přiznání explicitně uvedeno.</w:t>
      </w:r>
    </w:p>
    <w:p w14:paraId="0B076029"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V části 1 písm. a) je uveden přístup ke zpoplatnění přemístitelných zdrojů (týká se kódu 5.11 a kódu 7.7 přílohy č. 2 k zákonu, např. recyklační linky stavebních hmot, mobilní drtiče, štěpkovače).</w:t>
      </w:r>
    </w:p>
    <w:p w14:paraId="3500CA6E"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Tabulka v bodě 2 zahrnuje typ podání (řádné/dodatečné poplatkové přiznání), údaje o správci poplatku, provozovateli a provozovně.</w:t>
      </w:r>
    </w:p>
    <w:p w14:paraId="7A62A703"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Tabulka v bodě 2.1. se týká poplatku za provozovnu bez uplatnění tzv. modifikátorů poplatku, tj. nevyměření poplatku dle § 15 odst. 6 zákona nebo snížení poplatku dle § 15 odst. 5 zákona.</w:t>
      </w:r>
    </w:p>
    <w:p w14:paraId="35AE221D"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Tabulka v bodě 2.2 se týká poplatku za provozovnu s uplatněním tzv. modifikátorů poplatku.</w:t>
      </w:r>
    </w:p>
    <w:p w14:paraId="745F8E78" w14:textId="77777777" w:rsidR="00FF2E95" w:rsidRDefault="00FF2E95">
      <w:pPr>
        <w:pBdr>
          <w:top w:val="nil"/>
          <w:left w:val="nil"/>
          <w:bottom w:val="nil"/>
          <w:right w:val="nil"/>
        </w:pBdr>
        <w:spacing w:after="120" w:line="235" w:lineRule="atLeast"/>
        <w:jc w:val="both"/>
        <w:rPr>
          <w:rFonts w:ascii="Arial" w:eastAsia="Calibri" w:hAnsi="Arial" w:cs="Arial"/>
        </w:rPr>
      </w:pPr>
    </w:p>
    <w:p w14:paraId="10E98CEE" w14:textId="77777777" w:rsidR="00FF2E95" w:rsidRDefault="00000000">
      <w:pPr>
        <w:pBdr>
          <w:top w:val="nil"/>
          <w:left w:val="nil"/>
          <w:bottom w:val="nil"/>
          <w:right w:val="nil"/>
        </w:pBdr>
        <w:spacing w:after="120" w:line="235" w:lineRule="atLeast"/>
        <w:jc w:val="both"/>
        <w:rPr>
          <w:rFonts w:ascii="Arial" w:eastAsia="Calibri" w:hAnsi="Arial" w:cs="Arial"/>
          <w:u w:val="single"/>
        </w:rPr>
      </w:pPr>
      <w:r>
        <w:rPr>
          <w:rFonts w:ascii="Arial" w:eastAsia="Calibri" w:hAnsi="Arial" w:cs="Arial"/>
          <w:u w:val="single"/>
        </w:rPr>
        <w:t>K příloze č. 23</w:t>
      </w:r>
    </w:p>
    <w:p w14:paraId="6AD03956"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Upravuje rozsah kontroly technického stavu a provozu zdroje</w:t>
      </w:r>
    </w:p>
    <w:p w14:paraId="51347EE5"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V dosavadní podobě přílohy č. 18 jsou pouze stanoveny náležitosti dokladu o kontrole, ze které se</w:t>
      </w:r>
      <w:r>
        <w:rPr>
          <w:rFonts w:ascii="Calibri" w:eastAsia="Calibri" w:hAnsi="Calibri" w:cs="Calibri"/>
          <w:color w:val="000000" w:themeColor="text1"/>
        </w:rPr>
        <w:t xml:space="preserve"> </w:t>
      </w:r>
      <w:r>
        <w:rPr>
          <w:rFonts w:ascii="Arial" w:eastAsia="Calibri" w:hAnsi="Arial" w:cs="Arial"/>
        </w:rPr>
        <w:t>pouze nepřímo vyvozuje postup této kontroly. Nová příloha č. 24 stanoví konkrétní postup provedení kontroly, přičemž za nejvýznamnější změnu lze považovat explicitní stanovení nutnosti kontrolovat kotel jak za studeného stavu, tak za provozu (což se dosud opět nepřímo vyvozovalo již z názvu kontroly technického stavu a „provozu“). Některé nedostatky totiž nemusí být zřejmé pouze za studeného stavu (a za provozu není zase možné zkontrolovat veškeré součásti kotle). Současně tento postup nabízí kontrolu správního způsobu zatápění, jakožto fáze provozu se zvýšenými emisemi znečišťujících látek (a současně úkonu, ve kterém se provozovatelé často odchylují od postupu stanoveného výrobcem).</w:t>
      </w:r>
    </w:p>
    <w:p w14:paraId="65F4EB55"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Zvláštní částí je vazba na zákon o požární ochraně v povinnost provedení revize a kontroly spalinové cesty. Odborně způsobilá osoba zde v žádném případě nemá nahrazovat činnost osob, které jsou k těmto činnostem oprávněné, neověřuje tedy přímo stav spalinové cesty, ale pouze provedeních revize a kontroly podle zákona č. 133/1985 Sb., o požární ochraně, v platném znění. V dokladu o provedení kontroly technického stavu a provozu pak uvádí pouze, zda je stacionární zdroj napojen na spalinovou cestu vyhovujícím způsobem a zda jsou předloženy doklady o revizi a kontrole spalinové cesty a o jejím čištění.</w:t>
      </w:r>
    </w:p>
    <w:p w14:paraId="7FF51B67" w14:textId="77777777" w:rsidR="00FF2E95" w:rsidRDefault="00000000">
      <w:pPr>
        <w:pBdr>
          <w:top w:val="nil"/>
          <w:left w:val="nil"/>
          <w:bottom w:val="nil"/>
          <w:right w:val="nil"/>
        </w:pBdr>
        <w:spacing w:after="120" w:line="235" w:lineRule="atLeast"/>
        <w:jc w:val="both"/>
        <w:rPr>
          <w:rFonts w:ascii="Arial" w:eastAsia="Calibri" w:hAnsi="Arial" w:cs="Arial"/>
          <w:u w:val="single"/>
        </w:rPr>
      </w:pPr>
      <w:r>
        <w:rPr>
          <w:rFonts w:ascii="Arial" w:eastAsia="Calibri" w:hAnsi="Arial" w:cs="Arial"/>
          <w:u w:val="single"/>
        </w:rPr>
        <w:t>K příloze č. 24</w:t>
      </w:r>
    </w:p>
    <w:p w14:paraId="79294476"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 xml:space="preserve">Příloha stanovuje postup, jak je možné z pozice orgánu ochrany ovzduší prokázat spalování odpadu prostřednictvím analýzy vzorku popela odebraného u provozovatele ve spalovacím stacionárním zdroji do 300 kW celkového jmenovitého tepelného příkonu. </w:t>
      </w:r>
    </w:p>
    <w:p w14:paraId="3F34616C" w14:textId="77777777" w:rsidR="00FF2E95" w:rsidRDefault="00000000">
      <w:pPr>
        <w:pBdr>
          <w:top w:val="nil"/>
          <w:left w:val="nil"/>
          <w:bottom w:val="nil"/>
          <w:right w:val="nil"/>
        </w:pBdr>
        <w:spacing w:after="120" w:line="235" w:lineRule="atLeast"/>
        <w:jc w:val="both"/>
        <w:rPr>
          <w:rFonts w:ascii="Arial" w:eastAsia="Calibri" w:hAnsi="Arial" w:cs="Arial"/>
        </w:rPr>
      </w:pPr>
      <w:r>
        <w:rPr>
          <w:rFonts w:ascii="Arial" w:eastAsia="Calibri" w:hAnsi="Arial" w:cs="Arial"/>
        </w:rPr>
        <w:t>Vzhledem k potřebě častějšího využívání metody prokazující spalování odpadu ve spalovacích zařízeních na pevná paliva používaných v domácnostech je nezbytné formalizovat postup, který stanovuje způsob prokazování spalování odpadu v těchto zařízeních. Příloha představuje modifikovanou (zkrácenou) verzi metodiky certifikované Ministerstvem životního prostředí a publikované jako součást Sdělení odboru ochrany ovzduší MŽP k provozování a ke kontrole spalovacích stacionárních zdrojů o jmenovitém tepelném příkonu 300 kW a nižším. Tato metodika byla koncipována tak, aby nebyly kladeny zvláštní nároky na osoby provádějící odběr vzorků popela a současně byla schopna poskytnout požadovanou informaci. Zjednodušený postup odběru vzorků oproti například postupům odběru vzorků dle příslušných technických norem prováděným akreditovanými orgány, je zohledněn ve vlastním vyhodnocení výsledků. To současně znamená, že negativní výsledek testu nelze brát jako důkaz, že ke spalování odpadu nedocházelo, ale pouze, že jej nelze prokázat. Současně s touto metodou není vyloučen jiný postup prokázání porušení povinnosti dle § 16 odst. 5 zákona o ochraně ovzduší, tedy spalování odpadu ve stacionárním zdroji k tomu nepovoleném, například zjištění větších zbytků po spalování konkrétních odpadů (např. okenních pantů) či řetězce nepřímých důkazů ve formě zásoby spalitelného jinak nevyužitelného odpadu a absence dokladů o nákupu adekvátního množství paliva.</w:t>
      </w:r>
    </w:p>
    <w:p w14:paraId="578A3E21" w14:textId="77777777" w:rsidR="00FF2E95" w:rsidRDefault="00000000">
      <w:pPr>
        <w:keepNext/>
        <w:spacing w:before="240" w:after="120" w:line="276" w:lineRule="auto"/>
        <w:ind w:left="357" w:hanging="357"/>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Čl. II – přechodná ustanovení</w:t>
      </w:r>
    </w:p>
    <w:p w14:paraId="493CDA74" w14:textId="40961B70" w:rsidR="00E720AB" w:rsidRDefault="00000000" w:rsidP="00E720AB">
      <w:pPr>
        <w:spacing w:after="120"/>
        <w:jc w:val="both"/>
        <w:rPr>
          <w:rFonts w:ascii="Arial" w:eastAsia="Calibri" w:hAnsi="Arial" w:cs="Arial"/>
        </w:rPr>
      </w:pPr>
      <w:r>
        <w:rPr>
          <w:rFonts w:ascii="Arial" w:eastAsia="Calibri" w:hAnsi="Arial" w:cs="Arial"/>
        </w:rPr>
        <w:t xml:space="preserve">Vzhledem k tomu, že celá příloha č. 2 je předkládanou novelou nahrazována, byla do přechodných ustanovení převzata přechodná ustanovení z vyhlášky č. </w:t>
      </w:r>
      <w:r w:rsidRPr="00E720AB">
        <w:rPr>
          <w:rFonts w:ascii="Arial" w:eastAsia="Calibri" w:hAnsi="Arial" w:cs="Arial"/>
        </w:rPr>
        <w:t>452/2017 Sb.</w:t>
      </w:r>
      <w:r>
        <w:rPr>
          <w:rFonts w:ascii="Arial" w:eastAsia="Calibri" w:hAnsi="Arial" w:cs="Arial"/>
        </w:rPr>
        <w:t xml:space="preserve">, </w:t>
      </w:r>
      <w:r w:rsidRPr="00E720AB">
        <w:rPr>
          <w:rFonts w:ascii="Arial" w:eastAsia="Calibri" w:hAnsi="Arial" w:cs="Arial"/>
        </w:rPr>
        <w:t>kterou se mění vyhláška č. 415/2012 Sb., o přípustné úrovni znečišťování a jejím zjišťování a o provedení některých dalších ustanovení zákona o ochraně ovzduší, ve znění pozdějších předpisů</w:t>
      </w:r>
      <w:r>
        <w:rPr>
          <w:rFonts w:ascii="Arial" w:eastAsia="Calibri" w:hAnsi="Arial" w:cs="Arial"/>
        </w:rPr>
        <w:t>. Cílem je, aby tato přechodná období, která vycházejí ze směrnice Evropského parlamentu a Rady 2015/2193 o středních spalovacích zařízeních</w:t>
      </w:r>
      <w:r w:rsidR="00A41892">
        <w:rPr>
          <w:rFonts w:ascii="Arial" w:eastAsia="Calibri" w:hAnsi="Arial" w:cs="Arial"/>
        </w:rPr>
        <w:t>,</w:t>
      </w:r>
      <w:r>
        <w:rPr>
          <w:rFonts w:ascii="Arial" w:eastAsia="Calibri" w:hAnsi="Arial" w:cs="Arial"/>
        </w:rPr>
        <w:t xml:space="preserve"> zůstala i po novele vyhlášky nadále zachována. </w:t>
      </w:r>
    </w:p>
    <w:p w14:paraId="1E3CC0A4" w14:textId="77777777" w:rsidR="00E720AB" w:rsidRDefault="00000000" w:rsidP="00E720AB">
      <w:pPr>
        <w:spacing w:after="120"/>
        <w:jc w:val="both"/>
        <w:rPr>
          <w:rFonts w:ascii="Arial" w:eastAsia="Calibri" w:hAnsi="Arial" w:cs="Arial"/>
        </w:rPr>
      </w:pPr>
      <w:r>
        <w:rPr>
          <w:rFonts w:ascii="Arial" w:eastAsia="Calibri" w:hAnsi="Arial" w:cs="Arial"/>
        </w:rPr>
        <w:lastRenderedPageBreak/>
        <w:t xml:space="preserve">Bod 1 v návaznosti na čl. </w:t>
      </w:r>
      <w:r w:rsidRPr="00E720AB">
        <w:rPr>
          <w:rFonts w:ascii="Arial" w:eastAsia="Calibri" w:hAnsi="Arial" w:cs="Arial"/>
        </w:rPr>
        <w:t xml:space="preserve">6 odst. 5 směrnice </w:t>
      </w:r>
      <w:r>
        <w:rPr>
          <w:rFonts w:ascii="Arial" w:eastAsia="Calibri" w:hAnsi="Arial" w:cs="Arial"/>
        </w:rPr>
        <w:t>Evropského parlamentu a Rady 2015/2193 zakládá</w:t>
      </w:r>
      <w:r w:rsidRPr="00E720AB">
        <w:rPr>
          <w:rFonts w:ascii="Arial" w:eastAsia="Calibri" w:hAnsi="Arial" w:cs="Arial"/>
        </w:rPr>
        <w:t xml:space="preserve"> výjimku z plnění emisních limitů stanovených spalovacím stacionárním zdrojům, které dodávají alespoň 50 % užitného tepla, stanoveno jako klouzavý průměr za období pěti let, v podobě páry či horké vody do veřejné sítě dálkového vytápění. Nové emisní limity se uplatní až od 1. 1. 2030. Do 31. 12. 2029 platí pro tyto spalovací stacionární zdroje specifické emisní limity stanovené v tabulkách 2.1.2, 2.2.2 a 2.2.3 v části II přílohy č. 2 k této vyhlášce s výjimkou emisního limitu pro SO</w:t>
      </w:r>
      <w:r w:rsidRPr="00E720AB">
        <w:rPr>
          <w:rFonts w:ascii="Arial" w:eastAsia="Calibri" w:hAnsi="Arial" w:cs="Arial"/>
          <w:vertAlign w:val="subscript"/>
        </w:rPr>
        <w:t>2</w:t>
      </w:r>
      <w:r w:rsidRPr="00E720AB">
        <w:rPr>
          <w:rFonts w:ascii="Arial" w:eastAsia="Calibri" w:hAnsi="Arial" w:cs="Arial"/>
        </w:rPr>
        <w:t xml:space="preserve"> který nesmí být vyšší než 1100 mg·m</w:t>
      </w:r>
      <w:r w:rsidRPr="00E720AB">
        <w:rPr>
          <w:rFonts w:ascii="Arial" w:eastAsia="Calibri" w:hAnsi="Arial" w:cs="Arial"/>
          <w:vertAlign w:val="superscript"/>
        </w:rPr>
        <w:t>-3</w:t>
      </w:r>
      <w:r w:rsidRPr="00E720AB">
        <w:rPr>
          <w:rFonts w:ascii="Arial" w:eastAsia="Calibri" w:hAnsi="Arial" w:cs="Arial"/>
        </w:rPr>
        <w:t>.</w:t>
      </w:r>
    </w:p>
    <w:p w14:paraId="7BA8DA6D" w14:textId="6FDD53C0" w:rsidR="00E720AB" w:rsidRDefault="00000000" w:rsidP="00E720AB">
      <w:pPr>
        <w:spacing w:after="120"/>
        <w:jc w:val="both"/>
        <w:rPr>
          <w:rFonts w:ascii="Arial" w:eastAsia="Calibri" w:hAnsi="Arial" w:cs="Arial"/>
        </w:rPr>
      </w:pPr>
      <w:r>
        <w:rPr>
          <w:rFonts w:ascii="Arial" w:eastAsia="Calibri" w:hAnsi="Arial" w:cs="Arial"/>
        </w:rPr>
        <w:t>V bodě 2 se j</w:t>
      </w:r>
      <w:r w:rsidRPr="00E720AB">
        <w:rPr>
          <w:rFonts w:ascii="Arial" w:eastAsia="Calibri" w:hAnsi="Arial" w:cs="Arial"/>
        </w:rPr>
        <w:t xml:space="preserve">edná se o </w:t>
      </w:r>
      <w:r>
        <w:rPr>
          <w:rFonts w:ascii="Arial" w:eastAsia="Calibri" w:hAnsi="Arial" w:cs="Arial"/>
        </w:rPr>
        <w:t>výjimku dle čl.</w:t>
      </w:r>
      <w:r w:rsidRPr="00E720AB">
        <w:rPr>
          <w:rFonts w:ascii="Arial" w:eastAsia="Calibri" w:hAnsi="Arial" w:cs="Arial"/>
        </w:rPr>
        <w:t xml:space="preserve"> 6 bodu 6 směrnice </w:t>
      </w:r>
      <w:r>
        <w:rPr>
          <w:rFonts w:ascii="Arial" w:eastAsia="Calibri" w:hAnsi="Arial" w:cs="Arial"/>
        </w:rPr>
        <w:t xml:space="preserve">Evropského parlamentu a Rady 2015/2193 </w:t>
      </w:r>
      <w:r w:rsidRPr="00E720AB">
        <w:rPr>
          <w:rFonts w:ascii="Arial" w:eastAsia="Calibri" w:hAnsi="Arial" w:cs="Arial"/>
        </w:rPr>
        <w:t xml:space="preserve">pro plynové turbíny o jmenovitém tepelném příkonu vyšším než 5 MW, uvedené do provozu před 20. prosincem 2018 a pro plynové turbíny, které byly uvedeny do provozu nejpozději 20. prosince 2018, používané k pohonu plynových kompresorů nezbytných pro zajištění bezpečnosti vnitrostátních plynárenských přepravních soustav.  Nové emisní limity se uplatní až od 1. 1. 2030. Do 31. 12. 2029 platí pro tyto spalovací stacionární zdroje specifické emisní limity stanovené v tabulce 1.3.2 v části II přílohy č. 2 k této vyhlášce. </w:t>
      </w:r>
    </w:p>
    <w:p w14:paraId="23CB475A" w14:textId="2020092E" w:rsidR="00E720AB" w:rsidRDefault="00000000">
      <w:pPr>
        <w:spacing w:after="120"/>
        <w:jc w:val="both"/>
        <w:rPr>
          <w:rFonts w:ascii="Arial" w:eastAsia="Calibri" w:hAnsi="Arial" w:cs="Arial"/>
        </w:rPr>
      </w:pPr>
      <w:r>
        <w:rPr>
          <w:rFonts w:ascii="Arial" w:eastAsia="Calibri" w:hAnsi="Arial" w:cs="Arial"/>
        </w:rPr>
        <w:t>V bodě 3 je upravena jako dosud výjimka, dle které p</w:t>
      </w:r>
      <w:r w:rsidRPr="00E720AB">
        <w:rPr>
          <w:rFonts w:ascii="Arial" w:eastAsia="Calibri" w:hAnsi="Arial" w:cs="Arial"/>
        </w:rPr>
        <w:t>ro spalování skládkového plynu ve spalovacím stacionárním zdroji do jmenovitého tepelného příkonu do 5 MW budou platit nové emisní limity (uvedené v tabulkách 2.2.2 a 3.2.2 v části II Přílohy č. 2) až od 1. ledna 2030. Do té doby se uplatní emisní limity z tabulky 1.2.2.</w:t>
      </w:r>
    </w:p>
    <w:p w14:paraId="6D7E6648" w14:textId="5FFDB9BC" w:rsidR="00FF2E95" w:rsidRDefault="00000000">
      <w:pPr>
        <w:spacing w:after="120"/>
        <w:jc w:val="both"/>
        <w:rPr>
          <w:rFonts w:ascii="Arial" w:eastAsia="Calibri" w:hAnsi="Arial" w:cs="Arial"/>
        </w:rPr>
      </w:pPr>
      <w:r>
        <w:rPr>
          <w:rFonts w:ascii="Arial" w:eastAsia="Calibri" w:hAnsi="Arial" w:cs="Arial"/>
        </w:rPr>
        <w:t xml:space="preserve">Vzhledem k tomu, že údaje souhrnné provozní evidence se podle § 17 odst. 3 písm. c) zákona ohlašují za předchozí kalendářní rok, je třeba stanovit, že za rok 2024 budou ohlašovány podle dosavadní úpravy v příloze č. 11. Dle novelizovaného znění přílohy č. 11 budou údaje ohlašovány až za rok 2025. </w:t>
      </w:r>
    </w:p>
    <w:p w14:paraId="2526C062" w14:textId="77777777" w:rsidR="00FF2E95" w:rsidRDefault="00000000">
      <w:pPr>
        <w:spacing w:after="120"/>
        <w:jc w:val="both"/>
        <w:rPr>
          <w:rFonts w:ascii="Arial" w:eastAsia="Calibri" w:hAnsi="Arial" w:cs="Arial"/>
        </w:rPr>
      </w:pPr>
      <w:r>
        <w:rPr>
          <w:rFonts w:ascii="Arial" w:eastAsia="Calibri" w:hAnsi="Arial" w:cs="Arial"/>
        </w:rPr>
        <w:t>Současně platí, že od 1.1.2026 budou dle novelizovaného znění zákona o ochraně ovzduší výsledky jednorázového měření emisí ohlašovány do ISPOP přímo autorizovanou osobou, část 1.5. přílohy č. 11 se proto od 1. ledna 2026 nepoužije na zdroje provádějící jednorázové měření emisí. Současně však platí, že údaje souhrnné provozní evidence za rok 2025 musí zdroje provádějící jednorázové měření emisí ještě v roce 2026 v rozsahu části 1.5. přílohy č. 11 do 31. března 2026 do ISPOP ohlásit.</w:t>
      </w:r>
    </w:p>
    <w:p w14:paraId="5AAF3C8D" w14:textId="77777777" w:rsidR="00FF2E95" w:rsidRDefault="00000000">
      <w:pPr>
        <w:spacing w:after="120"/>
        <w:jc w:val="both"/>
        <w:rPr>
          <w:rFonts w:ascii="Arial" w:eastAsia="Calibri" w:hAnsi="Arial" w:cs="Arial"/>
        </w:rPr>
      </w:pPr>
      <w:r>
        <w:rPr>
          <w:rFonts w:ascii="Arial" w:eastAsia="Calibri" w:hAnsi="Arial" w:cs="Arial"/>
        </w:rPr>
        <w:t>Dále budou od 1.1.2028 výsledky kontinuálního měření emisí ohlašovány do ISKO, část 1.5. přílohy č. 11 se proto k 1. lednu 2028 zcela ruší. I v tomto případě však platí, že údaje souhrnné provozní evidence za rok 2027 musí zdroje provádějící kontinuální měření emisí ještě v roce 2028 v rozsahu části 1.5. přílohy č. 11 do 31. března 2028 do ISPOP ohlásit.</w:t>
      </w:r>
    </w:p>
    <w:p w14:paraId="0FB2DBF8" w14:textId="77777777" w:rsidR="00FF2E95" w:rsidRDefault="00000000">
      <w:pPr>
        <w:spacing w:after="120"/>
        <w:jc w:val="both"/>
        <w:rPr>
          <w:rFonts w:ascii="Arial" w:eastAsia="Calibri" w:hAnsi="Arial" w:cs="Arial"/>
        </w:rPr>
      </w:pPr>
      <w:r>
        <w:rPr>
          <w:rFonts w:ascii="Arial" w:eastAsia="Calibri" w:hAnsi="Arial" w:cs="Arial"/>
        </w:rPr>
        <w:t>Vzhledem k tomu, že ohlašování provozní evidence probíhá do 31. března za předchozí kalendářní rok, přechodná ustanovení zakotvují, že ohlášení údajů vždy bude provádění dle znění přílohy č. 11 platného v předchozím kalendářním roce.</w:t>
      </w:r>
    </w:p>
    <w:p w14:paraId="5BAD7E67" w14:textId="77777777" w:rsidR="00FF2E95" w:rsidRDefault="00000000">
      <w:pPr>
        <w:spacing w:after="120"/>
        <w:jc w:val="both"/>
        <w:rPr>
          <w:rFonts w:ascii="Arial" w:eastAsia="Calibri" w:hAnsi="Arial" w:cs="Arial"/>
        </w:rPr>
      </w:pPr>
      <w:r>
        <w:rPr>
          <w:rFonts w:ascii="Arial" w:eastAsia="Calibri" w:hAnsi="Arial" w:cs="Arial"/>
        </w:rPr>
        <w:t>Dle nového zmocnění v § 15 odst. 8 zákona je ministerstvo povinno vyhláškou stanovit formát a strukturu řádného a dodatečného poplatkového přiznání. Ministerstvo tak stanoví v příloze č. 22 vyhlášky. Vzhledem k tomu, že poplatkovým obdobím je kalendářní rok, stanoví přechodné ustanovení, že formát a struktura poplatkového přiznání upravená v příloze č. 22 se použije poprvé pro podání poplatkového přiznání až za rok 2025.</w:t>
      </w:r>
    </w:p>
    <w:p w14:paraId="44F2E3E7" w14:textId="77777777" w:rsidR="00FF2E95" w:rsidRDefault="00000000">
      <w:pPr>
        <w:keepNext/>
        <w:spacing w:before="240" w:after="120" w:line="276" w:lineRule="auto"/>
        <w:jc w:val="both"/>
        <w:outlineLvl w:val="1"/>
        <w:rPr>
          <w:rFonts w:ascii="Arial" w:eastAsiaTheme="majorEastAsia" w:hAnsi="Arial" w:cs="Arial"/>
          <w:b/>
          <w:color w:val="000000" w:themeColor="text1"/>
          <w:szCs w:val="24"/>
          <w:lang w:bidi="en-US"/>
        </w:rPr>
      </w:pPr>
      <w:r>
        <w:rPr>
          <w:rFonts w:ascii="Arial" w:eastAsiaTheme="majorEastAsia" w:hAnsi="Arial" w:cs="Arial"/>
          <w:b/>
          <w:color w:val="000000" w:themeColor="text1"/>
          <w:szCs w:val="24"/>
          <w:lang w:bidi="en-US"/>
        </w:rPr>
        <w:t>K Čl. III – účinnost</w:t>
      </w:r>
    </w:p>
    <w:p w14:paraId="411B6AC6" w14:textId="4FB5EB9D" w:rsidR="007D4F3A" w:rsidRDefault="00000000">
      <w:pPr>
        <w:spacing w:after="120"/>
        <w:jc w:val="both"/>
        <w:rPr>
          <w:rFonts w:ascii="Arial" w:eastAsia="Calibri" w:hAnsi="Arial" w:cs="Arial"/>
        </w:rPr>
      </w:pPr>
      <w:r>
        <w:rPr>
          <w:rFonts w:ascii="Arial" w:eastAsia="Calibri" w:hAnsi="Arial" w:cs="Arial"/>
        </w:rPr>
        <w:t>Vzhledem k tomu, že je žádoucí, aby nová právní úprava nabyla účinnosti co nejdříve po nabytí účinnosti aktuální novely zákona</w:t>
      </w:r>
      <w:r w:rsidR="00712271">
        <w:rPr>
          <w:rFonts w:ascii="Arial" w:eastAsia="Calibri" w:hAnsi="Arial" w:cs="Arial"/>
        </w:rPr>
        <w:t xml:space="preserve"> (tj. </w:t>
      </w:r>
      <w:r w:rsidR="00712271">
        <w:rPr>
          <w:rFonts w:ascii="Arial" w:eastAsiaTheme="majorEastAsia" w:hAnsi="Arial" w:cs="Arial"/>
          <w:color w:val="000000" w:themeColor="text1"/>
          <w:lang w:bidi="en-US"/>
        </w:rPr>
        <w:t xml:space="preserve">zákona č. </w:t>
      </w:r>
      <w:r w:rsidR="00712271" w:rsidRPr="00712271">
        <w:rPr>
          <w:rFonts w:ascii="Arial" w:eastAsiaTheme="majorEastAsia" w:hAnsi="Arial" w:cs="Arial"/>
          <w:color w:val="000000" w:themeColor="text1"/>
          <w:lang w:bidi="en-US"/>
        </w:rPr>
        <w:t>42/2025 Sb.</w:t>
      </w:r>
      <w:r w:rsidR="00712271">
        <w:rPr>
          <w:rFonts w:ascii="Arial" w:eastAsiaTheme="majorEastAsia" w:hAnsi="Arial" w:cs="Arial"/>
          <w:color w:val="000000" w:themeColor="text1"/>
          <w:lang w:bidi="en-US"/>
        </w:rPr>
        <w:t xml:space="preserve">, </w:t>
      </w:r>
      <w:r w:rsidR="00712271" w:rsidRPr="00712271">
        <w:rPr>
          <w:rFonts w:ascii="Arial" w:eastAsiaTheme="majorEastAsia" w:hAnsi="Arial" w:cs="Arial"/>
          <w:color w:val="000000" w:themeColor="text1"/>
          <w:lang w:bidi="en-US"/>
        </w:rPr>
        <w:t>kterým se mění zákon č. 201/2012 Sb., o ochraně ovzduší, ve znění pozdějších předpisů, a další související zákony</w:t>
      </w:r>
      <w:r w:rsidR="00712271">
        <w:rPr>
          <w:rFonts w:ascii="Arial" w:eastAsiaTheme="majorEastAsia" w:hAnsi="Arial" w:cs="Arial"/>
          <w:color w:val="000000" w:themeColor="text1"/>
          <w:lang w:bidi="en-US"/>
        </w:rPr>
        <w:t>, který vstoupil v účinnost 1. března 2025</w:t>
      </w:r>
      <w:r>
        <w:rPr>
          <w:rFonts w:ascii="Arial" w:eastAsia="Calibri" w:hAnsi="Arial" w:cs="Arial"/>
        </w:rPr>
        <w:t xml:space="preserve">, navrhuje se u návrhu vyhlášky nabytí účinnosti prvním dnem kalendářního měsíce následujícího po dni vyhlášení. </w:t>
      </w:r>
    </w:p>
    <w:p w14:paraId="5AB33F3F" w14:textId="470F374B" w:rsidR="00FF2E95" w:rsidRDefault="00000000" w:rsidP="007D4F3A">
      <w:pPr>
        <w:spacing w:after="120"/>
        <w:jc w:val="both"/>
        <w:rPr>
          <w:rFonts w:ascii="Arial" w:eastAsia="Calibri" w:hAnsi="Arial" w:cs="Arial"/>
        </w:rPr>
      </w:pPr>
      <w:r>
        <w:rPr>
          <w:rFonts w:ascii="Arial" w:eastAsia="Calibri" w:hAnsi="Arial" w:cs="Arial"/>
        </w:rPr>
        <w:lastRenderedPageBreak/>
        <w:t>Současně se u vybraných ustanovení navrhuje posun účinnosti na pozdější datum.</w:t>
      </w:r>
      <w:r w:rsidR="007D4F3A">
        <w:rPr>
          <w:rFonts w:ascii="Arial" w:eastAsia="Calibri" w:hAnsi="Arial" w:cs="Arial"/>
        </w:rPr>
        <w:t xml:space="preserve"> V případě </w:t>
      </w:r>
      <w:r w:rsidR="007D4F3A" w:rsidRPr="007D4F3A">
        <w:rPr>
          <w:rFonts w:ascii="Arial" w:eastAsia="Calibri" w:hAnsi="Arial" w:cs="Arial"/>
        </w:rPr>
        <w:t>přílohy č. 8</w:t>
      </w:r>
      <w:r w:rsidR="007D4F3A">
        <w:rPr>
          <w:rFonts w:ascii="Arial" w:eastAsia="Calibri" w:hAnsi="Arial" w:cs="Arial"/>
        </w:rPr>
        <w:t xml:space="preserve"> jde o b</w:t>
      </w:r>
      <w:r w:rsidR="007D4F3A" w:rsidRPr="007D4F3A">
        <w:rPr>
          <w:rFonts w:ascii="Arial" w:eastAsia="Calibri" w:hAnsi="Arial" w:cs="Arial"/>
        </w:rPr>
        <w:t>od 1.0</w:t>
      </w:r>
      <w:r w:rsidR="007D4F3A">
        <w:rPr>
          <w:rFonts w:ascii="Arial" w:eastAsia="Calibri" w:hAnsi="Arial" w:cs="Arial"/>
        </w:rPr>
        <w:t>., 1.6. a 6.16., u kterých se účinnost odkládá</w:t>
      </w:r>
      <w:r w:rsidR="007D4F3A" w:rsidRPr="007D4F3A">
        <w:rPr>
          <w:rFonts w:ascii="Arial" w:eastAsia="Calibri" w:hAnsi="Arial" w:cs="Arial"/>
        </w:rPr>
        <w:t xml:space="preserve"> </w:t>
      </w:r>
      <w:r w:rsidR="007D4F3A">
        <w:rPr>
          <w:rFonts w:ascii="Arial" w:eastAsia="Calibri" w:hAnsi="Arial" w:cs="Arial"/>
        </w:rPr>
        <w:t>k</w:t>
      </w:r>
      <w:r w:rsidR="007D4F3A" w:rsidRPr="007D4F3A">
        <w:rPr>
          <w:rFonts w:ascii="Arial" w:eastAsia="Calibri" w:hAnsi="Arial" w:cs="Arial"/>
        </w:rPr>
        <w:t xml:space="preserve"> 1. 1. 2026 z důvodu předpokládaných časových a finančních nákladů </w:t>
      </w:r>
      <w:r w:rsidR="007D4F3A">
        <w:rPr>
          <w:rFonts w:ascii="Arial" w:eastAsia="Calibri" w:hAnsi="Arial" w:cs="Arial"/>
        </w:rPr>
        <w:t>na přizpůsobení se nově stanoveným podmínkám.</w:t>
      </w:r>
    </w:p>
    <w:p w14:paraId="2D948D56" w14:textId="52311E56" w:rsidR="00FD444A" w:rsidRPr="00FD444A" w:rsidRDefault="00FD444A" w:rsidP="00FD444A">
      <w:pPr>
        <w:spacing w:after="120"/>
        <w:jc w:val="both"/>
        <w:rPr>
          <w:rFonts w:ascii="Arial" w:eastAsia="Calibri" w:hAnsi="Arial" w:cs="Arial"/>
        </w:rPr>
      </w:pPr>
      <w:r>
        <w:rPr>
          <w:rFonts w:ascii="Arial" w:eastAsia="Calibri" w:hAnsi="Arial" w:cs="Arial"/>
        </w:rPr>
        <w:t xml:space="preserve">Dále se posun účinnosti dotýká změn přílohy č. 11. </w:t>
      </w:r>
      <w:r w:rsidRPr="00D54DF9">
        <w:rPr>
          <w:rFonts w:ascii="Arial" w:eastAsia="Arial" w:hAnsi="Arial" w:cs="Arial"/>
          <w:color w:val="000000"/>
        </w:rPr>
        <w:t>Od 1.1. 2026 budou dle novelizovaného znění zákona o ochraně ovzduší výsledky jednorázového měření emisí ohlašovány do ISPOP přímo autorizovanou osobou, část 1.5.</w:t>
      </w:r>
      <w:r>
        <w:rPr>
          <w:rFonts w:ascii="Arial" w:eastAsia="Arial" w:hAnsi="Arial" w:cs="Arial"/>
          <w:color w:val="000000"/>
        </w:rPr>
        <w:t xml:space="preserve"> přílohy č. 11 k vyhlášce se proto navrhuje</w:t>
      </w:r>
      <w:r w:rsidRPr="00D54DF9">
        <w:rPr>
          <w:rFonts w:ascii="Arial" w:eastAsia="Arial" w:hAnsi="Arial" w:cs="Arial"/>
          <w:color w:val="000000"/>
        </w:rPr>
        <w:t xml:space="preserve"> od 1. ledna 2026 </w:t>
      </w:r>
      <w:r>
        <w:rPr>
          <w:rFonts w:ascii="Arial" w:eastAsia="Arial" w:hAnsi="Arial" w:cs="Arial"/>
          <w:color w:val="000000"/>
        </w:rPr>
        <w:t>z</w:t>
      </w:r>
      <w:r w:rsidRPr="00D54DF9">
        <w:rPr>
          <w:rFonts w:ascii="Arial" w:eastAsia="Arial" w:hAnsi="Arial" w:cs="Arial"/>
          <w:color w:val="000000"/>
        </w:rPr>
        <w:t>měn</w:t>
      </w:r>
      <w:r>
        <w:rPr>
          <w:rFonts w:ascii="Arial" w:eastAsia="Arial" w:hAnsi="Arial" w:cs="Arial"/>
          <w:color w:val="000000"/>
        </w:rPr>
        <w:t>it</w:t>
      </w:r>
      <w:r w:rsidRPr="00D54DF9">
        <w:rPr>
          <w:rFonts w:ascii="Arial" w:eastAsia="Arial" w:hAnsi="Arial" w:cs="Arial"/>
          <w:color w:val="000000"/>
        </w:rPr>
        <w:t xml:space="preserve"> tak, že se výslovně stanoví, že se nepoužije na zdroje provádějící jednorázové měření emisí. </w:t>
      </w:r>
      <w:r>
        <w:rPr>
          <w:rFonts w:ascii="Arial" w:eastAsia="Arial" w:hAnsi="Arial" w:cs="Arial"/>
          <w:color w:val="000000"/>
        </w:rPr>
        <w:t>N</w:t>
      </w:r>
      <w:r w:rsidRPr="00D54DF9">
        <w:rPr>
          <w:rFonts w:ascii="Arial" w:eastAsia="Arial" w:hAnsi="Arial" w:cs="Arial"/>
          <w:color w:val="000000"/>
        </w:rPr>
        <w:t>icméně, jak stanoví přechodné ustanovení, údaje za rok 2025 budou do 31. března 2026 ohlášeny podle úpravy platné v roce 2025, tedy v roce, za který se data ohlašují. Platí totiž, že ohlášení souhrnné provozní evidence probíhá do konce března kalendářního roku následujícího po kalendářním roce, za který se data ohlašují. Ohlášení SPE učiněné provozovateli za rok 2025 i v části 1.5. je nezbytné k získání údajů nezbytných ke splnění reportingové povinnosti uložené směrnicí Evropského parlamentu a Rady 2015/2193 o</w:t>
      </w:r>
      <w:r>
        <w:rPr>
          <w:rFonts w:ascii="Arial" w:eastAsia="Arial" w:hAnsi="Arial" w:cs="Arial"/>
          <w:color w:val="000000"/>
        </w:rPr>
        <w:t> </w:t>
      </w:r>
      <w:r w:rsidRPr="00D54DF9">
        <w:rPr>
          <w:rFonts w:ascii="Arial" w:eastAsia="Arial" w:hAnsi="Arial" w:cs="Arial"/>
          <w:color w:val="000000"/>
        </w:rPr>
        <w:t>středních spalovacích zařízeních.</w:t>
      </w:r>
      <w:r>
        <w:rPr>
          <w:rFonts w:ascii="Arial" w:eastAsia="Calibri" w:hAnsi="Arial" w:cs="Arial"/>
        </w:rPr>
        <w:t xml:space="preserve"> </w:t>
      </w:r>
      <w:r w:rsidRPr="00D54DF9">
        <w:rPr>
          <w:rFonts w:ascii="Arial" w:eastAsia="Arial" w:hAnsi="Arial" w:cs="Arial"/>
          <w:color w:val="000000"/>
        </w:rPr>
        <w:t>Dále budou</w:t>
      </w:r>
      <w:r>
        <w:rPr>
          <w:rFonts w:ascii="Arial" w:eastAsia="Arial" w:hAnsi="Arial" w:cs="Arial"/>
          <w:color w:val="000000"/>
        </w:rPr>
        <w:t xml:space="preserve"> dle zákona o ochraně ovzduší</w:t>
      </w:r>
      <w:r w:rsidRPr="00D54DF9">
        <w:rPr>
          <w:rFonts w:ascii="Arial" w:eastAsia="Arial" w:hAnsi="Arial" w:cs="Arial"/>
          <w:color w:val="000000"/>
        </w:rPr>
        <w:t xml:space="preserve"> od 1.1.2028 výsledky kontinuálního měření emisí ohlašovány do ISKO</w:t>
      </w:r>
      <w:r>
        <w:rPr>
          <w:rFonts w:ascii="Arial" w:eastAsia="Arial" w:hAnsi="Arial" w:cs="Arial"/>
          <w:color w:val="000000"/>
        </w:rPr>
        <w:t xml:space="preserve">. Navrhuje se proto </w:t>
      </w:r>
      <w:r w:rsidRPr="00D54DF9">
        <w:rPr>
          <w:rFonts w:ascii="Arial" w:eastAsia="Arial" w:hAnsi="Arial" w:cs="Arial"/>
          <w:color w:val="000000"/>
        </w:rPr>
        <w:t>část 1.5.</w:t>
      </w:r>
      <w:r>
        <w:rPr>
          <w:rFonts w:ascii="Arial" w:eastAsia="Arial" w:hAnsi="Arial" w:cs="Arial"/>
          <w:color w:val="000000"/>
        </w:rPr>
        <w:t xml:space="preserve"> přílohy č. 11</w:t>
      </w:r>
      <w:r w:rsidRPr="00D54DF9">
        <w:rPr>
          <w:rFonts w:ascii="Arial" w:eastAsia="Arial" w:hAnsi="Arial" w:cs="Arial"/>
          <w:color w:val="000000"/>
        </w:rPr>
        <w:t xml:space="preserve"> </w:t>
      </w:r>
      <w:r>
        <w:rPr>
          <w:rFonts w:ascii="Arial" w:eastAsia="Arial" w:hAnsi="Arial" w:cs="Arial"/>
          <w:color w:val="000000"/>
        </w:rPr>
        <w:t>k vyhlášce k</w:t>
      </w:r>
      <w:r w:rsidRPr="00D54DF9">
        <w:rPr>
          <w:rFonts w:ascii="Arial" w:eastAsia="Arial" w:hAnsi="Arial" w:cs="Arial"/>
          <w:color w:val="000000"/>
        </w:rPr>
        <w:t xml:space="preserve"> 1. ledn</w:t>
      </w:r>
      <w:r>
        <w:rPr>
          <w:rFonts w:ascii="Arial" w:eastAsia="Arial" w:hAnsi="Arial" w:cs="Arial"/>
          <w:color w:val="000000"/>
        </w:rPr>
        <w:t>u</w:t>
      </w:r>
      <w:r w:rsidRPr="00D54DF9">
        <w:rPr>
          <w:rFonts w:ascii="Arial" w:eastAsia="Arial" w:hAnsi="Arial" w:cs="Arial"/>
          <w:color w:val="000000"/>
        </w:rPr>
        <w:t xml:space="preserve"> 2028 zcela </w:t>
      </w:r>
      <w:r>
        <w:rPr>
          <w:rFonts w:ascii="Arial" w:eastAsia="Arial" w:hAnsi="Arial" w:cs="Arial"/>
          <w:color w:val="000000"/>
        </w:rPr>
        <w:t>z</w:t>
      </w:r>
      <w:r w:rsidRPr="00D54DF9">
        <w:rPr>
          <w:rFonts w:ascii="Arial" w:eastAsia="Arial" w:hAnsi="Arial" w:cs="Arial"/>
          <w:color w:val="000000"/>
        </w:rPr>
        <w:t>ruš</w:t>
      </w:r>
      <w:r>
        <w:rPr>
          <w:rFonts w:ascii="Arial" w:eastAsia="Arial" w:hAnsi="Arial" w:cs="Arial"/>
          <w:color w:val="000000"/>
        </w:rPr>
        <w:t>it</w:t>
      </w:r>
      <w:r w:rsidRPr="00D54DF9">
        <w:rPr>
          <w:rFonts w:ascii="Arial" w:eastAsia="Arial" w:hAnsi="Arial" w:cs="Arial"/>
          <w:color w:val="000000"/>
        </w:rPr>
        <w:t>. I v tomto případě je nutné zohlednit přechodné ustanovení, které stanoví, že údaje za rok 2027 budou do 31. března 2028 ohlášeny podle úpravy platné v roce 2027, za který se data ohlašují. Jak již bylo uvedeno, ohlášení souhrnné provozní evidence probíhá v kalendářním roce následujícím po roce, za který se ohlašuje.</w:t>
      </w:r>
    </w:p>
    <w:p w14:paraId="5FEF9F84" w14:textId="77777777" w:rsidR="00FD444A" w:rsidRDefault="00FD444A" w:rsidP="007D4F3A">
      <w:pPr>
        <w:spacing w:after="120"/>
        <w:jc w:val="both"/>
        <w:rPr>
          <w:rFonts w:ascii="Arial" w:eastAsia="Calibri" w:hAnsi="Arial" w:cs="Arial"/>
        </w:rPr>
      </w:pPr>
    </w:p>
    <w:sectPr w:rsidR="00FD444A">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27F99" w14:textId="77777777" w:rsidR="006F3319" w:rsidRDefault="006F3319">
      <w:pPr>
        <w:spacing w:after="0" w:line="240" w:lineRule="auto"/>
      </w:pPr>
      <w:r>
        <w:separator/>
      </w:r>
    </w:p>
  </w:endnote>
  <w:endnote w:type="continuationSeparator" w:id="0">
    <w:p w14:paraId="1A6A2D45" w14:textId="77777777" w:rsidR="006F3319" w:rsidRDefault="006F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709899"/>
      <w:docPartObj>
        <w:docPartGallery w:val="Page Numbers (Bottom of Page)"/>
        <w:docPartUnique/>
      </w:docPartObj>
    </w:sdtPr>
    <w:sdtContent>
      <w:p w14:paraId="145C9E93" w14:textId="77777777" w:rsidR="00FF2E95" w:rsidRDefault="00000000">
        <w:pPr>
          <w:pStyle w:val="Zpat"/>
          <w:jc w:val="center"/>
        </w:pPr>
        <w:r>
          <w:fldChar w:fldCharType="begin"/>
        </w:r>
        <w:r>
          <w:instrText>PAGE   \* MERGEFORMAT</w:instrText>
        </w:r>
        <w:r>
          <w:fldChar w:fldCharType="separate"/>
        </w:r>
        <w:r>
          <w:t>39</w:t>
        </w:r>
        <w:r>
          <w:fldChar w:fldCharType="end"/>
        </w:r>
      </w:p>
    </w:sdtContent>
  </w:sdt>
  <w:p w14:paraId="403C21ED" w14:textId="77777777" w:rsidR="00FF2E95" w:rsidRDefault="00FF2E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B94F" w14:textId="77777777" w:rsidR="006F3319" w:rsidRDefault="006F3319">
      <w:pPr>
        <w:spacing w:after="0" w:line="240" w:lineRule="auto"/>
      </w:pPr>
      <w:r>
        <w:separator/>
      </w:r>
    </w:p>
  </w:footnote>
  <w:footnote w:type="continuationSeparator" w:id="0">
    <w:p w14:paraId="65702F75" w14:textId="77777777" w:rsidR="006F3319" w:rsidRDefault="006F3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BFB"/>
    <w:multiLevelType w:val="multilevel"/>
    <w:tmpl w:val="D5745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F0F2C"/>
    <w:multiLevelType w:val="multilevel"/>
    <w:tmpl w:val="745664E0"/>
    <w:lvl w:ilvl="0">
      <w:numFmt w:val="bullet"/>
      <w:lvlText w:val="-"/>
      <w:lvlJc w:val="left"/>
      <w:pPr>
        <w:ind w:left="720" w:hanging="360"/>
      </w:pPr>
      <w:rPr>
        <w:rFonts w:ascii="Arial" w:eastAsiaTheme="maj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FC73B5"/>
    <w:multiLevelType w:val="multilevel"/>
    <w:tmpl w:val="555C1EEC"/>
    <w:lvl w:ilvl="0">
      <w:numFmt w:val="bullet"/>
      <w:lvlText w:val="·"/>
      <w:lvlJc w:val="left"/>
      <w:pPr>
        <w:ind w:left="1070" w:hanging="71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13370D"/>
    <w:multiLevelType w:val="multilevel"/>
    <w:tmpl w:val="71CABA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B342E1"/>
    <w:multiLevelType w:val="multilevel"/>
    <w:tmpl w:val="E6340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317A14"/>
    <w:multiLevelType w:val="multilevel"/>
    <w:tmpl w:val="3E580EBC"/>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 w15:restartNumberingAfterBreak="0">
    <w:nsid w:val="60E57290"/>
    <w:multiLevelType w:val="multilevel"/>
    <w:tmpl w:val="8EE80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A32EF7"/>
    <w:multiLevelType w:val="multilevel"/>
    <w:tmpl w:val="DE285A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DE24D25"/>
    <w:multiLevelType w:val="multilevel"/>
    <w:tmpl w:val="A50673CE"/>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Calibri"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27F520D"/>
    <w:multiLevelType w:val="multilevel"/>
    <w:tmpl w:val="26A28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AD59A1"/>
    <w:multiLevelType w:val="multilevel"/>
    <w:tmpl w:val="7A7EABCA"/>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16cid:durableId="536285232">
    <w:abstractNumId w:val="1"/>
  </w:num>
  <w:num w:numId="2" w16cid:durableId="85811077">
    <w:abstractNumId w:val="0"/>
  </w:num>
  <w:num w:numId="3" w16cid:durableId="266160517">
    <w:abstractNumId w:val="7"/>
  </w:num>
  <w:num w:numId="4" w16cid:durableId="623468742">
    <w:abstractNumId w:val="8"/>
  </w:num>
  <w:num w:numId="5" w16cid:durableId="1389767960">
    <w:abstractNumId w:val="9"/>
  </w:num>
  <w:num w:numId="6" w16cid:durableId="1327057610">
    <w:abstractNumId w:val="3"/>
  </w:num>
  <w:num w:numId="7" w16cid:durableId="835412704">
    <w:abstractNumId w:val="2"/>
  </w:num>
  <w:num w:numId="8" w16cid:durableId="33387709">
    <w:abstractNumId w:val="10"/>
  </w:num>
  <w:num w:numId="9" w16cid:durableId="998535287">
    <w:abstractNumId w:val="5"/>
  </w:num>
  <w:num w:numId="10" w16cid:durableId="408818684">
    <w:abstractNumId w:val="6"/>
  </w:num>
  <w:num w:numId="11" w16cid:durableId="445195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95"/>
    <w:rsid w:val="000038CD"/>
    <w:rsid w:val="00020F1F"/>
    <w:rsid w:val="00070811"/>
    <w:rsid w:val="00074461"/>
    <w:rsid w:val="000A25CF"/>
    <w:rsid w:val="00150A17"/>
    <w:rsid w:val="00223169"/>
    <w:rsid w:val="0023273C"/>
    <w:rsid w:val="00287F39"/>
    <w:rsid w:val="002D684A"/>
    <w:rsid w:val="0034688F"/>
    <w:rsid w:val="00365306"/>
    <w:rsid w:val="0037713F"/>
    <w:rsid w:val="003A1F1D"/>
    <w:rsid w:val="003A2E8E"/>
    <w:rsid w:val="00420DC5"/>
    <w:rsid w:val="00464B77"/>
    <w:rsid w:val="004B12E2"/>
    <w:rsid w:val="00540AEB"/>
    <w:rsid w:val="00575AB0"/>
    <w:rsid w:val="005A03A4"/>
    <w:rsid w:val="005A275F"/>
    <w:rsid w:val="005E7682"/>
    <w:rsid w:val="00605332"/>
    <w:rsid w:val="00647FCE"/>
    <w:rsid w:val="006F0B52"/>
    <w:rsid w:val="006F3319"/>
    <w:rsid w:val="006F72F2"/>
    <w:rsid w:val="00701CAA"/>
    <w:rsid w:val="00712271"/>
    <w:rsid w:val="007B55EF"/>
    <w:rsid w:val="007D4F3A"/>
    <w:rsid w:val="008219F4"/>
    <w:rsid w:val="00911BD3"/>
    <w:rsid w:val="00951992"/>
    <w:rsid w:val="009D7029"/>
    <w:rsid w:val="00A41892"/>
    <w:rsid w:val="00A741F6"/>
    <w:rsid w:val="00AC3D71"/>
    <w:rsid w:val="00AD5DAD"/>
    <w:rsid w:val="00B0686F"/>
    <w:rsid w:val="00B1126E"/>
    <w:rsid w:val="00B675FC"/>
    <w:rsid w:val="00BC6518"/>
    <w:rsid w:val="00BF5916"/>
    <w:rsid w:val="00C90A17"/>
    <w:rsid w:val="00CC5280"/>
    <w:rsid w:val="00D127B6"/>
    <w:rsid w:val="00D32E59"/>
    <w:rsid w:val="00D533AD"/>
    <w:rsid w:val="00D54DF9"/>
    <w:rsid w:val="00E2132B"/>
    <w:rsid w:val="00E44F3E"/>
    <w:rsid w:val="00E67EF6"/>
    <w:rsid w:val="00E720AB"/>
    <w:rsid w:val="00EA3215"/>
    <w:rsid w:val="00F27944"/>
    <w:rsid w:val="00F67140"/>
    <w:rsid w:val="00F85BB0"/>
    <w:rsid w:val="00FC6983"/>
    <w:rsid w:val="00FD444A"/>
    <w:rsid w:val="00FE7D8F"/>
    <w:rsid w:val="00FF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696"/>
  <w15:docId w15:val="{490F0149-1E2B-4463-9B03-D6F3D6DE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rPr>
      <w:sz w:val="16"/>
      <w:szCs w:val="16"/>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Znakapoznpodarou">
    <w:name w:val="footnote reference"/>
    <w:uiPriority w:val="99"/>
    <w:semiHidden/>
    <w:rPr>
      <w:vertAlign w:val="superscript"/>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rPr>
      <w:color w:val="605E5C"/>
      <w:shd w:val="clear" w:color="auto" w:fill="E1DFDD"/>
    </w:rPr>
  </w:style>
  <w:style w:type="paragraph" w:styleId="Odstavecseseznamem">
    <w:name w:val="List Paragraph"/>
    <w:basedOn w:val="Normln"/>
    <w:uiPriority w:val="34"/>
    <w:qFormat/>
    <w:pPr>
      <w:ind w:left="720"/>
      <w:contextualSpacing/>
    </w:pPr>
  </w:style>
  <w:style w:type="paragraph" w:customStyle="1" w:styleId="4">
    <w:name w:val="4"/>
    <w:pPr>
      <w:spacing w:after="170" w:line="240" w:lineRule="auto"/>
      <w:ind w:left="850" w:right="850"/>
      <w:jc w:val="center"/>
    </w:pPr>
    <w:rPr>
      <w:rFonts w:ascii="Times New Roman" w:eastAsia="Times New Roman" w:hAnsi="Times New Roman" w:cs="Times New Roman"/>
      <w:b/>
      <w:sz w:val="28"/>
      <w:szCs w:val="20"/>
    </w:rPr>
  </w:style>
  <w:style w:type="paragraph" w:customStyle="1" w:styleId="9">
    <w:name w:val="9"/>
    <w:pPr>
      <w:spacing w:before="227" w:after="113" w:line="240" w:lineRule="auto"/>
      <w:jc w:val="center"/>
    </w:pPr>
    <w:rPr>
      <w:rFonts w:ascii="Times New Roman" w:eastAsia="Times New Roman" w:hAnsi="Times New Roman" w:cs="Times New Roman"/>
      <w:sz w:val="28"/>
      <w:szCs w:val="20"/>
    </w:rPr>
  </w:style>
  <w:style w:type="paragraph" w:customStyle="1" w:styleId="16">
    <w:name w:val="16"/>
    <w:pPr>
      <w:spacing w:after="57" w:line="240" w:lineRule="auto"/>
      <w:jc w:val="both"/>
    </w:pPr>
    <w:rPr>
      <w:rFonts w:ascii="Times New Roman" w:eastAsia="Times New Roman" w:hAnsi="Times New Roman" w:cs="Times New Roman"/>
      <w:sz w:val="24"/>
      <w:szCs w:val="20"/>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Nevyeenzmnka2">
    <w:name w:val="Nevyřešená zmínka2"/>
    <w:basedOn w:val="Standardnpsmoodstavce"/>
    <w:uiPriority w:val="99"/>
    <w:semiHidden/>
    <w:unhideWhenUsed/>
    <w:rsid w:val="0071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zp.cz/cz/lokalni_topenis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zp.cz/C1257458002F0DC7/cz/zdroje_znecistovani_ovzdusi/$FILE/OOO-ProjektTACR_TITOMZP903_%20Zaverecna_%20zprava-20240531.pdf" TargetMode="External"/><Relationship Id="rId4" Type="http://schemas.openxmlformats.org/officeDocument/2006/relationships/webSettings" Target="webSettings.xml"/><Relationship Id="rId9" Type="http://schemas.openxmlformats.org/officeDocument/2006/relationships/hyperlink" Target="https://www.mpo.cz/assets/cz/prumysl/ippc-integrovana-prevence-a-omezovani-znecisteni/aktuality/2019/12/Zavery-o-BAT-pro-prumysl-potravin--napoju-a-mleka.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39</Pages>
  <Words>18962</Words>
  <Characters>111878</Characters>
  <Application>Microsoft Office Word</Application>
  <DocSecurity>0</DocSecurity>
  <Lines>932</Lines>
  <Paragraphs>261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 Jakl</dc:creator>
  <cp:lastModifiedBy>Bejckova Pavla</cp:lastModifiedBy>
  <cp:revision>6</cp:revision>
  <dcterms:created xsi:type="dcterms:W3CDTF">2025-03-07T06:28:00Z</dcterms:created>
  <dcterms:modified xsi:type="dcterms:W3CDTF">2025-03-07T10:29:00Z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160.2</vt:lpwstr>
  </property>
  <property fmtid="{D5CDD505-2E9C-101B-9397-08002B2CF9AE}" pid="4" name="Cislo_PostaOdesPisemnostDokumentVerze_PostaOdesPisemnost">
    <vt:lpwstr>VÝTISK Č. ...</vt:lpwstr>
  </property>
  <property fmtid="{D5CDD505-2E9C-101B-9397-08002B2CF9AE}" pid="5" name="CJ">
    <vt:lpwstr>MZP/2025/280/102</vt:lpwstr>
  </property>
  <property fmtid="{D5CDD505-2E9C-101B-9397-08002B2CF9AE}" pid="6" name="CJ_PostaDoruc_PisemnostOdpovedNa_Pisemnost">
    <vt:lpwstr>XXX-XXX-XXX</vt:lpwstr>
  </property>
  <property fmtid="{D5CDD505-2E9C-101B-9397-08002B2CF9AE}" pid="7" name="CJ_Spis_Pisemnost">
    <vt:lpwstr>MZP/2024/280/796</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4.3.2025</vt:lpwstr>
  </property>
  <property fmtid="{D5CDD505-2E9C-101B-9397-08002B2CF9AE}" pid="13" name="DisplayName_CisloObalky_PostaOdes">
    <vt:lpwstr>ČÍSLO OBÁLKY</vt:lpwstr>
  </property>
  <property fmtid="{D5CDD505-2E9C-101B-9397-08002B2CF9AE}" pid="14" name="DisplayName_CJCol">
    <vt:lpwstr>&lt;TABLE&gt;&lt;TR&gt;&lt;TD&gt;Č.j.:&lt;/TD&gt;&lt;TD&gt;MZP/2025/280/102&lt;/TD&gt;&lt;/TR&gt;&lt;TR&gt;&lt;TD&gt;&lt;/TD&gt;&lt;TD&gt;&lt;/TD&gt;&lt;/TR&gt;&lt;/TABLE&gt;</vt:lpwstr>
  </property>
  <property fmtid="{D5CDD505-2E9C-101B-9397-08002B2CF9AE}" pid="15" name="DisplayName_PoziceMa_Pisemnost">
    <vt:lpwstr>JUDr. Pavla Bejčková, Ph.D.</vt:lpwstr>
  </property>
  <property fmtid="{D5CDD505-2E9C-101B-9397-08002B2CF9AE}" pid="16" name="DisplayName_SlozkaStupenUtajeniCollection_Slozka_Pisemnost">
    <vt:lpwstr/>
  </property>
  <property fmtid="{D5CDD505-2E9C-101B-9397-08002B2CF9AE}" pid="17" name="DisplayName_SpisovyUzel_PoziceZodpo_Pisemnost">
    <vt:lpwstr>Odbor legislativní</vt:lpwstr>
  </property>
  <property fmtid="{D5CDD505-2E9C-101B-9397-08002B2CF9AE}" pid="18" name="DisplayName_Spis_Pisemnost">
    <vt:lpwstr>Novela vyhlášky č. 415/2012 Sb.</vt:lpwstr>
  </property>
  <property fmtid="{D5CDD505-2E9C-101B-9397-08002B2CF9AE}" pid="19" name="DisplayName_UserPoriz_Pisemnost">
    <vt:lpwstr>JUDr. Pavla Bejčková, Ph.D.</vt:lpwstr>
  </property>
  <property fmtid="{D5CDD505-2E9C-101B-9397-08002B2CF9AE}" pid="20" name="DuvodZmeny_SlozkaStupenUtajeniCollection_Slozka_Pisemnost">
    <vt:lpwstr/>
  </property>
  <property fmtid="{D5CDD505-2E9C-101B-9397-08002B2CF9AE}" pid="21" name="EC_Pisemnost">
    <vt:lpwstr>ENV/2025/159730</vt:lpwstr>
  </property>
  <property fmtid="{D5CDD505-2E9C-101B-9397-08002B2CF9AE}" pid="22" name="Key_BarCode_Pisemnost">
    <vt:lpwstr>*B002907590*</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0</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ENV/2025/159730</vt:lpwstr>
  </property>
  <property fmtid="{D5CDD505-2E9C-101B-9397-08002B2CF9AE}" pid="36" name="RC">
    <vt:lpwstr/>
  </property>
  <property fmtid="{D5CDD505-2E9C-101B-9397-08002B2CF9AE}" pid="37" name="SkartacniZnakLhuta_PisemnostZnak">
    <vt:lpwstr>A/10</vt:lpwstr>
  </property>
  <property fmtid="{D5CDD505-2E9C-101B-9397-08002B2CF9AE}" pid="38" name="SmlouvaCislo">
    <vt:lpwstr>ČÍSLO SMLOUVY</vt:lpwstr>
  </property>
  <property fmtid="{D5CDD505-2E9C-101B-9397-08002B2CF9AE}" pid="39" name="SZ_Spis_Pisemnost">
    <vt:lpwstr>ZN/MZP/2024/280/50</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Do MPŘ - návrh vyhlášky, kterou se mění vyhláška č. 415/2012 Sb., o přípustné úrovni znečišťování a jejím zjišťování a o provedení některých dalších ustanovení zákona o ochraně ovzduší, ve znění pozdějších předpisů</vt:lpwstr>
  </property>
  <property fmtid="{D5CDD505-2E9C-101B-9397-08002B2CF9AE}" pid="44" name="Zkratka_SpisovyUzel_PoziceZodpo_Pisemnost">
    <vt:lpwstr>280</vt:lpwstr>
  </property>
</Properties>
</file>