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9A" w:rsidRPr="008E66EF" w:rsidRDefault="00C56D9A" w:rsidP="00C56D9A">
      <w:pPr>
        <w:pStyle w:val="Nadpis2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bookmarkStart w:id="0" w:name="_GoBack"/>
      <w:bookmarkEnd w:id="0"/>
      <w:r w:rsidRPr="008E66EF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Závěry o BAT </w:t>
      </w:r>
    </w:p>
    <w:p w:rsidR="00BA3995" w:rsidRPr="00BA3995" w:rsidRDefault="00BA3995" w:rsidP="00BA3995">
      <w:pPr>
        <w:rPr>
          <w:rFonts w:ascii="Times New Roman" w:hAnsi="Times New Roman" w:cs="Times New Roman"/>
          <w:color w:val="auto"/>
        </w:rPr>
      </w:pPr>
      <w:r w:rsidRPr="00BA3995">
        <w:rPr>
          <w:rFonts w:ascii="Times New Roman" w:hAnsi="Times New Roman" w:cs="Times New Roman"/>
          <w:b/>
        </w:rPr>
        <w:t>Závěry o</w:t>
      </w:r>
      <w:r w:rsidRPr="00BA3995">
        <w:rPr>
          <w:rFonts w:ascii="Times New Roman" w:hAnsi="Times New Roman" w:cs="Times New Roman"/>
        </w:rPr>
        <w:t xml:space="preserve"> nejlepších dostupných technikách (</w:t>
      </w:r>
      <w:r w:rsidRPr="00BA3995">
        <w:rPr>
          <w:rFonts w:ascii="Times New Roman" w:hAnsi="Times New Roman" w:cs="Times New Roman"/>
          <w:b/>
        </w:rPr>
        <w:t>BAT</w:t>
      </w:r>
      <w:r w:rsidRPr="00BA3995">
        <w:rPr>
          <w:rFonts w:ascii="Times New Roman" w:hAnsi="Times New Roman" w:cs="Times New Roman"/>
        </w:rPr>
        <w:t>) se rozumí dokument obsahující části referenčního dokumentu o nejlepších dostupných technikách</w:t>
      </w:r>
      <w:r>
        <w:rPr>
          <w:rFonts w:ascii="Times New Roman" w:hAnsi="Times New Roman" w:cs="Times New Roman"/>
        </w:rPr>
        <w:t xml:space="preserve"> (</w:t>
      </w:r>
      <w:r w:rsidRPr="00BA3995">
        <w:rPr>
          <w:rFonts w:ascii="Times New Roman" w:hAnsi="Times New Roman" w:cs="Times New Roman"/>
          <w:b/>
        </w:rPr>
        <w:t>BREF</w:t>
      </w:r>
      <w:r>
        <w:rPr>
          <w:rFonts w:ascii="Times New Roman" w:hAnsi="Times New Roman" w:cs="Times New Roman"/>
        </w:rPr>
        <w:t>)</w:t>
      </w:r>
      <w:r w:rsidRPr="00BA3995">
        <w:rPr>
          <w:rFonts w:ascii="Times New Roman" w:hAnsi="Times New Roman" w:cs="Times New Roman"/>
        </w:rPr>
        <w:t xml:space="preserve"> stanovící závěry o </w:t>
      </w:r>
      <w:r>
        <w:rPr>
          <w:rFonts w:ascii="Times New Roman" w:hAnsi="Times New Roman" w:cs="Times New Roman"/>
        </w:rPr>
        <w:t>BAT</w:t>
      </w:r>
      <w:r w:rsidR="00220236">
        <w:rPr>
          <w:rFonts w:ascii="Times New Roman" w:hAnsi="Times New Roman" w:cs="Times New Roman"/>
        </w:rPr>
        <w:t>, jejich popis, informace k </w:t>
      </w:r>
      <w:r w:rsidRPr="00BA3995">
        <w:rPr>
          <w:rFonts w:ascii="Times New Roman" w:hAnsi="Times New Roman" w:cs="Times New Roman"/>
        </w:rPr>
        <w:t xml:space="preserve">hodnocení jejich použitelnosti, úrovně emisí spojené s </w:t>
      </w:r>
      <w:r>
        <w:rPr>
          <w:rFonts w:ascii="Times New Roman" w:hAnsi="Times New Roman" w:cs="Times New Roman"/>
        </w:rPr>
        <w:t>BAT</w:t>
      </w:r>
      <w:r w:rsidRPr="00BA3995">
        <w:rPr>
          <w:rFonts w:ascii="Times New Roman" w:hAnsi="Times New Roman" w:cs="Times New Roman"/>
        </w:rPr>
        <w:t xml:space="preserve">, související monitorování, související úrovně spotřeby a případně příslušná sanační opatření </w:t>
      </w:r>
    </w:p>
    <w:p w:rsidR="00BA3995" w:rsidRPr="00BA3995" w:rsidRDefault="00BA3995" w:rsidP="00BA3995">
      <w:pPr>
        <w:rPr>
          <w:rFonts w:ascii="Times New Roman" w:hAnsi="Times New Roman" w:cs="Times New Roman"/>
        </w:rPr>
      </w:pPr>
      <w:r w:rsidRPr="00BA3995">
        <w:rPr>
          <w:rFonts w:ascii="Times New Roman" w:hAnsi="Times New Roman" w:cs="Times New Roman"/>
        </w:rPr>
        <w:t xml:space="preserve">Při stanovení závazných podmínek provozu, zejména emisních limitů, se vychází z </w:t>
      </w:r>
      <w:r>
        <w:rPr>
          <w:rFonts w:ascii="Times New Roman" w:hAnsi="Times New Roman" w:cs="Times New Roman"/>
        </w:rPr>
        <w:t>BAT</w:t>
      </w:r>
      <w:r w:rsidRPr="00BA3995">
        <w:rPr>
          <w:rFonts w:ascii="Times New Roman" w:hAnsi="Times New Roman" w:cs="Times New Roman"/>
        </w:rPr>
        <w:t xml:space="preserve"> a </w:t>
      </w:r>
      <w:r w:rsidRPr="00240DB8">
        <w:rPr>
          <w:rFonts w:ascii="Times New Roman" w:hAnsi="Times New Roman" w:cs="Times New Roman"/>
          <w:b/>
        </w:rPr>
        <w:t>použijí se závěry o BAT</w:t>
      </w:r>
      <w:r w:rsidRPr="00BA3995">
        <w:rPr>
          <w:rFonts w:ascii="Times New Roman" w:hAnsi="Times New Roman" w:cs="Times New Roman"/>
        </w:rPr>
        <w:t xml:space="preserve">, </w:t>
      </w:r>
      <w:r w:rsidRPr="00240DB8">
        <w:rPr>
          <w:rFonts w:ascii="Times New Roman" w:hAnsi="Times New Roman" w:cs="Times New Roman"/>
          <w:b/>
        </w:rPr>
        <w:t>aniž by se však předepisovalo použití jakékoli konkrétní metody či technologie</w:t>
      </w:r>
      <w:r w:rsidRPr="00BA3995">
        <w:rPr>
          <w:rFonts w:ascii="Times New Roman" w:hAnsi="Times New Roman" w:cs="Times New Roman"/>
        </w:rPr>
        <w:t xml:space="preserve">. Stále platí, že stanovené </w:t>
      </w:r>
      <w:r w:rsidRPr="00240DB8">
        <w:rPr>
          <w:rFonts w:ascii="Times New Roman" w:hAnsi="Times New Roman" w:cs="Times New Roman"/>
          <w:b/>
        </w:rPr>
        <w:t>závazné podmínky provozu nesmí být mírnější</w:t>
      </w:r>
      <w:r w:rsidRPr="00BA3995">
        <w:rPr>
          <w:rFonts w:ascii="Times New Roman" w:hAnsi="Times New Roman" w:cs="Times New Roman"/>
        </w:rPr>
        <w:t xml:space="preserve"> než podmínky provozu, které by jinak byly stanoveny podle zvláštních právních předpisů (</w:t>
      </w:r>
      <w:r w:rsidRPr="00240DB8">
        <w:rPr>
          <w:rFonts w:ascii="Times New Roman" w:hAnsi="Times New Roman" w:cs="Times New Roman"/>
          <w:b/>
        </w:rPr>
        <w:t>složkových zákonů</w:t>
      </w:r>
      <w:r w:rsidRPr="00BA3995">
        <w:rPr>
          <w:rFonts w:ascii="Times New Roman" w:hAnsi="Times New Roman" w:cs="Times New Roman"/>
        </w:rPr>
        <w:t xml:space="preserve">). </w:t>
      </w:r>
    </w:p>
    <w:p w:rsidR="00BA3995" w:rsidRPr="00BA3995" w:rsidRDefault="00BA3995" w:rsidP="00BA3995">
      <w:pPr>
        <w:spacing w:after="60"/>
        <w:rPr>
          <w:rFonts w:ascii="Times New Roman" w:hAnsi="Times New Roman" w:cs="Times New Roman"/>
        </w:rPr>
      </w:pPr>
      <w:r w:rsidRPr="00BA3995">
        <w:rPr>
          <w:rFonts w:ascii="Times New Roman" w:hAnsi="Times New Roman" w:cs="Times New Roman"/>
        </w:rPr>
        <w:t xml:space="preserve">Zák. č. 76/2002 Sb., § 20b, odst. (1) stanoví: </w:t>
      </w:r>
    </w:p>
    <w:p w:rsidR="00BA3995" w:rsidRPr="00D15B65" w:rsidRDefault="00BA3995" w:rsidP="00BA3995">
      <w:pPr>
        <w:spacing w:before="0"/>
        <w:rPr>
          <w:rFonts w:ascii="Times New Roman" w:hAnsi="Times New Roman" w:cs="Times New Roman"/>
          <w:i/>
          <w:iCs/>
        </w:rPr>
      </w:pPr>
      <w:r w:rsidRPr="00D15B65">
        <w:rPr>
          <w:rFonts w:ascii="Times New Roman" w:hAnsi="Times New Roman" w:cs="Times New Roman"/>
          <w:i/>
          <w:iCs/>
        </w:rPr>
        <w:t xml:space="preserve">Kontrola, kterou podle tohoto zákona provádí inspekce, zahrnuje veškeré činnosti, včetně výkonu kontroly na místě provozu zařízení, monitorování emisí a kontrol dokumentace a podkladů, ověřování vlastního monitorování, kontrol používaných technik a vhodnosti řízení provozu zařízení z hlediska životního prostředí, prováděné s cílem kontrolovat zařízení z hlediska </w:t>
      </w:r>
      <w:r w:rsidRPr="00D15B65">
        <w:rPr>
          <w:rFonts w:ascii="Times New Roman" w:hAnsi="Times New Roman" w:cs="Times New Roman"/>
          <w:b/>
          <w:bCs/>
          <w:i/>
          <w:iCs/>
        </w:rPr>
        <w:t>dodržovaní povinností stanovených tímto zákonem nebo integrovaným povolením</w:t>
      </w:r>
      <w:r w:rsidRPr="00D15B65">
        <w:rPr>
          <w:rFonts w:ascii="Times New Roman" w:hAnsi="Times New Roman" w:cs="Times New Roman"/>
          <w:i/>
          <w:iCs/>
        </w:rPr>
        <w:t xml:space="preserve">, podporovat dodržovaní těchto povinností a tam, kde je to nezbytné, monitorovat jejich dopad na životní prostředí. </w:t>
      </w:r>
    </w:p>
    <w:p w:rsidR="00BA3995" w:rsidRPr="00E6546B" w:rsidRDefault="00BA3995" w:rsidP="00BA3995">
      <w:pPr>
        <w:rPr>
          <w:rFonts w:ascii="Times New Roman" w:hAnsi="Times New Roman" w:cs="Times New Roman"/>
          <w:b/>
          <w:color w:val="auto"/>
        </w:rPr>
      </w:pPr>
      <w:r w:rsidRPr="00E6546B">
        <w:rPr>
          <w:rFonts w:ascii="Times New Roman" w:hAnsi="Times New Roman" w:cs="Times New Roman"/>
          <w:b/>
          <w:color w:val="auto"/>
        </w:rPr>
        <w:t xml:space="preserve">Z výše uvedeného </w:t>
      </w:r>
      <w:r w:rsidR="00240DB8" w:rsidRPr="00E6546B">
        <w:rPr>
          <w:rFonts w:ascii="Times New Roman" w:hAnsi="Times New Roman" w:cs="Times New Roman"/>
          <w:b/>
          <w:color w:val="auto"/>
        </w:rPr>
        <w:t xml:space="preserve">vyplývá, že </w:t>
      </w:r>
      <w:r w:rsidRPr="00E6546B">
        <w:rPr>
          <w:rFonts w:ascii="Times New Roman" w:hAnsi="Times New Roman" w:cs="Times New Roman"/>
          <w:b/>
          <w:color w:val="auto"/>
        </w:rPr>
        <w:t xml:space="preserve">Inspekce </w:t>
      </w:r>
      <w:r w:rsidR="00240DB8" w:rsidRPr="00E6546B">
        <w:rPr>
          <w:rFonts w:ascii="Times New Roman" w:hAnsi="Times New Roman" w:cs="Times New Roman"/>
          <w:b/>
          <w:color w:val="auto"/>
        </w:rPr>
        <w:t xml:space="preserve">musí být i </w:t>
      </w:r>
      <w:r w:rsidRPr="00E6546B">
        <w:rPr>
          <w:rFonts w:ascii="Times New Roman" w:hAnsi="Times New Roman" w:cs="Times New Roman"/>
          <w:b/>
          <w:color w:val="auto"/>
        </w:rPr>
        <w:t>schopna posou</w:t>
      </w:r>
      <w:r w:rsidR="00633B59">
        <w:rPr>
          <w:rFonts w:ascii="Times New Roman" w:hAnsi="Times New Roman" w:cs="Times New Roman"/>
          <w:b/>
          <w:color w:val="auto"/>
        </w:rPr>
        <w:t>dit nesoulad IP se závěry o BAT!</w:t>
      </w:r>
    </w:p>
    <w:p w:rsidR="00240DB8" w:rsidRDefault="00BA3995" w:rsidP="00C56D9A">
      <w:pPr>
        <w:spacing w:after="240"/>
        <w:rPr>
          <w:rFonts w:ascii="Times New Roman" w:hAnsi="Times New Roman" w:cs="Times New Roman"/>
        </w:rPr>
      </w:pPr>
      <w:r w:rsidRPr="00BA3995">
        <w:rPr>
          <w:rFonts w:ascii="Times New Roman" w:hAnsi="Times New Roman" w:cs="Times New Roman"/>
        </w:rPr>
        <w:t xml:space="preserve">Seznam doposud přijatých závěrů o BAT, viz </w:t>
      </w:r>
      <w:hyperlink r:id="rId8" w:history="1">
        <w:r w:rsidRPr="00BA3995">
          <w:rPr>
            <w:rStyle w:val="Hypertextovodkaz"/>
            <w:rFonts w:ascii="Times New Roman" w:hAnsi="Times New Roman" w:cs="Times New Roman"/>
          </w:rPr>
          <w:t>https://www.mpo.cz/ippc/zavery-o-bat--224367/</w:t>
        </w:r>
      </w:hyperlink>
      <w:r w:rsidRPr="00BA3995">
        <w:rPr>
          <w:rFonts w:ascii="Times New Roman" w:hAnsi="Times New Roman" w:cs="Times New Roman"/>
        </w:rPr>
        <w:t xml:space="preserve">. Úřad </w:t>
      </w:r>
      <w:r w:rsidR="00240DB8">
        <w:rPr>
          <w:rFonts w:ascii="Times New Roman" w:hAnsi="Times New Roman" w:cs="Times New Roman"/>
        </w:rPr>
        <w:t xml:space="preserve">(KÚ) </w:t>
      </w:r>
      <w:r w:rsidRPr="00BA3995">
        <w:rPr>
          <w:rFonts w:ascii="Times New Roman" w:hAnsi="Times New Roman" w:cs="Times New Roman"/>
        </w:rPr>
        <w:t xml:space="preserve">na základě provedeného přezkumu zajistí, aby do 4 let od zveřejnění příslušných závěrů o </w:t>
      </w:r>
      <w:r w:rsidR="00D15B65">
        <w:rPr>
          <w:rFonts w:ascii="Times New Roman" w:hAnsi="Times New Roman" w:cs="Times New Roman"/>
        </w:rPr>
        <w:t>BAT</w:t>
      </w:r>
      <w:r w:rsidRPr="00BA3995">
        <w:rPr>
          <w:rFonts w:ascii="Times New Roman" w:hAnsi="Times New Roman" w:cs="Times New Roman"/>
        </w:rPr>
        <w:t xml:space="preserve"> byly závazné podmínky </w:t>
      </w:r>
      <w:r w:rsidR="00240DB8">
        <w:rPr>
          <w:rFonts w:ascii="Times New Roman" w:hAnsi="Times New Roman" w:cs="Times New Roman"/>
        </w:rPr>
        <w:t>IP</w:t>
      </w:r>
      <w:r w:rsidRPr="00BA3995">
        <w:rPr>
          <w:rFonts w:ascii="Times New Roman" w:hAnsi="Times New Roman" w:cs="Times New Roman"/>
        </w:rPr>
        <w:t xml:space="preserve"> v souladu se závěry o </w:t>
      </w:r>
      <w:r w:rsidR="00D15B65">
        <w:rPr>
          <w:rFonts w:ascii="Times New Roman" w:hAnsi="Times New Roman" w:cs="Times New Roman"/>
        </w:rPr>
        <w:t>BAT</w:t>
      </w:r>
      <w:r w:rsidRPr="00BA3995">
        <w:rPr>
          <w:rFonts w:ascii="Times New Roman" w:hAnsi="Times New Roman" w:cs="Times New Roman"/>
        </w:rPr>
        <w:t xml:space="preserve"> a aby provozovatel zařízení byl povinen tyto podmínky dodržovat. </w:t>
      </w:r>
      <w:r w:rsidR="00C56D9A" w:rsidRPr="00BA3995">
        <w:rPr>
          <w:rFonts w:ascii="Times New Roman" w:hAnsi="Times New Roman" w:cs="Times New Roman"/>
        </w:rPr>
        <w:t>Všechna prováděcí rozhodnutí Komise</w:t>
      </w:r>
      <w:r w:rsidR="00240DB8">
        <w:rPr>
          <w:rFonts w:ascii="Times New Roman" w:hAnsi="Times New Roman" w:cs="Times New Roman"/>
        </w:rPr>
        <w:t xml:space="preserve"> EU</w:t>
      </w:r>
      <w:r w:rsidR="00C56D9A" w:rsidRPr="00BA3995">
        <w:rPr>
          <w:rFonts w:ascii="Times New Roman" w:hAnsi="Times New Roman" w:cs="Times New Roman"/>
        </w:rPr>
        <w:t xml:space="preserve">, kterými se stanoví závěry o BAT podle </w:t>
      </w:r>
      <w:r w:rsidR="00240DB8">
        <w:rPr>
          <w:rFonts w:ascii="Times New Roman" w:hAnsi="Times New Roman" w:cs="Times New Roman"/>
          <w:bCs/>
        </w:rPr>
        <w:t>S</w:t>
      </w:r>
      <w:r w:rsidR="00240DB8" w:rsidRPr="00BA3995">
        <w:rPr>
          <w:rFonts w:ascii="Times New Roman" w:hAnsi="Times New Roman" w:cs="Times New Roman"/>
          <w:bCs/>
        </w:rPr>
        <w:t xml:space="preserve">měrnice </w:t>
      </w:r>
      <w:r w:rsidR="00240DB8">
        <w:rPr>
          <w:rFonts w:ascii="Times New Roman" w:hAnsi="Times New Roman" w:cs="Times New Roman"/>
          <w:bCs/>
        </w:rPr>
        <w:t xml:space="preserve">o průmyslových emisích </w:t>
      </w:r>
      <w:r w:rsidR="00240DB8" w:rsidRPr="00BA3995">
        <w:rPr>
          <w:rFonts w:ascii="Times New Roman" w:hAnsi="Times New Roman" w:cs="Times New Roman"/>
          <w:bCs/>
        </w:rPr>
        <w:t>2010/75/EU</w:t>
      </w:r>
      <w:r w:rsidR="00240DB8" w:rsidRPr="00BA3995">
        <w:rPr>
          <w:rFonts w:ascii="Times New Roman" w:hAnsi="Times New Roman" w:cs="Times New Roman"/>
        </w:rPr>
        <w:t xml:space="preserve"> </w:t>
      </w:r>
      <w:r w:rsidR="00240DB8">
        <w:rPr>
          <w:rFonts w:ascii="Times New Roman" w:hAnsi="Times New Roman" w:cs="Times New Roman"/>
        </w:rPr>
        <w:t>(</w:t>
      </w:r>
      <w:r w:rsidR="00C56D9A" w:rsidRPr="00240DB8">
        <w:rPr>
          <w:rFonts w:ascii="Times New Roman" w:hAnsi="Times New Roman" w:cs="Times New Roman"/>
          <w:b/>
        </w:rPr>
        <w:t>IED</w:t>
      </w:r>
      <w:r w:rsidR="00240DB8">
        <w:rPr>
          <w:rFonts w:ascii="Times New Roman" w:hAnsi="Times New Roman" w:cs="Times New Roman"/>
        </w:rPr>
        <w:t>)</w:t>
      </w:r>
      <w:r w:rsidR="00C56D9A" w:rsidRPr="00BA3995">
        <w:rPr>
          <w:rFonts w:ascii="Times New Roman" w:hAnsi="Times New Roman" w:cs="Times New Roman"/>
        </w:rPr>
        <w:t>, jsou </w:t>
      </w:r>
      <w:r w:rsidR="00C56D9A" w:rsidRPr="00D15B65">
        <w:rPr>
          <w:rFonts w:ascii="Times New Roman" w:hAnsi="Times New Roman" w:cs="Times New Roman"/>
          <w:b/>
        </w:rPr>
        <w:t>zveřejněna v Úředním věstníku EU.</w:t>
      </w:r>
      <w:r w:rsidR="00C56D9A" w:rsidRPr="00BA3995">
        <w:rPr>
          <w:rFonts w:ascii="Times New Roman" w:hAnsi="Times New Roman" w:cs="Times New Roman"/>
        </w:rPr>
        <w:t xml:space="preserve"> </w:t>
      </w:r>
    </w:p>
    <w:p w:rsidR="00C56D9A" w:rsidRPr="00170AC1" w:rsidRDefault="00D61F29" w:rsidP="00C56D9A">
      <w:pPr>
        <w:spacing w:after="2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 dni</w:t>
      </w:r>
      <w:r w:rsidR="00C56D9A" w:rsidRPr="00170AC1">
        <w:rPr>
          <w:rFonts w:ascii="Times New Roman" w:hAnsi="Times New Roman" w:cs="Times New Roman"/>
          <w:b/>
          <w:u w:val="single"/>
        </w:rPr>
        <w:t xml:space="preserve"> dni </w:t>
      </w:r>
      <w:r>
        <w:rPr>
          <w:rFonts w:ascii="Times New Roman" w:hAnsi="Times New Roman" w:cs="Times New Roman"/>
          <w:b/>
          <w:u w:val="single"/>
        </w:rPr>
        <w:t>7</w:t>
      </w:r>
      <w:r w:rsidR="00240DB8" w:rsidRPr="00170AC1">
        <w:rPr>
          <w:rFonts w:ascii="Times New Roman" w:hAnsi="Times New Roman" w:cs="Times New Roman"/>
          <w:b/>
          <w:u w:val="single"/>
        </w:rPr>
        <w:t>.</w:t>
      </w:r>
      <w:r w:rsidR="00220236" w:rsidRPr="00170AC1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6</w:t>
      </w:r>
      <w:r w:rsidR="00240DB8" w:rsidRPr="00170AC1">
        <w:rPr>
          <w:rFonts w:ascii="Times New Roman" w:hAnsi="Times New Roman" w:cs="Times New Roman"/>
          <w:b/>
          <w:u w:val="single"/>
        </w:rPr>
        <w:t>.</w:t>
      </w:r>
      <w:r w:rsidR="00220236" w:rsidRPr="00170AC1">
        <w:rPr>
          <w:rFonts w:ascii="Times New Roman" w:hAnsi="Times New Roman" w:cs="Times New Roman"/>
          <w:b/>
          <w:u w:val="single"/>
        </w:rPr>
        <w:t xml:space="preserve"> </w:t>
      </w:r>
      <w:r w:rsidR="00240DB8" w:rsidRPr="00170AC1">
        <w:rPr>
          <w:rFonts w:ascii="Times New Roman" w:hAnsi="Times New Roman" w:cs="Times New Roman"/>
          <w:b/>
          <w:u w:val="single"/>
        </w:rPr>
        <w:t xml:space="preserve">2019 </w:t>
      </w:r>
      <w:r w:rsidR="00C56D9A" w:rsidRPr="00170AC1">
        <w:rPr>
          <w:rFonts w:ascii="Times New Roman" w:hAnsi="Times New Roman" w:cs="Times New Roman"/>
          <w:b/>
          <w:u w:val="single"/>
        </w:rPr>
        <w:t xml:space="preserve">bylo přijato </w:t>
      </w:r>
      <w:r w:rsidR="00240DB8" w:rsidRPr="00170AC1">
        <w:rPr>
          <w:rFonts w:ascii="Times New Roman" w:hAnsi="Times New Roman" w:cs="Times New Roman"/>
          <w:b/>
          <w:u w:val="single"/>
        </w:rPr>
        <w:t>a zveřejněno</w:t>
      </w:r>
      <w:r w:rsidR="00C56D9A" w:rsidRPr="00170AC1">
        <w:rPr>
          <w:rFonts w:ascii="Times New Roman" w:hAnsi="Times New Roman" w:cs="Times New Roman"/>
          <w:b/>
          <w:u w:val="single"/>
        </w:rPr>
        <w:t xml:space="preserve"> podle čl. 75 IED 1</w:t>
      </w:r>
      <w:r>
        <w:rPr>
          <w:rFonts w:ascii="Times New Roman" w:hAnsi="Times New Roman" w:cs="Times New Roman"/>
          <w:b/>
          <w:u w:val="single"/>
        </w:rPr>
        <w:t>4</w:t>
      </w:r>
      <w:r w:rsidR="00C56D9A" w:rsidRPr="00170AC1">
        <w:rPr>
          <w:rFonts w:ascii="Times New Roman" w:hAnsi="Times New Roman" w:cs="Times New Roman"/>
          <w:b/>
          <w:u w:val="single"/>
        </w:rPr>
        <w:t xml:space="preserve"> závěrů o BAT</w:t>
      </w:r>
      <w:r w:rsidR="00240DB8" w:rsidRPr="00170AC1">
        <w:rPr>
          <w:rFonts w:ascii="Times New Roman" w:hAnsi="Times New Roman" w:cs="Times New Roman"/>
          <w:b/>
          <w:u w:val="single"/>
        </w:rPr>
        <w:t>:</w:t>
      </w:r>
      <w:r w:rsidR="00C56D9A" w:rsidRPr="00170AC1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4334"/>
        <w:gridCol w:w="1763"/>
        <w:gridCol w:w="2045"/>
      </w:tblGrid>
      <w:tr w:rsidR="00C56D9A" w:rsidRPr="00BA3995" w:rsidTr="00D61F29">
        <w:trPr>
          <w:tblHeader/>
        </w:trPr>
        <w:tc>
          <w:tcPr>
            <w:tcW w:w="1296" w:type="dxa"/>
            <w:shd w:val="clear" w:color="auto" w:fill="B4C6E7" w:themeFill="accent5" w:themeFillTint="66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Úřední věstník EU</w:t>
            </w:r>
          </w:p>
        </w:tc>
        <w:tc>
          <w:tcPr>
            <w:tcW w:w="4334" w:type="dxa"/>
            <w:shd w:val="clear" w:color="auto" w:fill="B4C6E7" w:themeFill="accent5" w:themeFillTint="66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Zkrácený název</w:t>
            </w:r>
          </w:p>
        </w:tc>
        <w:tc>
          <w:tcPr>
            <w:tcW w:w="1763" w:type="dxa"/>
            <w:shd w:val="clear" w:color="auto" w:fill="B4C6E7" w:themeFill="accent5" w:themeFillTint="66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Implementační rozhodnutí</w:t>
            </w:r>
          </w:p>
        </w:tc>
        <w:tc>
          <w:tcPr>
            <w:tcW w:w="2045" w:type="dxa"/>
            <w:shd w:val="clear" w:color="auto" w:fill="B4C6E7" w:themeFill="accent5" w:themeFillTint="66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Dotčené kategorie zákona o integrované prevenci / IED</w:t>
            </w:r>
          </w:p>
        </w:tc>
      </w:tr>
      <w:tr w:rsidR="00C56D9A" w:rsidRPr="00BA3995" w:rsidTr="00D61F29">
        <w:trPr>
          <w:trHeight w:val="333"/>
        </w:trPr>
        <w:tc>
          <w:tcPr>
            <w:tcW w:w="1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08.03.2012</w:t>
            </w:r>
          </w:p>
        </w:tc>
        <w:tc>
          <w:tcPr>
            <w:tcW w:w="4334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 xml:space="preserve">Závěry o BAT pro sklářský průmysl </w:t>
            </w:r>
          </w:p>
        </w:tc>
        <w:tc>
          <w:tcPr>
            <w:tcW w:w="1763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2012/135/EU</w:t>
            </w:r>
          </w:p>
        </w:tc>
        <w:tc>
          <w:tcPr>
            <w:tcW w:w="2045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3.3., 3.4.</w:t>
            </w:r>
          </w:p>
        </w:tc>
      </w:tr>
      <w:tr w:rsidR="00C56D9A" w:rsidRPr="00BA3995" w:rsidTr="00D61F29">
        <w:tc>
          <w:tcPr>
            <w:tcW w:w="1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08.03.2012</w:t>
            </w:r>
          </w:p>
        </w:tc>
        <w:tc>
          <w:tcPr>
            <w:tcW w:w="4334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Závěry o BAT pro výrobu železa a oceli</w:t>
            </w:r>
          </w:p>
        </w:tc>
        <w:tc>
          <w:tcPr>
            <w:tcW w:w="1763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2012/134/EU</w:t>
            </w:r>
          </w:p>
        </w:tc>
        <w:tc>
          <w:tcPr>
            <w:tcW w:w="2045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1.3., 2.1., 2.2.</w:t>
            </w:r>
          </w:p>
        </w:tc>
      </w:tr>
      <w:tr w:rsidR="00C56D9A" w:rsidRPr="00BA3995" w:rsidTr="00D61F29">
        <w:tc>
          <w:tcPr>
            <w:tcW w:w="1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16.02.2013</w:t>
            </w:r>
          </w:p>
        </w:tc>
        <w:tc>
          <w:tcPr>
            <w:tcW w:w="4334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Závěry o BAT pro vydělávání kůží a kožešin</w:t>
            </w:r>
          </w:p>
        </w:tc>
        <w:tc>
          <w:tcPr>
            <w:tcW w:w="1763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2013/84/EU</w:t>
            </w:r>
          </w:p>
        </w:tc>
        <w:tc>
          <w:tcPr>
            <w:tcW w:w="2045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6.3.</w:t>
            </w:r>
            <w:r w:rsidRPr="00BA3995">
              <w:rPr>
                <w:rStyle w:val="Znakapoznpodarou"/>
                <w:rFonts w:ascii="Times New Roman" w:hAnsi="Times New Roman" w:cs="Times New Roman"/>
              </w:rPr>
              <w:t xml:space="preserve"> </w:t>
            </w:r>
            <w:r w:rsidRPr="00BA3995">
              <w:rPr>
                <w:rStyle w:val="Znakapoznpodarou"/>
                <w:rFonts w:ascii="Times New Roman" w:hAnsi="Times New Roman" w:cs="Times New Roman"/>
              </w:rPr>
              <w:footnoteReference w:id="1"/>
            </w:r>
          </w:p>
        </w:tc>
      </w:tr>
      <w:tr w:rsidR="00C56D9A" w:rsidRPr="00BA3995" w:rsidTr="00D61F29">
        <w:tc>
          <w:tcPr>
            <w:tcW w:w="1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09.04.2013</w:t>
            </w:r>
          </w:p>
        </w:tc>
        <w:tc>
          <w:tcPr>
            <w:tcW w:w="4334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Závěry o BAT pro výrobu cementu, vápna a oxidu hořečnatého</w:t>
            </w:r>
          </w:p>
        </w:tc>
        <w:tc>
          <w:tcPr>
            <w:tcW w:w="1763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2013/163/EU</w:t>
            </w:r>
          </w:p>
        </w:tc>
        <w:tc>
          <w:tcPr>
            <w:tcW w:w="2045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3.1.</w:t>
            </w:r>
          </w:p>
        </w:tc>
      </w:tr>
      <w:tr w:rsidR="00C56D9A" w:rsidRPr="00BA3995" w:rsidTr="00D61F29">
        <w:tc>
          <w:tcPr>
            <w:tcW w:w="1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11.12.2013</w:t>
            </w:r>
          </w:p>
        </w:tc>
        <w:tc>
          <w:tcPr>
            <w:tcW w:w="4334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Závěry o BAT pro výrobu chloru a louhu</w:t>
            </w:r>
          </w:p>
        </w:tc>
        <w:tc>
          <w:tcPr>
            <w:tcW w:w="1763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2013/732/EU</w:t>
            </w:r>
          </w:p>
        </w:tc>
        <w:tc>
          <w:tcPr>
            <w:tcW w:w="2045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4.2. a)</w:t>
            </w:r>
            <w:r w:rsidRPr="00BA3995">
              <w:rPr>
                <w:rStyle w:val="Znakapoznpodarou"/>
                <w:rFonts w:ascii="Times New Roman" w:hAnsi="Times New Roman" w:cs="Times New Roman"/>
              </w:rPr>
              <w:t xml:space="preserve"> </w:t>
            </w:r>
            <w:r w:rsidRPr="00BA3995">
              <w:rPr>
                <w:rStyle w:val="Znakapoznpodarou"/>
                <w:rFonts w:ascii="Times New Roman" w:hAnsi="Times New Roman" w:cs="Times New Roman"/>
              </w:rPr>
              <w:footnoteReference w:id="2"/>
            </w:r>
            <w:r w:rsidRPr="00BA3995">
              <w:rPr>
                <w:rFonts w:ascii="Times New Roman" w:hAnsi="Times New Roman" w:cs="Times New Roman"/>
              </w:rPr>
              <w:t>, 4.2. c)</w:t>
            </w:r>
          </w:p>
        </w:tc>
      </w:tr>
      <w:tr w:rsidR="00C56D9A" w:rsidRPr="00BA3995" w:rsidTr="00D61F29">
        <w:tc>
          <w:tcPr>
            <w:tcW w:w="1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4334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Závěry o BAT pro výrobu buničiny, papíru a lepenky</w:t>
            </w:r>
          </w:p>
        </w:tc>
        <w:tc>
          <w:tcPr>
            <w:tcW w:w="1763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2014/687/EU</w:t>
            </w:r>
          </w:p>
        </w:tc>
        <w:tc>
          <w:tcPr>
            <w:tcW w:w="2045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6.1. a), 6.1. b)</w:t>
            </w:r>
          </w:p>
        </w:tc>
      </w:tr>
      <w:tr w:rsidR="00C56D9A" w:rsidRPr="00BA3995" w:rsidTr="00D61F29">
        <w:tc>
          <w:tcPr>
            <w:tcW w:w="1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28.10.2014</w:t>
            </w:r>
          </w:p>
        </w:tc>
        <w:tc>
          <w:tcPr>
            <w:tcW w:w="4334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Závěry o BAT pro rafinaci minerálních olejů a plynů</w:t>
            </w:r>
          </w:p>
        </w:tc>
        <w:tc>
          <w:tcPr>
            <w:tcW w:w="1763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 xml:space="preserve">2014/738/EU  </w:t>
            </w:r>
          </w:p>
        </w:tc>
        <w:tc>
          <w:tcPr>
            <w:tcW w:w="2045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1.2.</w:t>
            </w:r>
          </w:p>
        </w:tc>
      </w:tr>
      <w:tr w:rsidR="00C56D9A" w:rsidRPr="00BA3995" w:rsidTr="00D61F29">
        <w:tc>
          <w:tcPr>
            <w:tcW w:w="1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24.11.2015</w:t>
            </w:r>
          </w:p>
        </w:tc>
        <w:tc>
          <w:tcPr>
            <w:tcW w:w="4334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Závěry o BAT pro výrobu desek na bázi dřeva</w:t>
            </w:r>
          </w:p>
        </w:tc>
        <w:tc>
          <w:tcPr>
            <w:tcW w:w="1763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(EU) 2015/2119</w:t>
            </w:r>
          </w:p>
        </w:tc>
        <w:tc>
          <w:tcPr>
            <w:tcW w:w="2045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6.1. c)</w:t>
            </w:r>
          </w:p>
        </w:tc>
      </w:tr>
      <w:tr w:rsidR="00C56D9A" w:rsidRPr="00BA3995" w:rsidTr="00D61F29">
        <w:tc>
          <w:tcPr>
            <w:tcW w:w="1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lastRenderedPageBreak/>
              <w:t>09.06.2016</w:t>
            </w:r>
          </w:p>
        </w:tc>
        <w:tc>
          <w:tcPr>
            <w:tcW w:w="4334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Závěry o BAT pro společné systémy čištění odpadních vod a odpadních plynů a nakládání s nimi v odvětví chemického průmyslu</w:t>
            </w:r>
          </w:p>
        </w:tc>
        <w:tc>
          <w:tcPr>
            <w:tcW w:w="1763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(EU) 2016/902</w:t>
            </w:r>
          </w:p>
        </w:tc>
        <w:tc>
          <w:tcPr>
            <w:tcW w:w="2045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6.11.</w:t>
            </w:r>
            <w:r w:rsidRPr="00BA3995">
              <w:rPr>
                <w:rStyle w:val="Znakapoznpodarou"/>
                <w:rFonts w:ascii="Times New Roman" w:hAnsi="Times New Roman" w:cs="Times New Roman"/>
              </w:rPr>
              <w:footnoteReference w:id="3"/>
            </w:r>
            <w:r w:rsidRPr="00BA3995">
              <w:rPr>
                <w:rFonts w:ascii="Times New Roman" w:hAnsi="Times New Roman" w:cs="Times New Roman"/>
              </w:rPr>
              <w:t xml:space="preserve"> , 4.</w:t>
            </w:r>
            <w:r w:rsidRPr="00BA3995">
              <w:rPr>
                <w:rStyle w:val="Znakapoznpodarou"/>
                <w:rFonts w:ascii="Times New Roman" w:hAnsi="Times New Roman" w:cs="Times New Roman"/>
              </w:rPr>
              <w:footnoteReference w:id="4"/>
            </w:r>
          </w:p>
        </w:tc>
      </w:tr>
      <w:tr w:rsidR="00C56D9A" w:rsidRPr="00BA3995" w:rsidTr="00D61F29">
        <w:trPr>
          <w:cantSplit/>
        </w:trPr>
        <w:tc>
          <w:tcPr>
            <w:tcW w:w="1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4334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kern w:val="36"/>
              </w:rPr>
            </w:pPr>
            <w:r w:rsidRPr="00BA3995">
              <w:rPr>
                <w:rFonts w:ascii="Times New Roman" w:hAnsi="Times New Roman" w:cs="Times New Roman"/>
              </w:rPr>
              <w:t>Závěry o BAT pro odvětví neželezných kovů</w:t>
            </w:r>
          </w:p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(EU) 2016/1032</w:t>
            </w:r>
          </w:p>
        </w:tc>
        <w:tc>
          <w:tcPr>
            <w:tcW w:w="2045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2.1., 2.5. a)</w:t>
            </w:r>
          </w:p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2.5. b)</w:t>
            </w:r>
            <w:r w:rsidRPr="00BA3995">
              <w:rPr>
                <w:rStyle w:val="Znakapoznpodarou"/>
                <w:rFonts w:ascii="Times New Roman" w:hAnsi="Times New Roman" w:cs="Times New Roman"/>
              </w:rPr>
              <w:footnoteReference w:id="5"/>
            </w:r>
            <w:r w:rsidRPr="00BA3995">
              <w:rPr>
                <w:rFonts w:ascii="Times New Roman" w:hAnsi="Times New Roman" w:cs="Times New Roman"/>
              </w:rPr>
              <w:t xml:space="preserve"> , 6.8.</w:t>
            </w:r>
          </w:p>
        </w:tc>
      </w:tr>
      <w:tr w:rsidR="00C56D9A" w:rsidRPr="00BA3995" w:rsidTr="00D61F29">
        <w:trPr>
          <w:trHeight w:val="591"/>
        </w:trPr>
        <w:tc>
          <w:tcPr>
            <w:tcW w:w="1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21.2.2017</w:t>
            </w:r>
          </w:p>
        </w:tc>
        <w:tc>
          <w:tcPr>
            <w:tcW w:w="4334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Závěry o BAT pro intenzivní chov drůbeže nebo prasat</w:t>
            </w:r>
          </w:p>
        </w:tc>
        <w:tc>
          <w:tcPr>
            <w:tcW w:w="1763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(EU) 2017/302</w:t>
            </w:r>
          </w:p>
        </w:tc>
        <w:tc>
          <w:tcPr>
            <w:tcW w:w="2045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6.6.</w:t>
            </w:r>
          </w:p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56D9A" w:rsidRPr="00BA3995" w:rsidTr="00D61F29">
        <w:trPr>
          <w:trHeight w:val="591"/>
        </w:trPr>
        <w:tc>
          <w:tcPr>
            <w:tcW w:w="1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31.7.2017</w:t>
            </w:r>
          </w:p>
        </w:tc>
        <w:tc>
          <w:tcPr>
            <w:tcW w:w="4334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Závěry o BAT pro velká spalovací zařízení</w:t>
            </w:r>
          </w:p>
        </w:tc>
        <w:tc>
          <w:tcPr>
            <w:tcW w:w="1763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(EU) 2017/1442</w:t>
            </w:r>
          </w:p>
        </w:tc>
        <w:tc>
          <w:tcPr>
            <w:tcW w:w="2045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1.1.</w:t>
            </w:r>
          </w:p>
        </w:tc>
      </w:tr>
      <w:tr w:rsidR="00C56D9A" w:rsidRPr="00BA3995" w:rsidTr="00D61F29">
        <w:trPr>
          <w:trHeight w:val="591"/>
        </w:trPr>
        <w:tc>
          <w:tcPr>
            <w:tcW w:w="1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21.11.2017</w:t>
            </w:r>
          </w:p>
        </w:tc>
        <w:tc>
          <w:tcPr>
            <w:tcW w:w="4334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 xml:space="preserve">Závěry o BAT pro výrobu velkoobjemových organických chemikálií </w:t>
            </w:r>
            <w:r w:rsidRPr="00BA3995">
              <w:rPr>
                <w:rStyle w:val="Znakapoznpodarou"/>
                <w:rFonts w:ascii="Times New Roman" w:hAnsi="Times New Roman" w:cs="Times New Roman"/>
                <w:color w:val="auto"/>
              </w:rPr>
              <w:footnoteReference w:id="6"/>
            </w:r>
          </w:p>
        </w:tc>
        <w:tc>
          <w:tcPr>
            <w:tcW w:w="1763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(EU) 2017/2117</w:t>
            </w:r>
          </w:p>
        </w:tc>
        <w:tc>
          <w:tcPr>
            <w:tcW w:w="2045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4.1. a), 4.1. b), 4.1. c), 4.1. d), 4.1. e), 4.1. f), 4.1. g), 4.1. k), 4.2. e)</w:t>
            </w:r>
            <w:r w:rsidRPr="00BA3995">
              <w:rPr>
                <w:rFonts w:ascii="Times New Roman" w:hAnsi="Times New Roman" w:cs="Times New Roman"/>
                <w:vertAlign w:val="superscript"/>
              </w:rPr>
              <w:footnoteReference w:id="7"/>
            </w:r>
          </w:p>
        </w:tc>
      </w:tr>
      <w:tr w:rsidR="00C56D9A" w:rsidRPr="00BA3995" w:rsidTr="00D61F29">
        <w:trPr>
          <w:trHeight w:val="204"/>
        </w:trPr>
        <w:tc>
          <w:tcPr>
            <w:tcW w:w="1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17.8.2018</w:t>
            </w:r>
          </w:p>
        </w:tc>
        <w:tc>
          <w:tcPr>
            <w:tcW w:w="4334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Závěry o BAT pro zpracování odpadů</w:t>
            </w:r>
          </w:p>
        </w:tc>
        <w:tc>
          <w:tcPr>
            <w:tcW w:w="1763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(EU) 2018/1147</w:t>
            </w:r>
          </w:p>
        </w:tc>
        <w:tc>
          <w:tcPr>
            <w:tcW w:w="2045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5.1. a), 5.1. b), 5.1. c), 5.1. d), 5.1. e), 5.1. f) 5.1. g), 5.1. h), 5.1. i), 5.1. j), 5.3. a), 5.3. b), 5.5, 6.11.</w:t>
            </w:r>
          </w:p>
        </w:tc>
      </w:tr>
    </w:tbl>
    <w:p w:rsidR="00D61F29" w:rsidRPr="00353445" w:rsidRDefault="00D61F29" w:rsidP="00D61F29">
      <w:pPr>
        <w:numPr>
          <w:ilvl w:val="0"/>
          <w:numId w:val="1"/>
        </w:numPr>
        <w:autoSpaceDE/>
        <w:autoSpaceDN/>
        <w:adjustRightInd/>
        <w:spacing w:before="480" w:after="0"/>
        <w:ind w:left="714" w:hanging="357"/>
        <w:jc w:val="left"/>
        <w:rPr>
          <w:rFonts w:ascii="Times New Roman" w:hAnsi="Times New Roman" w:cs="Times New Roman"/>
        </w:rPr>
      </w:pPr>
      <w:bookmarkStart w:id="1" w:name="_Toc440448296"/>
      <w:bookmarkStart w:id="2" w:name="_Toc483290219"/>
      <w:r w:rsidRPr="00353445">
        <w:rPr>
          <w:rFonts w:ascii="Times New Roman" w:hAnsi="Times New Roman" w:cs="Times New Roman"/>
          <w:b/>
          <w:bCs/>
        </w:rPr>
        <w:t>Referenční dokument o BAT (BREF) “Sklářský průmysl”</w:t>
      </w:r>
    </w:p>
    <w:p w:rsidR="00D61F29" w:rsidRPr="00353445" w:rsidRDefault="00D61F29" w:rsidP="00D61F29">
      <w:pPr>
        <w:spacing w:before="100" w:beforeAutospacing="1" w:after="0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</w:rPr>
        <w:t>Dne 8. března 2012 bylo v Úředním věstníku EU publikováno prováděcí rozhodnutí Komise, kterým se stanoví závěry o nejlepších dostupných technikách (BAT) podle směrnice Evropského parlamentu a Rady 2010/75/EU o průmyslových emisích pro výrobu skla (</w:t>
      </w:r>
      <w:hyperlink r:id="rId9" w:history="1">
        <w:r w:rsidRPr="00353445">
          <w:rPr>
            <w:rFonts w:ascii="Times New Roman" w:hAnsi="Times New Roman" w:cs="Times New Roman"/>
            <w:i/>
            <w:iCs/>
            <w:color w:val="0000FF"/>
            <w:sz w:val="26"/>
            <w:szCs w:val="26"/>
            <w:u w:val="single"/>
          </w:rPr>
          <w:t> </w:t>
        </w:r>
        <w:r w:rsidRPr="00353445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Rozhodnutí 2012/134/EU</w:t>
        </w:r>
      </w:hyperlink>
      <w:r w:rsidRPr="00353445">
        <w:rPr>
          <w:rFonts w:ascii="Times New Roman" w:hAnsi="Times New Roman" w:cs="Times New Roman"/>
          <w:sz w:val="26"/>
          <w:szCs w:val="26"/>
        </w:rPr>
        <w:t xml:space="preserve"> </w:t>
      </w:r>
      <w:r w:rsidRPr="00353445">
        <w:rPr>
          <w:rFonts w:ascii="Times New Roman" w:hAnsi="Times New Roman" w:cs="Times New Roman"/>
          <w:i/>
          <w:iCs/>
          <w:sz w:val="26"/>
          <w:szCs w:val="26"/>
        </w:rPr>
        <w:t>[pdf, 2924 kB]</w:t>
      </w:r>
      <w:r w:rsidRPr="00353445">
        <w:rPr>
          <w:rFonts w:ascii="Times New Roman" w:hAnsi="Times New Roman" w:cs="Times New Roman"/>
        </w:rPr>
        <w:t>).</w:t>
      </w:r>
    </w:p>
    <w:p w:rsidR="00D61F29" w:rsidRPr="00353445" w:rsidRDefault="00D61F29" w:rsidP="00D61F29">
      <w:pPr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  <w:b/>
          <w:bCs/>
        </w:rPr>
        <w:lastRenderedPageBreak/>
        <w:t xml:space="preserve">Referenční dokument o BAT (BREF) “Výroba železa a oceli” </w:t>
      </w:r>
    </w:p>
    <w:p w:rsidR="00D61F29" w:rsidRPr="00353445" w:rsidRDefault="00D61F29" w:rsidP="00D61F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</w:rPr>
        <w:t>Dne 8. března 2012 bylo v Úředním věstníku EU publikováno prováděcí rozhodnutí Komise, kterým se stanoví závěry o nejlepších dostupných technikách (BAT) podle směrnice Evropského parlamentu a Rady  2010/75/EU o průmyslových emisích pro výrobu železa a oceli (</w:t>
      </w:r>
      <w:hyperlink r:id="rId10" w:history="1">
        <w:r w:rsidRPr="00353445">
          <w:rPr>
            <w:rFonts w:ascii="Times New Roman" w:hAnsi="Times New Roman" w:cs="Times New Roman"/>
            <w:i/>
            <w:iCs/>
            <w:color w:val="0000FF"/>
            <w:sz w:val="26"/>
            <w:szCs w:val="26"/>
            <w:u w:val="single"/>
          </w:rPr>
          <w:t> </w:t>
        </w:r>
        <w:r w:rsidRPr="00353445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Rozhodnutí 2012/135/EU</w:t>
        </w:r>
      </w:hyperlink>
      <w:r w:rsidRPr="00353445">
        <w:rPr>
          <w:rFonts w:ascii="Times New Roman" w:hAnsi="Times New Roman" w:cs="Times New Roman"/>
          <w:sz w:val="26"/>
          <w:szCs w:val="26"/>
        </w:rPr>
        <w:t xml:space="preserve"> </w:t>
      </w:r>
      <w:r w:rsidRPr="00353445">
        <w:rPr>
          <w:rFonts w:ascii="Times New Roman" w:hAnsi="Times New Roman" w:cs="Times New Roman"/>
          <w:i/>
          <w:iCs/>
          <w:sz w:val="26"/>
          <w:szCs w:val="26"/>
        </w:rPr>
        <w:t>[pdf, 2924 kB]</w:t>
      </w:r>
      <w:r w:rsidRPr="00353445">
        <w:rPr>
          <w:rFonts w:ascii="Times New Roman" w:hAnsi="Times New Roman" w:cs="Times New Roman"/>
        </w:rPr>
        <w:t>).</w:t>
      </w:r>
    </w:p>
    <w:p w:rsidR="00D61F29" w:rsidRPr="00353445" w:rsidRDefault="00D61F29" w:rsidP="00D61F29">
      <w:pPr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  <w:b/>
          <w:bCs/>
        </w:rPr>
        <w:t xml:space="preserve">Referenční dokument o BAT (BREF) “Koželužský průmysl” </w:t>
      </w:r>
    </w:p>
    <w:p w:rsidR="00D61F29" w:rsidRPr="00353445" w:rsidRDefault="00D61F29" w:rsidP="00D61F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</w:rPr>
        <w:t>Dne 16. února 2013 bylo v Úředním věstníku EU publikováno prováděcí rozhodnutí Komise, kterým se stanoví závěry o nejlepších dostupných technikách (BAT) podle směrnice Evropského parlamentu a Rady 2010/75/EU o průmyslových emisích pro vydělávání kůží a kožešin (</w:t>
      </w:r>
      <w:hyperlink r:id="rId11" w:history="1">
        <w:r w:rsidRPr="00353445">
          <w:rPr>
            <w:rFonts w:ascii="Times New Roman" w:hAnsi="Times New Roman" w:cs="Times New Roman"/>
            <w:i/>
            <w:iCs/>
            <w:color w:val="0000FF"/>
            <w:sz w:val="26"/>
            <w:szCs w:val="26"/>
            <w:u w:val="single"/>
          </w:rPr>
          <w:t> </w:t>
        </w:r>
        <w:r w:rsidRPr="00353445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Rozhodnutí 2013/84/EU</w:t>
        </w:r>
      </w:hyperlink>
      <w:r w:rsidRPr="00353445">
        <w:rPr>
          <w:rFonts w:ascii="Times New Roman" w:hAnsi="Times New Roman" w:cs="Times New Roman"/>
          <w:sz w:val="26"/>
          <w:szCs w:val="26"/>
        </w:rPr>
        <w:t xml:space="preserve"> </w:t>
      </w:r>
      <w:r w:rsidRPr="00353445">
        <w:rPr>
          <w:rFonts w:ascii="Times New Roman" w:hAnsi="Times New Roman" w:cs="Times New Roman"/>
          <w:i/>
          <w:iCs/>
          <w:sz w:val="26"/>
          <w:szCs w:val="26"/>
        </w:rPr>
        <w:t>[pdf, 887 kB]</w:t>
      </w:r>
      <w:r w:rsidRPr="00353445">
        <w:rPr>
          <w:rFonts w:ascii="Times New Roman" w:hAnsi="Times New Roman" w:cs="Times New Roman"/>
        </w:rPr>
        <w:t>).</w:t>
      </w:r>
    </w:p>
    <w:p w:rsidR="00D61F29" w:rsidRPr="00353445" w:rsidRDefault="00D61F29" w:rsidP="00D61F29">
      <w:pPr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  <w:b/>
          <w:bCs/>
        </w:rPr>
        <w:t>Referenční dokument o BAT (BREF) “Výroba cementu, vápna a oxidu hořečnatého”</w:t>
      </w:r>
    </w:p>
    <w:p w:rsidR="00D61F29" w:rsidRPr="00353445" w:rsidRDefault="00D61F29" w:rsidP="00D61F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</w:rPr>
        <w:t>Dne 9. dubna 2013 bylo v Úředním věstníku EU publikováno prováděcí rozhodnutí Komise, kterým se stanoví závěry o nejlepších dostupných technikách (BAT) podle směrnice Evropské parlamentu a Rady 2010/75/EU o průmyslových emisích pro výrobu cementu, vápna a oxidu hořečnatého (</w:t>
      </w:r>
      <w:hyperlink r:id="rId12" w:history="1">
        <w:r w:rsidRPr="00353445">
          <w:rPr>
            <w:rFonts w:ascii="Times New Roman" w:hAnsi="Times New Roman" w:cs="Times New Roman"/>
            <w:i/>
            <w:iCs/>
            <w:color w:val="0000FF"/>
            <w:sz w:val="26"/>
            <w:szCs w:val="26"/>
            <w:u w:val="single"/>
          </w:rPr>
          <w:t> </w:t>
        </w:r>
        <w:r w:rsidRPr="00353445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Rozhodnutí 2013/163/EU</w:t>
        </w:r>
      </w:hyperlink>
      <w:r w:rsidRPr="00353445">
        <w:rPr>
          <w:rFonts w:ascii="Times New Roman" w:hAnsi="Times New Roman" w:cs="Times New Roman"/>
          <w:sz w:val="26"/>
          <w:szCs w:val="26"/>
        </w:rPr>
        <w:t xml:space="preserve"> </w:t>
      </w:r>
      <w:r w:rsidRPr="00353445">
        <w:rPr>
          <w:rFonts w:ascii="Times New Roman" w:hAnsi="Times New Roman" w:cs="Times New Roman"/>
          <w:i/>
          <w:iCs/>
          <w:sz w:val="26"/>
          <w:szCs w:val="26"/>
        </w:rPr>
        <w:t>[pdf, 1228 kB]</w:t>
      </w:r>
      <w:r w:rsidRPr="00353445">
        <w:rPr>
          <w:rFonts w:ascii="Times New Roman" w:hAnsi="Times New Roman" w:cs="Times New Roman"/>
        </w:rPr>
        <w:t>).</w:t>
      </w:r>
    </w:p>
    <w:p w:rsidR="00D61F29" w:rsidRPr="00353445" w:rsidRDefault="00D61F29" w:rsidP="00D61F29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  <w:b/>
          <w:bCs/>
        </w:rPr>
        <w:t>Referenční dokument o BAT (BREF) “Výroba chloru a louhu</w:t>
      </w:r>
      <w:r w:rsidRPr="00353445">
        <w:rPr>
          <w:rFonts w:ascii="Times New Roman" w:hAnsi="Times New Roman" w:cs="Times New Roman"/>
        </w:rPr>
        <w:t>”</w:t>
      </w:r>
    </w:p>
    <w:p w:rsidR="00D61F29" w:rsidRPr="00353445" w:rsidRDefault="00D61F29" w:rsidP="00D61F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</w:rPr>
        <w:t>Dne 11. prosince 2013 bylo v Úředním věstníku EU publikováno prováděcí rozhodnutí Komise, kterým se stanoví závěry o nejlepších dostupných technikách (BAT) podle směrnice Evropského parlamentu a Rady 2010/75/EU o průmyslových emisích pro výrobu chloru a alkalických hydroxidů (</w:t>
      </w:r>
      <w:hyperlink r:id="rId13" w:history="1">
        <w:r w:rsidRPr="00353445">
          <w:rPr>
            <w:rFonts w:ascii="Times New Roman" w:hAnsi="Times New Roman" w:cs="Times New Roman"/>
            <w:i/>
            <w:iCs/>
            <w:color w:val="0000FF"/>
            <w:sz w:val="26"/>
            <w:szCs w:val="26"/>
            <w:u w:val="single"/>
          </w:rPr>
          <w:t> </w:t>
        </w:r>
        <w:r w:rsidRPr="00353445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Rozhodnutí 2013/732/EU</w:t>
        </w:r>
      </w:hyperlink>
      <w:r w:rsidRPr="00353445">
        <w:rPr>
          <w:rFonts w:ascii="Times New Roman" w:hAnsi="Times New Roman" w:cs="Times New Roman"/>
          <w:sz w:val="26"/>
          <w:szCs w:val="26"/>
        </w:rPr>
        <w:t xml:space="preserve"> </w:t>
      </w:r>
      <w:r w:rsidRPr="00353445">
        <w:rPr>
          <w:rFonts w:ascii="Times New Roman" w:hAnsi="Times New Roman" w:cs="Times New Roman"/>
          <w:i/>
          <w:iCs/>
          <w:sz w:val="26"/>
          <w:szCs w:val="26"/>
        </w:rPr>
        <w:t>[pdf, 866 kB]</w:t>
      </w:r>
      <w:r w:rsidRPr="00353445">
        <w:rPr>
          <w:rFonts w:ascii="Times New Roman" w:hAnsi="Times New Roman" w:cs="Times New Roman"/>
        </w:rPr>
        <w:t>).</w:t>
      </w:r>
    </w:p>
    <w:p w:rsidR="00D61F29" w:rsidRPr="00353445" w:rsidRDefault="00D61F29" w:rsidP="00D61F29">
      <w:pPr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  <w:b/>
          <w:bCs/>
        </w:rPr>
        <w:t>Referenční dokument o BAT (BREF) “Průmysl papíru a celulózy”</w:t>
      </w:r>
    </w:p>
    <w:p w:rsidR="00D61F29" w:rsidRPr="00353445" w:rsidRDefault="00D61F29" w:rsidP="00D61F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</w:rPr>
        <w:t>Dne 26. září 2014 bylo v Úředním věstníku EU publikováno prováděcí rozhodnutí Komise, kterým se stanoví závěry o nejlepších dostupných technikách (BAT) pro výrobu buničiny, papíru a lepenky podle směrnice Evropského parlamentu a Rady 2010/75/EU o průmyslových emisích (</w:t>
      </w:r>
      <w:hyperlink r:id="rId14" w:history="1">
        <w:r w:rsidRPr="00353445">
          <w:rPr>
            <w:rFonts w:ascii="Times New Roman" w:hAnsi="Times New Roman" w:cs="Times New Roman"/>
            <w:i/>
            <w:iCs/>
            <w:color w:val="0000FF"/>
            <w:sz w:val="26"/>
            <w:szCs w:val="26"/>
            <w:u w:val="single"/>
          </w:rPr>
          <w:t> </w:t>
        </w:r>
        <w:r w:rsidRPr="00353445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Rozhodnutí 2014/687/EU</w:t>
        </w:r>
      </w:hyperlink>
      <w:r w:rsidRPr="00353445">
        <w:rPr>
          <w:rFonts w:ascii="Times New Roman" w:hAnsi="Times New Roman" w:cs="Times New Roman"/>
          <w:sz w:val="26"/>
          <w:szCs w:val="26"/>
        </w:rPr>
        <w:t xml:space="preserve"> </w:t>
      </w:r>
      <w:r w:rsidRPr="00353445">
        <w:rPr>
          <w:rFonts w:ascii="Times New Roman" w:hAnsi="Times New Roman" w:cs="Times New Roman"/>
          <w:i/>
          <w:iCs/>
          <w:sz w:val="26"/>
          <w:szCs w:val="26"/>
        </w:rPr>
        <w:t>[pdf, 1125 kB]</w:t>
      </w:r>
      <w:r w:rsidRPr="00353445">
        <w:rPr>
          <w:rFonts w:ascii="Times New Roman" w:hAnsi="Times New Roman" w:cs="Times New Roman"/>
        </w:rPr>
        <w:t>).</w:t>
      </w:r>
    </w:p>
    <w:p w:rsidR="00D61F29" w:rsidRPr="00353445" w:rsidRDefault="00D61F29" w:rsidP="00D61F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</w:rPr>
        <w:t>Oprava prováděcího rozhodnutí Komise 2014/687/EU ze dne 26. září 2014, kterým se stanoví závěry o nejlepších dostupných technikách (BAT) podle směrnice Evropského parlamentu a Rady 2010/75/EU pro výrobu buničiny, papíru a lepenky byla vydána v  </w:t>
      </w:r>
      <w:hyperlink r:id="rId15" w:history="1">
        <w:r w:rsidRPr="00353445">
          <w:rPr>
            <w:rFonts w:ascii="Times New Roman" w:hAnsi="Times New Roman" w:cs="Times New Roman"/>
            <w:b/>
            <w:bCs/>
            <w:color w:val="0000FF"/>
            <w:u w:val="single"/>
          </w:rPr>
          <w:t>Úředním věstníku L 348, 4. 12. 2014</w:t>
        </w:r>
      </w:hyperlink>
    </w:p>
    <w:p w:rsidR="00D61F29" w:rsidRPr="00353445" w:rsidRDefault="00D61F29" w:rsidP="00D61F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</w:rPr>
        <w:t>Další oprava prováděcího rozhodnutí Komise 2014/687/EU ze dne 26. září 2014, kterým se stanoví závěry o nejlepších dostupných technikách (BAT) podle směrnice Evropského parlamentu a Rady 2010/75/EU pro výrobu buničiny, papíru a lepenky byla vydána v  </w:t>
      </w:r>
      <w:hyperlink r:id="rId16" w:history="1">
        <w:r w:rsidRPr="00353445">
          <w:rPr>
            <w:rFonts w:ascii="Times New Roman" w:hAnsi="Times New Roman" w:cs="Times New Roman"/>
            <w:b/>
            <w:bCs/>
            <w:color w:val="0000FF"/>
            <w:u w:val="single"/>
          </w:rPr>
          <w:t>Úředním věstníku EU L 159/41, 22. 6. 2018.</w:t>
        </w:r>
      </w:hyperlink>
    </w:p>
    <w:p w:rsidR="00D61F29" w:rsidRPr="00353445" w:rsidRDefault="00D61F29" w:rsidP="00D61F29">
      <w:pPr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  <w:b/>
          <w:bCs/>
        </w:rPr>
        <w:t>Referenční dokument o BAT (BREF) “Rafinerie ropy a zemního plynu”</w:t>
      </w:r>
    </w:p>
    <w:p w:rsidR="00D61F29" w:rsidRPr="00353445" w:rsidRDefault="00D61F29" w:rsidP="00D61F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</w:rPr>
        <w:t>Dne 9. října 2014 bylo v Úředním věstníku EU publikováno prováděcí rozhodnutí Komise, kterým se stanoví závěry o nejlepších dostupných technikách (BAT) pro rafinaci minerálních olejů a plynů podle směrnice Evropského parlamentu a Rady 2010/75/EU o průmyslových emisích (</w:t>
      </w:r>
      <w:hyperlink r:id="rId17" w:history="1">
        <w:r w:rsidRPr="00353445">
          <w:rPr>
            <w:rFonts w:ascii="Times New Roman" w:hAnsi="Times New Roman" w:cs="Times New Roman"/>
            <w:i/>
            <w:iCs/>
            <w:color w:val="0000FF"/>
            <w:sz w:val="26"/>
            <w:szCs w:val="26"/>
            <w:u w:val="single"/>
          </w:rPr>
          <w:t> </w:t>
        </w:r>
        <w:r w:rsidRPr="00353445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Rozhodnutí 2014/738/EU</w:t>
        </w:r>
      </w:hyperlink>
      <w:r w:rsidRPr="00353445">
        <w:rPr>
          <w:rFonts w:ascii="Times New Roman" w:hAnsi="Times New Roman" w:cs="Times New Roman"/>
          <w:sz w:val="26"/>
          <w:szCs w:val="26"/>
        </w:rPr>
        <w:t xml:space="preserve"> </w:t>
      </w:r>
      <w:r w:rsidRPr="00353445">
        <w:rPr>
          <w:rFonts w:ascii="Times New Roman" w:hAnsi="Times New Roman" w:cs="Times New Roman"/>
          <w:i/>
          <w:iCs/>
          <w:sz w:val="26"/>
          <w:szCs w:val="26"/>
        </w:rPr>
        <w:t>[pdf, 598 kB]</w:t>
      </w:r>
      <w:r w:rsidRPr="00353445">
        <w:rPr>
          <w:rFonts w:ascii="Times New Roman" w:hAnsi="Times New Roman" w:cs="Times New Roman"/>
        </w:rPr>
        <w:t>).</w:t>
      </w:r>
    </w:p>
    <w:p w:rsidR="00D61F29" w:rsidRPr="00353445" w:rsidRDefault="00D61F29" w:rsidP="00D61F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</w:rPr>
        <w:lastRenderedPageBreak/>
        <w:t>Oprava prováděcího rozhodnutí Komise 2014/738/EU ze dne 9. října 2014, kterým se stanoví závěry o nejlepších dostupných technikách (BAT) podle směrnice Evropského parlamentu a Rady 2010/75/EU pro rafinaci minerálních olejů a plynů byla vydána v </w:t>
      </w:r>
      <w:hyperlink r:id="rId18" w:history="1">
        <w:r w:rsidRPr="00353445">
          <w:rPr>
            <w:rFonts w:ascii="Times New Roman" w:hAnsi="Times New Roman" w:cs="Times New Roman"/>
            <w:b/>
            <w:bCs/>
            <w:color w:val="0000FF"/>
            <w:u w:val="single"/>
          </w:rPr>
          <w:t>Úředním věstníku L62, 6. 3. 2015</w:t>
        </w:r>
      </w:hyperlink>
    </w:p>
    <w:p w:rsidR="00D61F29" w:rsidRPr="00353445" w:rsidRDefault="00D61F29" w:rsidP="00D61F29">
      <w:pPr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  <w:b/>
          <w:bCs/>
        </w:rPr>
        <w:t>Referenční dokument o BAT (BREF) “Výroba desek na bázi dřeva”</w:t>
      </w:r>
    </w:p>
    <w:p w:rsidR="00D61F29" w:rsidRPr="00353445" w:rsidRDefault="00D61F29" w:rsidP="00D61F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</w:rPr>
        <w:t>Dne 24. listopadu 2015 bylo v Úředním věstníku EU publikováno prováděcí rozhodnutí Komise, kterým se stanoví závěry o nejlepších dostupných technikách (BAT) pro výrobu desek na bázi dřeva podle směrnice Evropského parlamentu a Rady 2010/75/EU o průmyslových emisích (</w:t>
      </w:r>
      <w:hyperlink r:id="rId19" w:history="1">
        <w:r w:rsidRPr="00353445">
          <w:rPr>
            <w:rFonts w:ascii="Times New Roman" w:hAnsi="Times New Roman" w:cs="Times New Roman"/>
            <w:i/>
            <w:iCs/>
            <w:color w:val="0000FF"/>
            <w:sz w:val="26"/>
            <w:szCs w:val="26"/>
            <w:u w:val="single"/>
          </w:rPr>
          <w:t> </w:t>
        </w:r>
        <w:r w:rsidRPr="00353445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Rozhodnutí 2015/2119/EU</w:t>
        </w:r>
      </w:hyperlink>
      <w:r w:rsidRPr="00353445">
        <w:rPr>
          <w:rFonts w:ascii="Times New Roman" w:hAnsi="Times New Roman" w:cs="Times New Roman"/>
          <w:sz w:val="26"/>
          <w:szCs w:val="26"/>
        </w:rPr>
        <w:t xml:space="preserve"> </w:t>
      </w:r>
      <w:r w:rsidRPr="00353445">
        <w:rPr>
          <w:rFonts w:ascii="Times New Roman" w:hAnsi="Times New Roman" w:cs="Times New Roman"/>
          <w:i/>
          <w:iCs/>
          <w:sz w:val="26"/>
          <w:szCs w:val="26"/>
        </w:rPr>
        <w:t>[pdf, 453 kB]</w:t>
      </w:r>
      <w:r w:rsidRPr="00353445">
        <w:rPr>
          <w:rFonts w:ascii="Times New Roman" w:hAnsi="Times New Roman" w:cs="Times New Roman"/>
        </w:rPr>
        <w:t>).</w:t>
      </w:r>
    </w:p>
    <w:p w:rsidR="00D61F29" w:rsidRPr="00353445" w:rsidRDefault="00D61F29" w:rsidP="00D61F29">
      <w:pPr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  <w:b/>
          <w:bCs/>
        </w:rPr>
        <w:t>Referenční dokument o BAT (BREF) “Běžné čistění odpadních vod a odpadních plynů”</w:t>
      </w:r>
    </w:p>
    <w:p w:rsidR="00D61F29" w:rsidRPr="00353445" w:rsidRDefault="00D61F29" w:rsidP="00D61F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</w:rPr>
        <w:t>Dne 30. května 2016 bylo v Úředním věstníku EU publikováno prováděcí rozhodnutí Komise, kterým se stanoví závěry o nejlepších dostupných technikách (BAT) pro společné systémy čištění odpadních vod a odpadních plynů a nakládání s nimi v odvětví chemického průmyslu podle směrnice Evropského parlamentu a Rady 2010/75/EU o průmyslových emisích (</w:t>
      </w:r>
      <w:hyperlink r:id="rId20" w:history="1">
        <w:r w:rsidRPr="00353445">
          <w:rPr>
            <w:rFonts w:ascii="Times New Roman" w:hAnsi="Times New Roman" w:cs="Times New Roman"/>
            <w:i/>
            <w:iCs/>
            <w:color w:val="0000FF"/>
            <w:sz w:val="26"/>
            <w:szCs w:val="26"/>
            <w:u w:val="single"/>
          </w:rPr>
          <w:t> </w:t>
        </w:r>
        <w:r w:rsidRPr="00353445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Rozhodnutí 2016/902/EU</w:t>
        </w:r>
      </w:hyperlink>
      <w:r w:rsidRPr="00353445">
        <w:rPr>
          <w:rFonts w:ascii="Times New Roman" w:hAnsi="Times New Roman" w:cs="Times New Roman"/>
          <w:sz w:val="26"/>
          <w:szCs w:val="26"/>
        </w:rPr>
        <w:t xml:space="preserve"> </w:t>
      </w:r>
      <w:r w:rsidRPr="00353445">
        <w:rPr>
          <w:rFonts w:ascii="Times New Roman" w:hAnsi="Times New Roman" w:cs="Times New Roman"/>
          <w:i/>
          <w:iCs/>
          <w:sz w:val="26"/>
          <w:szCs w:val="26"/>
        </w:rPr>
        <w:t>[pdf, 524 kB]</w:t>
      </w:r>
      <w:r w:rsidRPr="00353445">
        <w:rPr>
          <w:rFonts w:ascii="Times New Roman" w:hAnsi="Times New Roman" w:cs="Times New Roman"/>
        </w:rPr>
        <w:t>).</w:t>
      </w:r>
    </w:p>
    <w:p w:rsidR="00D61F29" w:rsidRPr="00353445" w:rsidRDefault="00D61F29" w:rsidP="00D61F29">
      <w:pPr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  <w:b/>
          <w:bCs/>
        </w:rPr>
        <w:t>Referenční dokument o BAT (BREF) “Zpracování neželezných kovů”</w:t>
      </w:r>
    </w:p>
    <w:p w:rsidR="00D61F29" w:rsidRPr="00353445" w:rsidRDefault="00D61F29" w:rsidP="00D61F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</w:rPr>
        <w:t>Dne 13. června 2016 bylo v Úředním věstníku EU publikováno prováděcí rozhodnutí Komise, kterým se stanoví závěry o nejlepších dostupných technikách (BAT) pro odvětví neželezných kovů podle směrnice Evropského parlamentu a Rady 2010/75/EU o průmyslových emisích (</w:t>
      </w:r>
      <w:hyperlink r:id="rId21" w:history="1">
        <w:r w:rsidRPr="00353445">
          <w:rPr>
            <w:rFonts w:ascii="Times New Roman" w:hAnsi="Times New Roman" w:cs="Times New Roman"/>
            <w:i/>
            <w:iCs/>
            <w:color w:val="0000FF"/>
            <w:sz w:val="26"/>
            <w:szCs w:val="26"/>
            <w:u w:val="single"/>
          </w:rPr>
          <w:t> </w:t>
        </w:r>
        <w:r w:rsidRPr="00353445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Rozhodnutí 2016/1032/EU</w:t>
        </w:r>
      </w:hyperlink>
      <w:r w:rsidRPr="00353445">
        <w:rPr>
          <w:rFonts w:ascii="Times New Roman" w:hAnsi="Times New Roman" w:cs="Times New Roman"/>
          <w:sz w:val="26"/>
          <w:szCs w:val="26"/>
        </w:rPr>
        <w:t xml:space="preserve"> </w:t>
      </w:r>
      <w:r w:rsidRPr="00353445">
        <w:rPr>
          <w:rFonts w:ascii="Times New Roman" w:hAnsi="Times New Roman" w:cs="Times New Roman"/>
          <w:i/>
          <w:iCs/>
          <w:sz w:val="26"/>
          <w:szCs w:val="26"/>
        </w:rPr>
        <w:t>[pdf, 1580 kB]</w:t>
      </w:r>
      <w:r w:rsidRPr="00353445">
        <w:rPr>
          <w:rFonts w:ascii="Times New Roman" w:hAnsi="Times New Roman" w:cs="Times New Roman"/>
        </w:rPr>
        <w:t>).</w:t>
      </w:r>
    </w:p>
    <w:p w:rsidR="00D61F29" w:rsidRPr="00353445" w:rsidRDefault="00D61F29" w:rsidP="00D61F29">
      <w:pPr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  <w:b/>
          <w:bCs/>
        </w:rPr>
        <w:t>Referenční dokument o BAT (BREF) “Intenzivní chov drůbeže nebo prasat"</w:t>
      </w:r>
    </w:p>
    <w:p w:rsidR="00D61F29" w:rsidRPr="00353445" w:rsidRDefault="00D61F29" w:rsidP="00D61F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</w:rPr>
        <w:t>Dne 15. února 2017 bylo v Úředním věstníku EU publikováno prováděcí rozhodnutí Komise (EU) 2017/302, kterým se stanoví závěry o nejlepších dostupných technikách (BAT) pro intenzivní chov drůbeže nebo prasat podle směrnice Evropského parlamentu a Rady 2010/75/EU o průmyslových emisích (</w:t>
      </w:r>
      <w:hyperlink r:id="rId22" w:history="1">
        <w:r w:rsidRPr="00353445">
          <w:rPr>
            <w:rFonts w:ascii="Times New Roman" w:hAnsi="Times New Roman" w:cs="Times New Roman"/>
            <w:i/>
            <w:iCs/>
            <w:color w:val="0000FF"/>
            <w:sz w:val="26"/>
            <w:szCs w:val="26"/>
            <w:u w:val="single"/>
          </w:rPr>
          <w:t> </w:t>
        </w:r>
        <w:r w:rsidRPr="00353445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Rozhodnutí 2017/302/EU</w:t>
        </w:r>
      </w:hyperlink>
      <w:r w:rsidRPr="00353445">
        <w:rPr>
          <w:rFonts w:ascii="Times New Roman" w:hAnsi="Times New Roman" w:cs="Times New Roman"/>
          <w:sz w:val="26"/>
          <w:szCs w:val="26"/>
        </w:rPr>
        <w:t xml:space="preserve"> </w:t>
      </w:r>
      <w:r w:rsidRPr="00353445">
        <w:rPr>
          <w:rFonts w:ascii="Times New Roman" w:hAnsi="Times New Roman" w:cs="Times New Roman"/>
          <w:i/>
          <w:iCs/>
          <w:sz w:val="26"/>
          <w:szCs w:val="26"/>
        </w:rPr>
        <w:t>[pdf, 644 kB]</w:t>
      </w:r>
      <w:r w:rsidRPr="00353445">
        <w:rPr>
          <w:rFonts w:ascii="Times New Roman" w:hAnsi="Times New Roman" w:cs="Times New Roman"/>
        </w:rPr>
        <w:t>).</w:t>
      </w:r>
    </w:p>
    <w:p w:rsidR="00D61F29" w:rsidRPr="00353445" w:rsidRDefault="00D61F29" w:rsidP="00D61F29">
      <w:pPr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  <w:b/>
          <w:bCs/>
        </w:rPr>
        <w:t>Referenční dokument o BAT (BREF) "Velká spalovací zařízení"</w:t>
      </w:r>
    </w:p>
    <w:p w:rsidR="00D61F29" w:rsidRPr="00353445" w:rsidRDefault="00D61F29" w:rsidP="00D61F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</w:rPr>
        <w:t>Dne 31. července 2017 bylo v Úředním věstníku EU publikováno prováděcí rozhodnutí Komise (EU) 2017/1442, kterým se stanoví závěry o nejlepších dostupných technikách (BAT) pro velká spalovací zařízení podle směrnice Evropského parlamentu a Rady 2010/75/EU o průmyslových emisích (</w:t>
      </w:r>
      <w:hyperlink r:id="rId23" w:history="1">
        <w:r w:rsidRPr="00353445">
          <w:rPr>
            <w:rFonts w:ascii="Times New Roman" w:hAnsi="Times New Roman" w:cs="Times New Roman"/>
            <w:i/>
            <w:iCs/>
            <w:color w:val="0000FF"/>
            <w:sz w:val="26"/>
            <w:szCs w:val="26"/>
            <w:u w:val="single"/>
          </w:rPr>
          <w:t> </w:t>
        </w:r>
        <w:r w:rsidRPr="00353445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Rozhodnutí 2017/1442/EU</w:t>
        </w:r>
      </w:hyperlink>
      <w:r w:rsidRPr="00353445">
        <w:rPr>
          <w:rFonts w:ascii="Times New Roman" w:hAnsi="Times New Roman" w:cs="Times New Roman"/>
          <w:sz w:val="26"/>
          <w:szCs w:val="26"/>
        </w:rPr>
        <w:t xml:space="preserve"> </w:t>
      </w:r>
      <w:r w:rsidRPr="00353445">
        <w:rPr>
          <w:rFonts w:ascii="Times New Roman" w:hAnsi="Times New Roman" w:cs="Times New Roman"/>
          <w:i/>
          <w:iCs/>
          <w:sz w:val="26"/>
          <w:szCs w:val="26"/>
        </w:rPr>
        <w:t>[pdf, 1574 kB]</w:t>
      </w:r>
      <w:r w:rsidRPr="00353445">
        <w:rPr>
          <w:rFonts w:ascii="Times New Roman" w:hAnsi="Times New Roman" w:cs="Times New Roman"/>
        </w:rPr>
        <w:t>).</w:t>
      </w:r>
    </w:p>
    <w:p w:rsidR="00D61F29" w:rsidRPr="00353445" w:rsidRDefault="00D61F29" w:rsidP="00D61F29">
      <w:pPr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  <w:b/>
          <w:bCs/>
        </w:rPr>
        <w:t>Referenční dokument o BAT (BREF) "Výroba velkého množství organických látek"</w:t>
      </w:r>
    </w:p>
    <w:p w:rsidR="00D61F29" w:rsidRPr="00353445" w:rsidRDefault="00D61F29" w:rsidP="00D61F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</w:rPr>
        <w:t>Dne 21. listopadu 2017 bylo v Úředním věstníku EU publikováno prováděcí rozhodnutí Komise (EU) 2017/2117, kterým se stanoví závěry o nejlepších dostupných technikách (BAT) pro výrobu velkého množství organických chemických látek podle směrnice Evropského parlamentu a Rady 2010/75/EU o průmyslových emisích (</w:t>
      </w:r>
      <w:hyperlink r:id="rId24" w:history="1">
        <w:r w:rsidRPr="00353445">
          <w:rPr>
            <w:rFonts w:ascii="Times New Roman" w:hAnsi="Times New Roman" w:cs="Times New Roman"/>
            <w:i/>
            <w:iCs/>
            <w:color w:val="0000FF"/>
            <w:sz w:val="26"/>
            <w:szCs w:val="26"/>
            <w:u w:val="single"/>
          </w:rPr>
          <w:t> </w:t>
        </w:r>
        <w:r w:rsidRPr="00353445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Rozhodnutí 2017/2117/EU</w:t>
        </w:r>
      </w:hyperlink>
      <w:r w:rsidRPr="00353445">
        <w:rPr>
          <w:rFonts w:ascii="Times New Roman" w:hAnsi="Times New Roman" w:cs="Times New Roman"/>
          <w:sz w:val="26"/>
          <w:szCs w:val="26"/>
        </w:rPr>
        <w:t xml:space="preserve"> </w:t>
      </w:r>
      <w:r w:rsidRPr="00353445">
        <w:rPr>
          <w:rFonts w:ascii="Times New Roman" w:hAnsi="Times New Roman" w:cs="Times New Roman"/>
          <w:i/>
          <w:iCs/>
          <w:sz w:val="26"/>
          <w:szCs w:val="26"/>
        </w:rPr>
        <w:t>[pdf, 815 kB]</w:t>
      </w:r>
      <w:r w:rsidRPr="00353445">
        <w:rPr>
          <w:rFonts w:ascii="Times New Roman" w:hAnsi="Times New Roman" w:cs="Times New Roman"/>
        </w:rPr>
        <w:t>).</w:t>
      </w:r>
    </w:p>
    <w:p w:rsidR="00D61F29" w:rsidRDefault="00D61F29" w:rsidP="00D61F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</w:rPr>
        <w:t>Oprava prováděcího rozhodnutí Komise (EU) 2017/2117 ze dne 21. listopadu 2017, kterým se stanoví závěry o nejlepších dostupných technikách (BAT) podle směrnice Evropského parlamentu a Rady 2010/75/EU pro výrobu velkého množství organických chemických látek v </w:t>
      </w:r>
      <w:hyperlink r:id="rId25" w:history="1">
        <w:r w:rsidRPr="00353445">
          <w:rPr>
            <w:rFonts w:ascii="Times New Roman" w:hAnsi="Times New Roman" w:cs="Times New Roman"/>
            <w:b/>
            <w:bCs/>
            <w:color w:val="0000FF"/>
            <w:u w:val="single"/>
          </w:rPr>
          <w:t>Úředním věstníku EU L 323, 7. 12. 201</w:t>
        </w:r>
      </w:hyperlink>
      <w:hyperlink r:id="rId26" w:history="1">
        <w:r w:rsidRPr="00353445">
          <w:rPr>
            <w:rFonts w:ascii="Times New Roman" w:hAnsi="Times New Roman" w:cs="Times New Roman"/>
            <w:b/>
            <w:bCs/>
            <w:color w:val="0000FF"/>
            <w:u w:val="single"/>
          </w:rPr>
          <w:t>7</w:t>
        </w:r>
      </w:hyperlink>
      <w:r w:rsidRPr="00353445">
        <w:rPr>
          <w:rFonts w:ascii="Times New Roman" w:hAnsi="Times New Roman" w:cs="Times New Roman"/>
        </w:rPr>
        <w:t> </w:t>
      </w:r>
    </w:p>
    <w:p w:rsidR="008E66EF" w:rsidRPr="00353445" w:rsidRDefault="008E66EF" w:rsidP="00D61F29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D61F29" w:rsidRPr="00353445" w:rsidRDefault="00D61F29" w:rsidP="00D61F29">
      <w:pPr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  <w:b/>
          <w:bCs/>
        </w:rPr>
        <w:lastRenderedPageBreak/>
        <w:t>Referenční dokument o BAT (BREF) "Průmysl zpracování odpadu"</w:t>
      </w:r>
    </w:p>
    <w:p w:rsidR="00D61F29" w:rsidRDefault="00D61F29" w:rsidP="00D61F29">
      <w:pPr>
        <w:spacing w:before="100" w:beforeAutospacing="1" w:after="360"/>
        <w:rPr>
          <w:rFonts w:ascii="Times New Roman" w:hAnsi="Times New Roman" w:cs="Times New Roman"/>
        </w:rPr>
      </w:pPr>
      <w:r w:rsidRPr="00353445">
        <w:rPr>
          <w:rFonts w:ascii="Times New Roman" w:hAnsi="Times New Roman" w:cs="Times New Roman"/>
        </w:rPr>
        <w:t>Dne 10. srpna 2018 bylo v Úředním věstníku EU publikováno prováděcí rozhodnutí Komise (EU) 2018/1147, kterým se stanoví závěry o nejlepších dostupných technikách (BAT) pro zpracování odpadu podle směrnice Evropského parlamentu a Rady 2010/75/EU o průmyslových emisích (</w:t>
      </w:r>
      <w:hyperlink r:id="rId27" w:history="1">
        <w:r w:rsidRPr="00353445">
          <w:rPr>
            <w:rFonts w:ascii="Times New Roman" w:hAnsi="Times New Roman" w:cs="Times New Roman"/>
            <w:i/>
            <w:iCs/>
            <w:color w:val="0000FF"/>
            <w:sz w:val="26"/>
            <w:szCs w:val="26"/>
            <w:u w:val="single"/>
          </w:rPr>
          <w:t> </w:t>
        </w:r>
        <w:r w:rsidRPr="00353445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Rozhodnutí 2018/1147/EU</w:t>
        </w:r>
      </w:hyperlink>
      <w:r w:rsidRPr="00353445">
        <w:rPr>
          <w:rFonts w:ascii="Times New Roman" w:hAnsi="Times New Roman" w:cs="Times New Roman"/>
          <w:sz w:val="26"/>
          <w:szCs w:val="26"/>
        </w:rPr>
        <w:t xml:space="preserve"> </w:t>
      </w:r>
      <w:r w:rsidRPr="00353445">
        <w:rPr>
          <w:rFonts w:ascii="Times New Roman" w:hAnsi="Times New Roman" w:cs="Times New Roman"/>
          <w:i/>
          <w:iCs/>
          <w:sz w:val="26"/>
          <w:szCs w:val="26"/>
        </w:rPr>
        <w:t>[pdf, 723 kB]</w:t>
      </w:r>
      <w:r w:rsidRPr="00353445">
        <w:rPr>
          <w:rFonts w:ascii="Times New Roman" w:hAnsi="Times New Roman" w:cs="Times New Roman"/>
        </w:rPr>
        <w:t>).</w:t>
      </w:r>
    </w:p>
    <w:p w:rsidR="00C56D9A" w:rsidRPr="00BA3995" w:rsidRDefault="00C56D9A" w:rsidP="00C56D9A">
      <w:pPr>
        <w:rPr>
          <w:rFonts w:ascii="Times New Roman" w:hAnsi="Times New Roman" w:cs="Times New Roman"/>
        </w:rPr>
      </w:pPr>
    </w:p>
    <w:bookmarkEnd w:id="1"/>
    <w:bookmarkEnd w:id="2"/>
    <w:p w:rsidR="008E66EF" w:rsidRPr="00E6546B" w:rsidRDefault="008E66EF" w:rsidP="008E66EF">
      <w:pPr>
        <w:pStyle w:val="Nadpis2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E6546B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Harmonogram přezkumů integrovaných povolení </w:t>
      </w:r>
    </w:p>
    <w:p w:rsidR="008E66EF" w:rsidRDefault="008E66EF" w:rsidP="008E66EF">
      <w:pPr>
        <w:spacing w:after="360"/>
        <w:rPr>
          <w:rFonts w:ascii="Times New Roman" w:hAnsi="Times New Roman" w:cs="Times New Roman"/>
        </w:rPr>
      </w:pPr>
      <w:r w:rsidRPr="00BA3995">
        <w:rPr>
          <w:rFonts w:ascii="Times New Roman" w:hAnsi="Times New Roman" w:cs="Times New Roman"/>
        </w:rPr>
        <w:t xml:space="preserve">V České republice je </w:t>
      </w:r>
      <w:r>
        <w:rPr>
          <w:rFonts w:ascii="Times New Roman" w:hAnsi="Times New Roman" w:cs="Times New Roman"/>
        </w:rPr>
        <w:t xml:space="preserve">tedy </w:t>
      </w:r>
      <w:r w:rsidRPr="00BA3995">
        <w:rPr>
          <w:rFonts w:ascii="Times New Roman" w:hAnsi="Times New Roman" w:cs="Times New Roman"/>
        </w:rPr>
        <w:t xml:space="preserve">na základě zveřejněných závěrů o BAT nutno provést </w:t>
      </w:r>
      <w:r w:rsidRPr="00220236">
        <w:rPr>
          <w:rFonts w:ascii="Times New Roman" w:hAnsi="Times New Roman" w:cs="Times New Roman"/>
          <w:b/>
        </w:rPr>
        <w:t>stovky přezkumů</w:t>
      </w:r>
      <w:r w:rsidRPr="00BA3995">
        <w:rPr>
          <w:rFonts w:ascii="Times New Roman" w:hAnsi="Times New Roman" w:cs="Times New Roman"/>
        </w:rPr>
        <w:t xml:space="preserve"> závazných podmínek </w:t>
      </w:r>
      <w:r>
        <w:rPr>
          <w:rFonts w:ascii="Times New Roman" w:hAnsi="Times New Roman" w:cs="Times New Roman"/>
        </w:rPr>
        <w:t>IP</w:t>
      </w:r>
      <w:r w:rsidRPr="00BA3995">
        <w:rPr>
          <w:rFonts w:ascii="Times New Roman" w:hAnsi="Times New Roman" w:cs="Times New Roman"/>
        </w:rPr>
        <w:t xml:space="preserve"> podle § 18 odst. 3 zákona o integrované prevenci. </w:t>
      </w:r>
    </w:p>
    <w:p w:rsidR="008E66EF" w:rsidRPr="00D61F29" w:rsidRDefault="008E66EF" w:rsidP="008E66EF">
      <w:pPr>
        <w:rPr>
          <w:rFonts w:ascii="Times New Roman" w:eastAsia="Arial Unicode MS" w:hAnsi="Times New Roman" w:cs="Times New Roman"/>
        </w:rPr>
      </w:pPr>
      <w:r w:rsidRPr="00170AC1">
        <w:rPr>
          <w:rFonts w:ascii="Times New Roman" w:hAnsi="Times New Roman" w:cs="Times New Roman"/>
          <w:b/>
          <w:color w:val="auto"/>
          <w:u w:val="single"/>
        </w:rPr>
        <w:t>Časový rámec přezkumů (konečné termíny):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1985"/>
        <w:gridCol w:w="2296"/>
      </w:tblGrid>
      <w:tr w:rsidR="00C56D9A" w:rsidRPr="00BA3995" w:rsidTr="00170AC1">
        <w:trPr>
          <w:tblHeader/>
        </w:trPr>
        <w:tc>
          <w:tcPr>
            <w:tcW w:w="4791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Závěry o BAT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 xml:space="preserve">Hlavní kategorie dle přílohy č.1 </w:t>
            </w:r>
            <w:r w:rsidRPr="00BA3995">
              <w:rPr>
                <w:rStyle w:val="Znakapoznpodarou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Přezkum integrovaných povolení</w:t>
            </w:r>
          </w:p>
        </w:tc>
      </w:tr>
      <w:tr w:rsidR="00C56D9A" w:rsidRPr="00BA3995" w:rsidTr="000E70FE">
        <w:tc>
          <w:tcPr>
            <w:tcW w:w="4791" w:type="dxa"/>
            <w:shd w:val="clear" w:color="auto" w:fill="auto"/>
          </w:tcPr>
          <w:p w:rsidR="00C56D9A" w:rsidRPr="00220236" w:rsidRDefault="00C56D9A" w:rsidP="000E70FE">
            <w:pPr>
              <w:pStyle w:val="Nadpis7"/>
              <w:spacing w:after="4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220236">
              <w:rPr>
                <w:rFonts w:ascii="Times New Roman" w:hAnsi="Times New Roman" w:cs="Times New Roman"/>
                <w:i w:val="0"/>
                <w:color w:val="auto"/>
              </w:rPr>
              <w:t>Sklářský průmysl</w:t>
            </w:r>
          </w:p>
        </w:tc>
        <w:tc>
          <w:tcPr>
            <w:tcW w:w="1985" w:type="dxa"/>
            <w:shd w:val="clear" w:color="auto" w:fill="auto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3.3., 3.4.</w:t>
            </w:r>
          </w:p>
        </w:tc>
        <w:tc>
          <w:tcPr>
            <w:tcW w:w="2296" w:type="dxa"/>
            <w:shd w:val="clear" w:color="auto" w:fill="auto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Březen 2016</w:t>
            </w:r>
          </w:p>
        </w:tc>
      </w:tr>
      <w:tr w:rsidR="00C56D9A" w:rsidRPr="00BA3995" w:rsidTr="000E70FE">
        <w:tc>
          <w:tcPr>
            <w:tcW w:w="4791" w:type="dxa"/>
            <w:shd w:val="clear" w:color="auto" w:fill="auto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Výroba železa a oceli</w:t>
            </w:r>
          </w:p>
        </w:tc>
        <w:tc>
          <w:tcPr>
            <w:tcW w:w="1985" w:type="dxa"/>
            <w:shd w:val="clear" w:color="auto" w:fill="auto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1.3., 2.1., 2.2.</w:t>
            </w:r>
          </w:p>
        </w:tc>
        <w:tc>
          <w:tcPr>
            <w:tcW w:w="2296" w:type="dxa"/>
            <w:shd w:val="clear" w:color="auto" w:fill="auto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Březen 2016</w:t>
            </w:r>
          </w:p>
        </w:tc>
      </w:tr>
      <w:tr w:rsidR="00C56D9A" w:rsidRPr="00BA3995" w:rsidTr="000E70FE">
        <w:tc>
          <w:tcPr>
            <w:tcW w:w="4791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Výroba cementu, vápna a oxidu hořečnatého</w:t>
            </w:r>
          </w:p>
        </w:tc>
        <w:tc>
          <w:tcPr>
            <w:tcW w:w="1985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Duben 2017</w:t>
            </w:r>
          </w:p>
        </w:tc>
      </w:tr>
      <w:tr w:rsidR="00C56D9A" w:rsidRPr="00BA3995" w:rsidTr="000E70FE">
        <w:tc>
          <w:tcPr>
            <w:tcW w:w="4791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Výroba chloru a louhu</w:t>
            </w:r>
          </w:p>
        </w:tc>
        <w:tc>
          <w:tcPr>
            <w:tcW w:w="1985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4.2. a), c)</w:t>
            </w:r>
          </w:p>
        </w:tc>
        <w:tc>
          <w:tcPr>
            <w:tcW w:w="2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Prosinec 2017</w:t>
            </w:r>
          </w:p>
        </w:tc>
      </w:tr>
      <w:tr w:rsidR="00C56D9A" w:rsidRPr="00BA3995" w:rsidTr="000E70FE">
        <w:tc>
          <w:tcPr>
            <w:tcW w:w="4791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Výroba buničiny, papíru a lepenky</w:t>
            </w:r>
          </w:p>
        </w:tc>
        <w:tc>
          <w:tcPr>
            <w:tcW w:w="1985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6.1. a), b)</w:t>
            </w:r>
          </w:p>
        </w:tc>
        <w:tc>
          <w:tcPr>
            <w:tcW w:w="2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Září 2018</w:t>
            </w:r>
          </w:p>
        </w:tc>
      </w:tr>
      <w:tr w:rsidR="00C56D9A" w:rsidRPr="00BA3995" w:rsidTr="000E70FE">
        <w:tc>
          <w:tcPr>
            <w:tcW w:w="4791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Rafinérie</w:t>
            </w:r>
          </w:p>
        </w:tc>
        <w:tc>
          <w:tcPr>
            <w:tcW w:w="1985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Říjen 2018</w:t>
            </w:r>
          </w:p>
        </w:tc>
      </w:tr>
      <w:tr w:rsidR="00C56D9A" w:rsidRPr="00BA3995" w:rsidTr="000E70FE">
        <w:tc>
          <w:tcPr>
            <w:tcW w:w="4791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Výroba desek na bázi dřeva</w:t>
            </w:r>
          </w:p>
        </w:tc>
        <w:tc>
          <w:tcPr>
            <w:tcW w:w="1985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6.1. c)</w:t>
            </w:r>
          </w:p>
        </w:tc>
        <w:tc>
          <w:tcPr>
            <w:tcW w:w="2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Listopad 2019</w:t>
            </w:r>
          </w:p>
        </w:tc>
      </w:tr>
      <w:tr w:rsidR="00C56D9A" w:rsidRPr="00BA3995" w:rsidTr="000E70FE">
        <w:tc>
          <w:tcPr>
            <w:tcW w:w="4791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eastAsia="Calibri" w:hAnsi="Times New Roman" w:cs="Times New Roman"/>
              </w:rPr>
              <w:t>Společné systémy čištění odpadních vod a odpadních plynů a nakládání s nimi v odvětví chemického průmyslu</w:t>
            </w:r>
          </w:p>
        </w:tc>
        <w:tc>
          <w:tcPr>
            <w:tcW w:w="1985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2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Červen 2020</w:t>
            </w:r>
          </w:p>
        </w:tc>
      </w:tr>
      <w:tr w:rsidR="00C56D9A" w:rsidRPr="00BA3995" w:rsidTr="000E70FE">
        <w:tc>
          <w:tcPr>
            <w:tcW w:w="4791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Neželezné kovy</w:t>
            </w:r>
          </w:p>
        </w:tc>
        <w:tc>
          <w:tcPr>
            <w:tcW w:w="1985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2.5. a), 2.5. b)</w:t>
            </w:r>
          </w:p>
        </w:tc>
        <w:tc>
          <w:tcPr>
            <w:tcW w:w="2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Červen 2020</w:t>
            </w:r>
          </w:p>
        </w:tc>
      </w:tr>
      <w:tr w:rsidR="00C56D9A" w:rsidRPr="00BA3995" w:rsidTr="000E70FE">
        <w:tc>
          <w:tcPr>
            <w:tcW w:w="4791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Intenzivní chov drůbeže nebo prasat</w:t>
            </w:r>
          </w:p>
        </w:tc>
        <w:tc>
          <w:tcPr>
            <w:tcW w:w="1985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2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Únor 2021</w:t>
            </w:r>
          </w:p>
        </w:tc>
      </w:tr>
      <w:tr w:rsidR="00C56D9A" w:rsidRPr="00BA3995" w:rsidTr="000E70FE">
        <w:tc>
          <w:tcPr>
            <w:tcW w:w="4791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Velká spalovací zařízení</w:t>
            </w:r>
          </w:p>
        </w:tc>
        <w:tc>
          <w:tcPr>
            <w:tcW w:w="1985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2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Červenec 2021</w:t>
            </w:r>
          </w:p>
        </w:tc>
      </w:tr>
      <w:tr w:rsidR="00C56D9A" w:rsidRPr="00BA3995" w:rsidTr="000E70FE">
        <w:tc>
          <w:tcPr>
            <w:tcW w:w="4791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Velkoobjemové organické chemikálie</w:t>
            </w:r>
          </w:p>
        </w:tc>
        <w:tc>
          <w:tcPr>
            <w:tcW w:w="1985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4.1. a), 4.1. b), 4.1. c), 4.1. d), 4.1. e), 4.1. f), 4.1. g), 4.1. k), 4.2. e)</w:t>
            </w:r>
          </w:p>
        </w:tc>
        <w:tc>
          <w:tcPr>
            <w:tcW w:w="2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Listopad 2021</w:t>
            </w:r>
          </w:p>
        </w:tc>
      </w:tr>
      <w:tr w:rsidR="00C56D9A" w:rsidRPr="00BA3995" w:rsidTr="000E70FE">
        <w:tc>
          <w:tcPr>
            <w:tcW w:w="4791" w:type="dxa"/>
          </w:tcPr>
          <w:p w:rsidR="00C56D9A" w:rsidRPr="00BA3995" w:rsidRDefault="00C56D9A" w:rsidP="000E70FE">
            <w:pPr>
              <w:spacing w:before="40" w:after="40"/>
              <w:jc w:val="left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Závěry o BAT pro zpracování odpadů</w:t>
            </w:r>
          </w:p>
        </w:tc>
        <w:tc>
          <w:tcPr>
            <w:tcW w:w="1985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</w:rPr>
              <w:t>5.1. a), 5.1. b), 5.1. c), 5.1. d), 5.1. e), 5.1. f) 5.1. g), 5.1. h), 5.1. i), 5.1. j), 5.3. a), 5.3. b), 5.5, 6.11.</w:t>
            </w:r>
          </w:p>
        </w:tc>
        <w:tc>
          <w:tcPr>
            <w:tcW w:w="2296" w:type="dxa"/>
          </w:tcPr>
          <w:p w:rsidR="00C56D9A" w:rsidRPr="00BA3995" w:rsidRDefault="00C56D9A" w:rsidP="000E70FE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Srpen 2022</w:t>
            </w:r>
          </w:p>
        </w:tc>
      </w:tr>
    </w:tbl>
    <w:p w:rsidR="00C56D9A" w:rsidRPr="00BA3995" w:rsidRDefault="00C56D9A" w:rsidP="00FC635B">
      <w:pPr>
        <w:spacing w:before="360"/>
        <w:rPr>
          <w:rFonts w:ascii="Times New Roman" w:hAnsi="Times New Roman" w:cs="Times New Roman"/>
        </w:rPr>
      </w:pPr>
      <w:r w:rsidRPr="00BA3995">
        <w:rPr>
          <w:rFonts w:ascii="Times New Roman" w:hAnsi="Times New Roman" w:cs="Times New Roman"/>
        </w:rPr>
        <w:t xml:space="preserve">Relevantnost závěrů o BAT a dotčených </w:t>
      </w:r>
      <w:r w:rsidR="00FC635B">
        <w:rPr>
          <w:rFonts w:ascii="Times New Roman" w:hAnsi="Times New Roman" w:cs="Times New Roman"/>
        </w:rPr>
        <w:t>IP</w:t>
      </w:r>
      <w:r w:rsidRPr="00BA3995">
        <w:rPr>
          <w:rFonts w:ascii="Times New Roman" w:hAnsi="Times New Roman" w:cs="Times New Roman"/>
        </w:rPr>
        <w:t xml:space="preserve"> vychází z hlavní činnosti. Pokud zařízení spadá do více kategorií podle přílohy č. 1 zákona o integrované prevenci / přílohy I IED, je nutné určit jednu z kategorií jako hlavní. Postup je popsán v metodickém dokumentu </w:t>
      </w:r>
      <w:r w:rsidR="00D15B65">
        <w:rPr>
          <w:rFonts w:ascii="Times New Roman" w:hAnsi="Times New Roman" w:cs="Times New Roman"/>
        </w:rPr>
        <w:t xml:space="preserve">(dne </w:t>
      </w:r>
      <w:r w:rsidR="00D15B65" w:rsidRPr="00BA3995">
        <w:rPr>
          <w:rFonts w:ascii="Times New Roman" w:hAnsi="Times New Roman" w:cs="Times New Roman"/>
        </w:rPr>
        <w:t>17.</w:t>
      </w:r>
      <w:r w:rsidR="00FC635B">
        <w:rPr>
          <w:rFonts w:ascii="Times New Roman" w:hAnsi="Times New Roman" w:cs="Times New Roman"/>
        </w:rPr>
        <w:t xml:space="preserve"> </w:t>
      </w:r>
      <w:r w:rsidR="00D15B65" w:rsidRPr="00BA3995">
        <w:rPr>
          <w:rFonts w:ascii="Times New Roman" w:hAnsi="Times New Roman" w:cs="Times New Roman"/>
        </w:rPr>
        <w:t>4.</w:t>
      </w:r>
      <w:r w:rsidR="00FC635B">
        <w:rPr>
          <w:rFonts w:ascii="Times New Roman" w:hAnsi="Times New Roman" w:cs="Times New Roman"/>
        </w:rPr>
        <w:t xml:space="preserve"> </w:t>
      </w:r>
      <w:r w:rsidR="00D15B65" w:rsidRPr="00BA3995">
        <w:rPr>
          <w:rFonts w:ascii="Times New Roman" w:hAnsi="Times New Roman" w:cs="Times New Roman"/>
        </w:rPr>
        <w:t xml:space="preserve">2014 byl </w:t>
      </w:r>
      <w:r w:rsidR="00D15B65">
        <w:rPr>
          <w:rFonts w:ascii="Times New Roman" w:hAnsi="Times New Roman" w:cs="Times New Roman"/>
        </w:rPr>
        <w:t>MŽP</w:t>
      </w:r>
      <w:r w:rsidR="00FC635B">
        <w:rPr>
          <w:rFonts w:ascii="Times New Roman" w:hAnsi="Times New Roman" w:cs="Times New Roman"/>
        </w:rPr>
        <w:t xml:space="preserve"> zveřejněn v </w:t>
      </w:r>
      <w:r w:rsidR="00D15B65" w:rsidRPr="00BA3995">
        <w:rPr>
          <w:rFonts w:ascii="Times New Roman" w:hAnsi="Times New Roman" w:cs="Times New Roman"/>
        </w:rPr>
        <w:t xml:space="preserve">informačním systému </w:t>
      </w:r>
      <w:r w:rsidR="00D15B65" w:rsidRPr="00BA3995">
        <w:rPr>
          <w:rFonts w:ascii="Times New Roman" w:hAnsi="Times New Roman" w:cs="Times New Roman"/>
        </w:rPr>
        <w:lastRenderedPageBreak/>
        <w:t>integrované prevence (</w:t>
      </w:r>
      <w:hyperlink r:id="rId28" w:history="1">
        <w:r w:rsidR="00FC635B" w:rsidRPr="00B00278">
          <w:rPr>
            <w:rStyle w:val="Hypertextovodkaz"/>
            <w:rFonts w:ascii="Times New Roman" w:hAnsi="Times New Roman" w:cs="Times New Roman"/>
          </w:rPr>
          <w:t>www.mzp.cz/ippc</w:t>
        </w:r>
      </w:hyperlink>
      <w:r w:rsidR="00D15B65" w:rsidRPr="00BA3995">
        <w:rPr>
          <w:rFonts w:ascii="Times New Roman" w:hAnsi="Times New Roman" w:cs="Times New Roman"/>
        </w:rPr>
        <w:t xml:space="preserve">) metodický dokument k problematice ekonomického hodnocení dosažení úrovní emisí spojených s </w:t>
      </w:r>
      <w:r w:rsidR="00FC635B">
        <w:rPr>
          <w:rFonts w:ascii="Times New Roman" w:hAnsi="Times New Roman" w:cs="Times New Roman"/>
        </w:rPr>
        <w:t>BAT</w:t>
      </w:r>
      <w:r w:rsidR="00D15B65" w:rsidRPr="00BA3995">
        <w:rPr>
          <w:rFonts w:ascii="Times New Roman" w:hAnsi="Times New Roman" w:cs="Times New Roman"/>
        </w:rPr>
        <w:t xml:space="preserve"> a odborného posouzení k zákonu č. 76/2002 Sb</w:t>
      </w:r>
      <w:r w:rsidR="00220236">
        <w:rPr>
          <w:rFonts w:ascii="Times New Roman" w:hAnsi="Times New Roman" w:cs="Times New Roman"/>
        </w:rPr>
        <w:t>.</w:t>
      </w:r>
      <w:r w:rsidR="00D15B65" w:rsidRPr="00BA3995">
        <w:rPr>
          <w:rFonts w:ascii="Times New Roman" w:hAnsi="Times New Roman" w:cs="Times New Roman"/>
        </w:rPr>
        <w:t xml:space="preserve"> </w:t>
      </w:r>
      <w:r w:rsidRPr="00BA3995">
        <w:rPr>
          <w:rFonts w:ascii="Times New Roman" w:hAnsi="Times New Roman" w:cs="Times New Roman"/>
        </w:rPr>
        <w:t>k problematice ekonomického hodnocení dosažení úrovní emisí spojených s </w:t>
      </w:r>
      <w:r w:rsidR="00FC635B">
        <w:rPr>
          <w:rFonts w:ascii="Times New Roman" w:hAnsi="Times New Roman" w:cs="Times New Roman"/>
        </w:rPr>
        <w:t>BAT</w:t>
      </w:r>
      <w:r w:rsidRPr="00BA3995">
        <w:rPr>
          <w:rFonts w:ascii="Times New Roman" w:hAnsi="Times New Roman" w:cs="Times New Roman"/>
        </w:rPr>
        <w:t xml:space="preserve"> a odborného posou</w:t>
      </w:r>
      <w:r w:rsidR="00FC635B">
        <w:rPr>
          <w:rFonts w:ascii="Times New Roman" w:hAnsi="Times New Roman" w:cs="Times New Roman"/>
        </w:rPr>
        <w:t xml:space="preserve">zení (kapitola 2.2.). Následující tabulka </w:t>
      </w:r>
      <w:r w:rsidRPr="00BA3995">
        <w:rPr>
          <w:rFonts w:ascii="Times New Roman" w:hAnsi="Times New Roman" w:cs="Times New Roman"/>
        </w:rPr>
        <w:t xml:space="preserve">uvádí všechna stávající zařízení v dotčené kategorie bez omezení aplikovatelnosti jednotlivých závěrů o BAT s výjimkou výroby chloru a louhu. </w:t>
      </w:r>
    </w:p>
    <w:p w:rsidR="003F0342" w:rsidRDefault="00240DB8" w:rsidP="003F034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Konečné datum </w:t>
      </w:r>
      <w:r w:rsidR="00C56D9A" w:rsidRPr="00BA3995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</w:t>
      </w:r>
      <w:r w:rsidR="00C56D9A" w:rsidRPr="00BA3995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="00C56D9A" w:rsidRPr="00BA3995">
        <w:rPr>
          <w:rFonts w:ascii="Times New Roman" w:hAnsi="Times New Roman" w:cs="Times New Roman"/>
          <w:bCs/>
        </w:rPr>
        <w:t xml:space="preserve">leté lhůty, která je uvedena v § 18 odst. 3 zákona o integrované prevenci, se odvozuje z datace příslušného čísla Úředního věstníku EU. Nejedná se tedy o dataci vlastního implementačního rozhodnutí Komise. </w:t>
      </w:r>
    </w:p>
    <w:p w:rsidR="00C56D9A" w:rsidRDefault="003F0342" w:rsidP="008E66EF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Pozn.: m</w:t>
      </w:r>
      <w:r w:rsidR="00C56D9A" w:rsidRPr="00BA3995">
        <w:rPr>
          <w:rFonts w:ascii="Times New Roman" w:hAnsi="Times New Roman" w:cs="Times New Roman"/>
          <w:bCs/>
        </w:rPr>
        <w:t xml:space="preserve">ůže se jednat o 2 rozdílné údaje – např.  Prováděcí rozhodnutí Komise (EU) 2016/902 ze dne 30. </w:t>
      </w:r>
      <w:r>
        <w:rPr>
          <w:rFonts w:ascii="Times New Roman" w:hAnsi="Times New Roman" w:cs="Times New Roman"/>
          <w:bCs/>
        </w:rPr>
        <w:t>5.</w:t>
      </w:r>
      <w:r w:rsidR="00C56D9A" w:rsidRPr="00BA3995">
        <w:rPr>
          <w:rFonts w:ascii="Times New Roman" w:hAnsi="Times New Roman" w:cs="Times New Roman"/>
          <w:bCs/>
        </w:rPr>
        <w:t xml:space="preserve"> 20</w:t>
      </w:r>
      <w:r w:rsidR="00D15B65">
        <w:rPr>
          <w:rFonts w:ascii="Times New Roman" w:hAnsi="Times New Roman" w:cs="Times New Roman"/>
          <w:bCs/>
        </w:rPr>
        <w:t xml:space="preserve">16, kterým se stanoví závěry o </w:t>
      </w:r>
      <w:r w:rsidR="00C56D9A" w:rsidRPr="00BA3995">
        <w:rPr>
          <w:rFonts w:ascii="Times New Roman" w:hAnsi="Times New Roman" w:cs="Times New Roman"/>
          <w:bCs/>
        </w:rPr>
        <w:t xml:space="preserve">BAT podle směrnice </w:t>
      </w:r>
      <w:r w:rsidR="00220236">
        <w:rPr>
          <w:rFonts w:ascii="Times New Roman" w:hAnsi="Times New Roman" w:cs="Times New Roman"/>
          <w:bCs/>
        </w:rPr>
        <w:t>IED</w:t>
      </w:r>
      <w:r w:rsidR="00C56D9A" w:rsidRPr="00BA3995">
        <w:rPr>
          <w:rFonts w:ascii="Times New Roman" w:hAnsi="Times New Roman" w:cs="Times New Roman"/>
          <w:bCs/>
        </w:rPr>
        <w:t xml:space="preserve"> pro společné systémy čištění odpadních vod a odpadních plynů a nakládání s nimi v odvětví chemického průmyslu bylo zveřejněno v Úředním věstníku EU </w:t>
      </w:r>
      <w:r w:rsidR="00C56D9A" w:rsidRPr="00BA3995">
        <w:rPr>
          <w:rFonts w:ascii="Times New Roman" w:hAnsi="Times New Roman" w:cs="Times New Roman"/>
        </w:rPr>
        <w:t>L 152 dne 9.</w:t>
      </w:r>
      <w:r w:rsidR="00FC635B">
        <w:rPr>
          <w:rFonts w:ascii="Times New Roman" w:hAnsi="Times New Roman" w:cs="Times New Roman"/>
        </w:rPr>
        <w:t xml:space="preserve"> </w:t>
      </w:r>
      <w:r w:rsidR="00C56D9A" w:rsidRPr="00BA3995">
        <w:rPr>
          <w:rFonts w:ascii="Times New Roman" w:hAnsi="Times New Roman" w:cs="Times New Roman"/>
        </w:rPr>
        <w:t>6.</w:t>
      </w:r>
      <w:r w:rsidR="00FC635B">
        <w:rPr>
          <w:rFonts w:ascii="Times New Roman" w:hAnsi="Times New Roman" w:cs="Times New Roman"/>
        </w:rPr>
        <w:t xml:space="preserve"> </w:t>
      </w:r>
      <w:r w:rsidR="00C56D9A" w:rsidRPr="00BA3995">
        <w:rPr>
          <w:rFonts w:ascii="Times New Roman" w:hAnsi="Times New Roman" w:cs="Times New Roman"/>
        </w:rPr>
        <w:t>2016. Uvedené 4</w:t>
      </w:r>
      <w:r w:rsidR="00FC635B">
        <w:rPr>
          <w:rFonts w:ascii="Times New Roman" w:hAnsi="Times New Roman" w:cs="Times New Roman"/>
        </w:rPr>
        <w:t xml:space="preserve"> </w:t>
      </w:r>
      <w:r w:rsidR="00C56D9A" w:rsidRPr="00BA3995">
        <w:rPr>
          <w:rFonts w:ascii="Times New Roman" w:hAnsi="Times New Roman" w:cs="Times New Roman"/>
        </w:rPr>
        <w:t>-</w:t>
      </w:r>
      <w:r w:rsidR="00FC635B">
        <w:rPr>
          <w:rFonts w:ascii="Times New Roman" w:hAnsi="Times New Roman" w:cs="Times New Roman"/>
        </w:rPr>
        <w:t xml:space="preserve"> </w:t>
      </w:r>
      <w:r w:rsidR="00C56D9A" w:rsidRPr="00BA3995">
        <w:rPr>
          <w:rFonts w:ascii="Times New Roman" w:hAnsi="Times New Roman" w:cs="Times New Roman"/>
        </w:rPr>
        <w:t>letá lhůta se tedy počítá od 9.</w:t>
      </w:r>
      <w:r w:rsidR="00FC635B">
        <w:rPr>
          <w:rFonts w:ascii="Times New Roman" w:hAnsi="Times New Roman" w:cs="Times New Roman"/>
        </w:rPr>
        <w:t xml:space="preserve"> </w:t>
      </w:r>
      <w:r w:rsidR="00C56D9A" w:rsidRPr="00BA3995">
        <w:rPr>
          <w:rFonts w:ascii="Times New Roman" w:hAnsi="Times New Roman" w:cs="Times New Roman"/>
        </w:rPr>
        <w:t>6.</w:t>
      </w:r>
      <w:r w:rsidR="00FC635B">
        <w:rPr>
          <w:rFonts w:ascii="Times New Roman" w:hAnsi="Times New Roman" w:cs="Times New Roman"/>
        </w:rPr>
        <w:t xml:space="preserve"> </w:t>
      </w:r>
      <w:r w:rsidR="00C56D9A" w:rsidRPr="00BA3995">
        <w:rPr>
          <w:rFonts w:ascii="Times New Roman" w:hAnsi="Times New Roman" w:cs="Times New Roman"/>
        </w:rPr>
        <w:t>2016 a nikoliv od 30.</w:t>
      </w:r>
      <w:r w:rsidR="00FC635B">
        <w:rPr>
          <w:rFonts w:ascii="Times New Roman" w:hAnsi="Times New Roman" w:cs="Times New Roman"/>
        </w:rPr>
        <w:t xml:space="preserve"> </w:t>
      </w:r>
      <w:r w:rsidR="00C56D9A" w:rsidRPr="00BA3995">
        <w:rPr>
          <w:rFonts w:ascii="Times New Roman" w:hAnsi="Times New Roman" w:cs="Times New Roman"/>
        </w:rPr>
        <w:t>5.</w:t>
      </w:r>
      <w:r w:rsidR="00FC635B">
        <w:rPr>
          <w:rFonts w:ascii="Times New Roman" w:hAnsi="Times New Roman" w:cs="Times New Roman"/>
        </w:rPr>
        <w:t xml:space="preserve"> </w:t>
      </w:r>
      <w:r w:rsidR="00C56D9A" w:rsidRPr="00BA3995">
        <w:rPr>
          <w:rFonts w:ascii="Times New Roman" w:hAnsi="Times New Roman" w:cs="Times New Roman"/>
        </w:rPr>
        <w:t>2016.</w:t>
      </w:r>
    </w:p>
    <w:p w:rsidR="00D15B65" w:rsidRPr="00170AC1" w:rsidRDefault="00D15B65" w:rsidP="00D15B65">
      <w:pPr>
        <w:rPr>
          <w:rFonts w:ascii="Times New Roman" w:eastAsia="Arial Unicode MS" w:hAnsi="Times New Roman" w:cs="Times New Roman"/>
          <w:b/>
          <w:u w:val="single"/>
        </w:rPr>
      </w:pPr>
      <w:r w:rsidRPr="00170AC1">
        <w:rPr>
          <w:rFonts w:ascii="Times New Roman" w:eastAsia="Arial Unicode MS" w:hAnsi="Times New Roman" w:cs="Times New Roman"/>
          <w:b/>
          <w:u w:val="single"/>
        </w:rPr>
        <w:t>Aktuální počty potenciálně dotčených povolení podle kategorií a krajů</w:t>
      </w:r>
      <w:r w:rsidR="00240DB8" w:rsidRPr="00170AC1">
        <w:rPr>
          <w:rFonts w:ascii="Times New Roman" w:eastAsia="Arial Unicode MS" w:hAnsi="Times New Roman" w:cs="Times New Roman"/>
          <w:b/>
          <w:u w:val="single"/>
        </w:rPr>
        <w:t>:</w:t>
      </w: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C56D9A" w:rsidRPr="00BA3995" w:rsidTr="00170AC1">
        <w:trPr>
          <w:trHeight w:val="444"/>
          <w:jc w:val="center"/>
        </w:trPr>
        <w:tc>
          <w:tcPr>
            <w:tcW w:w="1552" w:type="dxa"/>
            <w:shd w:val="clear" w:color="000000" w:fill="B4C6E7" w:themeFill="accent5" w:themeFillTint="66"/>
            <w:noWrap/>
            <w:hideMark/>
          </w:tcPr>
          <w:p w:rsidR="00C56D9A" w:rsidRPr="00BA3995" w:rsidRDefault="00C56D9A" w:rsidP="000E70FE">
            <w:pPr>
              <w:spacing w:beforeLines="40" w:before="96" w:afterLines="40" w:after="96"/>
              <w:jc w:val="left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Hlavní kategorie</w:t>
            </w:r>
          </w:p>
        </w:tc>
        <w:tc>
          <w:tcPr>
            <w:tcW w:w="910" w:type="dxa"/>
            <w:shd w:val="clear" w:color="000000" w:fill="B4C6E7" w:themeFill="accent5" w:themeFillTint="66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6.1. c)</w:t>
            </w:r>
          </w:p>
        </w:tc>
        <w:tc>
          <w:tcPr>
            <w:tcW w:w="910" w:type="dxa"/>
            <w:shd w:val="clear" w:color="000000" w:fill="B4C6E7" w:themeFill="accent5" w:themeFillTint="66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6.11.</w:t>
            </w:r>
          </w:p>
        </w:tc>
        <w:tc>
          <w:tcPr>
            <w:tcW w:w="910" w:type="dxa"/>
            <w:shd w:val="clear" w:color="000000" w:fill="B4C6E7" w:themeFill="accent5" w:themeFillTint="66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2.5. a)</w:t>
            </w:r>
          </w:p>
        </w:tc>
        <w:tc>
          <w:tcPr>
            <w:tcW w:w="910" w:type="dxa"/>
            <w:shd w:val="clear" w:color="000000" w:fill="B4C6E7" w:themeFill="accent5" w:themeFillTint="66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2.5. b)</w:t>
            </w:r>
          </w:p>
        </w:tc>
        <w:tc>
          <w:tcPr>
            <w:tcW w:w="910" w:type="dxa"/>
            <w:shd w:val="clear" w:color="000000" w:fill="B4C6E7" w:themeFill="accent5" w:themeFillTint="66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6.6.</w:t>
            </w:r>
          </w:p>
        </w:tc>
        <w:tc>
          <w:tcPr>
            <w:tcW w:w="910" w:type="dxa"/>
            <w:shd w:val="clear" w:color="000000" w:fill="B4C6E7" w:themeFill="accent5" w:themeFillTint="66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A3995">
              <w:rPr>
                <w:rFonts w:ascii="Times New Roman" w:hAnsi="Times New Roman" w:cs="Times New Roman"/>
                <w:b/>
                <w:color w:val="auto"/>
              </w:rPr>
              <w:t>1.1.</w:t>
            </w:r>
          </w:p>
        </w:tc>
        <w:tc>
          <w:tcPr>
            <w:tcW w:w="910" w:type="dxa"/>
            <w:shd w:val="clear" w:color="000000" w:fill="B4C6E7" w:themeFill="accent5" w:themeFillTint="66"/>
            <w:noWrap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A3995">
              <w:rPr>
                <w:rFonts w:ascii="Times New Roman" w:hAnsi="Times New Roman" w:cs="Times New Roman"/>
                <w:b/>
                <w:color w:val="auto"/>
              </w:rPr>
              <w:t>4.1. a) – g), 4.1. k), 4.2. e)</w:t>
            </w:r>
          </w:p>
        </w:tc>
        <w:tc>
          <w:tcPr>
            <w:tcW w:w="910" w:type="dxa"/>
            <w:shd w:val="clear" w:color="000000" w:fill="B4C6E7" w:themeFill="accent5" w:themeFillTint="66"/>
          </w:tcPr>
          <w:p w:rsidR="00C56D9A" w:rsidRPr="00BA3995" w:rsidRDefault="00C56D9A" w:rsidP="000E70FE">
            <w:pPr>
              <w:autoSpaceDE/>
              <w:autoSpaceDN/>
              <w:adjustRightInd/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995">
              <w:rPr>
                <w:rFonts w:ascii="Times New Roman" w:hAnsi="Times New Roman" w:cs="Times New Roman"/>
                <w:b/>
                <w:bCs/>
              </w:rPr>
              <w:t>5.1. (a - j)</w:t>
            </w:r>
          </w:p>
        </w:tc>
        <w:tc>
          <w:tcPr>
            <w:tcW w:w="910" w:type="dxa"/>
            <w:shd w:val="clear" w:color="000000" w:fill="B4C6E7" w:themeFill="accent5" w:themeFillTint="66"/>
          </w:tcPr>
          <w:p w:rsidR="00C56D9A" w:rsidRPr="00BA3995" w:rsidRDefault="00C56D9A" w:rsidP="000E70FE">
            <w:pPr>
              <w:autoSpaceDE/>
              <w:autoSpaceDN/>
              <w:adjustRightInd/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995">
              <w:rPr>
                <w:rFonts w:ascii="Times New Roman" w:hAnsi="Times New Roman" w:cs="Times New Roman"/>
                <w:b/>
                <w:bCs/>
              </w:rPr>
              <w:t>5.3. (a, b)</w:t>
            </w:r>
          </w:p>
        </w:tc>
        <w:tc>
          <w:tcPr>
            <w:tcW w:w="910" w:type="dxa"/>
            <w:shd w:val="clear" w:color="000000" w:fill="B4C6E7" w:themeFill="accent5" w:themeFillTint="66"/>
          </w:tcPr>
          <w:p w:rsidR="00C56D9A" w:rsidRPr="00BA3995" w:rsidRDefault="00C56D9A" w:rsidP="000E70FE">
            <w:pPr>
              <w:autoSpaceDE/>
              <w:autoSpaceDN/>
              <w:adjustRightInd/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995">
              <w:rPr>
                <w:rFonts w:ascii="Times New Roman" w:hAnsi="Times New Roman" w:cs="Times New Roman"/>
                <w:b/>
                <w:bCs/>
              </w:rPr>
              <w:t>5.5.</w:t>
            </w:r>
          </w:p>
        </w:tc>
      </w:tr>
      <w:tr w:rsidR="00C56D9A" w:rsidRPr="00BA3995" w:rsidTr="00170AC1">
        <w:trPr>
          <w:trHeight w:val="201"/>
          <w:jc w:val="center"/>
        </w:trPr>
        <w:tc>
          <w:tcPr>
            <w:tcW w:w="1552" w:type="dxa"/>
            <w:tcBorders>
              <w:bottom w:val="single" w:sz="4" w:space="0" w:color="auto"/>
            </w:tcBorders>
            <w:shd w:val="clear" w:color="000000" w:fill="B4C6E7" w:themeFill="accent5" w:themeFillTint="66"/>
            <w:noWrap/>
            <w:hideMark/>
          </w:tcPr>
          <w:p w:rsidR="00C56D9A" w:rsidRPr="00BA3995" w:rsidRDefault="00C56D9A" w:rsidP="000E70FE">
            <w:pPr>
              <w:spacing w:beforeLines="40" w:before="96" w:afterLines="40" w:after="96"/>
              <w:jc w:val="left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Kraj / revize</w:t>
            </w:r>
          </w:p>
        </w:tc>
        <w:tc>
          <w:tcPr>
            <w:tcW w:w="910" w:type="dxa"/>
            <w:shd w:val="clear" w:color="000000" w:fill="B4C6E7" w:themeFill="accent5" w:themeFillTint="66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11/2019</w:t>
            </w:r>
          </w:p>
        </w:tc>
        <w:tc>
          <w:tcPr>
            <w:tcW w:w="910" w:type="dxa"/>
            <w:shd w:val="clear" w:color="000000" w:fill="B4C6E7" w:themeFill="accent5" w:themeFillTint="66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06/2020</w:t>
            </w:r>
          </w:p>
        </w:tc>
        <w:tc>
          <w:tcPr>
            <w:tcW w:w="910" w:type="dxa"/>
            <w:shd w:val="clear" w:color="000000" w:fill="B4C6E7" w:themeFill="accent5" w:themeFillTint="66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06/2020</w:t>
            </w:r>
          </w:p>
        </w:tc>
        <w:tc>
          <w:tcPr>
            <w:tcW w:w="910" w:type="dxa"/>
            <w:shd w:val="clear" w:color="000000" w:fill="B4C6E7" w:themeFill="accent5" w:themeFillTint="66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06/2020</w:t>
            </w:r>
          </w:p>
        </w:tc>
        <w:tc>
          <w:tcPr>
            <w:tcW w:w="910" w:type="dxa"/>
            <w:shd w:val="clear" w:color="000000" w:fill="B4C6E7" w:themeFill="accent5" w:themeFillTint="66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02/2021</w:t>
            </w:r>
          </w:p>
        </w:tc>
        <w:tc>
          <w:tcPr>
            <w:tcW w:w="910" w:type="dxa"/>
            <w:shd w:val="clear" w:color="000000" w:fill="B4C6E7" w:themeFill="accent5" w:themeFillTint="66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A3995">
              <w:rPr>
                <w:rFonts w:ascii="Times New Roman" w:hAnsi="Times New Roman" w:cs="Times New Roman"/>
                <w:b/>
                <w:color w:val="auto"/>
              </w:rPr>
              <w:t>07/2021</w:t>
            </w:r>
          </w:p>
        </w:tc>
        <w:tc>
          <w:tcPr>
            <w:tcW w:w="910" w:type="dxa"/>
            <w:shd w:val="clear" w:color="000000" w:fill="B4C6E7" w:themeFill="accent5" w:themeFillTint="66"/>
            <w:noWrap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A3995">
              <w:rPr>
                <w:rFonts w:ascii="Times New Roman" w:hAnsi="Times New Roman" w:cs="Times New Roman"/>
                <w:b/>
                <w:color w:val="auto"/>
              </w:rPr>
              <w:t>11/2021</w:t>
            </w:r>
          </w:p>
        </w:tc>
        <w:tc>
          <w:tcPr>
            <w:tcW w:w="910" w:type="dxa"/>
            <w:shd w:val="clear" w:color="000000" w:fill="B4C6E7" w:themeFill="accent5" w:themeFillTint="66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995">
              <w:rPr>
                <w:rFonts w:ascii="Times New Roman" w:hAnsi="Times New Roman" w:cs="Times New Roman"/>
                <w:b/>
                <w:bCs/>
              </w:rPr>
              <w:t>8/2022</w:t>
            </w:r>
          </w:p>
        </w:tc>
        <w:tc>
          <w:tcPr>
            <w:tcW w:w="910" w:type="dxa"/>
            <w:shd w:val="clear" w:color="000000" w:fill="B4C6E7" w:themeFill="accent5" w:themeFillTint="66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995">
              <w:rPr>
                <w:rFonts w:ascii="Times New Roman" w:hAnsi="Times New Roman" w:cs="Times New Roman"/>
                <w:b/>
                <w:bCs/>
              </w:rPr>
              <w:t>8/2022</w:t>
            </w:r>
          </w:p>
        </w:tc>
        <w:tc>
          <w:tcPr>
            <w:tcW w:w="910" w:type="dxa"/>
            <w:shd w:val="clear" w:color="000000" w:fill="B4C6E7" w:themeFill="accent5" w:themeFillTint="66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995">
              <w:rPr>
                <w:rFonts w:ascii="Times New Roman" w:hAnsi="Times New Roman" w:cs="Times New Roman"/>
                <w:b/>
                <w:bCs/>
              </w:rPr>
              <w:t>8/2022</w:t>
            </w:r>
          </w:p>
        </w:tc>
      </w:tr>
      <w:tr w:rsidR="00C56D9A" w:rsidRPr="00BA3995" w:rsidTr="00170AC1">
        <w:trPr>
          <w:trHeight w:val="297"/>
          <w:jc w:val="center"/>
        </w:trPr>
        <w:tc>
          <w:tcPr>
            <w:tcW w:w="1552" w:type="dxa"/>
            <w:shd w:val="clear" w:color="000000" w:fill="B4C6E7" w:themeFill="accent5" w:themeFillTint="66"/>
            <w:noWrap/>
            <w:hideMark/>
          </w:tcPr>
          <w:p w:rsidR="00C56D9A" w:rsidRPr="00BA3995" w:rsidRDefault="00C56D9A" w:rsidP="000E70FE">
            <w:pPr>
              <w:spacing w:beforeLines="40" w:before="96" w:afterLines="40" w:after="96"/>
              <w:jc w:val="left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Praha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10" w:type="dxa"/>
            <w:noWrap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D9A" w:rsidRPr="00BA3995" w:rsidTr="00170AC1">
        <w:trPr>
          <w:trHeight w:val="297"/>
          <w:jc w:val="center"/>
        </w:trPr>
        <w:tc>
          <w:tcPr>
            <w:tcW w:w="1552" w:type="dxa"/>
            <w:shd w:val="clear" w:color="000000" w:fill="B4C6E7" w:themeFill="accent5" w:themeFillTint="66"/>
            <w:noWrap/>
            <w:hideMark/>
          </w:tcPr>
          <w:p w:rsidR="00C56D9A" w:rsidRPr="00BA3995" w:rsidRDefault="00C56D9A" w:rsidP="000E70FE">
            <w:pPr>
              <w:spacing w:beforeLines="40" w:before="96" w:afterLines="40" w:after="96"/>
              <w:jc w:val="left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Středočeský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10" w:type="dxa"/>
            <w:noWrap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4</w:t>
            </w:r>
          </w:p>
        </w:tc>
      </w:tr>
      <w:tr w:rsidR="00C56D9A" w:rsidRPr="00BA3995" w:rsidTr="00170AC1">
        <w:trPr>
          <w:trHeight w:val="297"/>
          <w:jc w:val="center"/>
        </w:trPr>
        <w:tc>
          <w:tcPr>
            <w:tcW w:w="1552" w:type="dxa"/>
            <w:shd w:val="clear" w:color="000000" w:fill="B4C6E7" w:themeFill="accent5" w:themeFillTint="66"/>
            <w:hideMark/>
          </w:tcPr>
          <w:p w:rsidR="00C56D9A" w:rsidRPr="00BA3995" w:rsidRDefault="00C56D9A" w:rsidP="000E70FE">
            <w:pPr>
              <w:spacing w:beforeLines="40" w:before="96" w:afterLines="40" w:after="96"/>
              <w:jc w:val="left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Jihočeský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  <w:strike/>
              </w:rPr>
              <w:t>4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10" w:type="dxa"/>
            <w:noWrap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</w:t>
            </w:r>
          </w:p>
        </w:tc>
      </w:tr>
      <w:tr w:rsidR="00C56D9A" w:rsidRPr="00BA3995" w:rsidTr="00170AC1">
        <w:trPr>
          <w:trHeight w:val="297"/>
          <w:jc w:val="center"/>
        </w:trPr>
        <w:tc>
          <w:tcPr>
            <w:tcW w:w="1552" w:type="dxa"/>
            <w:shd w:val="clear" w:color="000000" w:fill="B4C6E7" w:themeFill="accent5" w:themeFillTint="66"/>
            <w:noWrap/>
            <w:hideMark/>
          </w:tcPr>
          <w:p w:rsidR="00C56D9A" w:rsidRPr="00BA3995" w:rsidRDefault="00C56D9A" w:rsidP="000E70FE">
            <w:pPr>
              <w:spacing w:beforeLines="40" w:before="96" w:afterLines="40" w:after="96"/>
              <w:jc w:val="left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Plzeňský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10" w:type="dxa"/>
            <w:noWrap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D9A" w:rsidRPr="00BA3995" w:rsidTr="00170AC1">
        <w:trPr>
          <w:trHeight w:val="297"/>
          <w:jc w:val="center"/>
        </w:trPr>
        <w:tc>
          <w:tcPr>
            <w:tcW w:w="1552" w:type="dxa"/>
            <w:shd w:val="clear" w:color="000000" w:fill="B4C6E7" w:themeFill="accent5" w:themeFillTint="66"/>
            <w:hideMark/>
          </w:tcPr>
          <w:p w:rsidR="00C56D9A" w:rsidRPr="00BA3995" w:rsidRDefault="00C56D9A" w:rsidP="000E70FE">
            <w:pPr>
              <w:spacing w:beforeLines="40" w:before="96" w:afterLines="40" w:after="96"/>
              <w:jc w:val="left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Karlovarský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10" w:type="dxa"/>
            <w:noWrap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D9A" w:rsidRPr="00BA3995" w:rsidTr="00170AC1">
        <w:trPr>
          <w:trHeight w:val="297"/>
          <w:jc w:val="center"/>
        </w:trPr>
        <w:tc>
          <w:tcPr>
            <w:tcW w:w="1552" w:type="dxa"/>
            <w:shd w:val="clear" w:color="000000" w:fill="B4C6E7" w:themeFill="accent5" w:themeFillTint="66"/>
            <w:hideMark/>
          </w:tcPr>
          <w:p w:rsidR="00C56D9A" w:rsidRPr="00BA3995" w:rsidRDefault="00C56D9A" w:rsidP="000E70FE">
            <w:pPr>
              <w:spacing w:beforeLines="40" w:before="96" w:afterLines="40" w:after="96"/>
              <w:jc w:val="left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Ústecký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0" w:type="dxa"/>
            <w:noWrap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D9A" w:rsidRPr="00BA3995" w:rsidTr="00170AC1">
        <w:trPr>
          <w:trHeight w:val="297"/>
          <w:jc w:val="center"/>
        </w:trPr>
        <w:tc>
          <w:tcPr>
            <w:tcW w:w="1552" w:type="dxa"/>
            <w:shd w:val="clear" w:color="000000" w:fill="B4C6E7" w:themeFill="accent5" w:themeFillTint="66"/>
            <w:hideMark/>
          </w:tcPr>
          <w:p w:rsidR="00C56D9A" w:rsidRPr="00BA3995" w:rsidRDefault="00C56D9A" w:rsidP="000E70FE">
            <w:pPr>
              <w:spacing w:beforeLines="40" w:before="96" w:afterLines="40" w:after="96"/>
              <w:jc w:val="left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Liberecký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10" w:type="dxa"/>
            <w:noWrap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D9A" w:rsidRPr="00BA3995" w:rsidTr="00170AC1">
        <w:trPr>
          <w:trHeight w:val="297"/>
          <w:jc w:val="center"/>
        </w:trPr>
        <w:tc>
          <w:tcPr>
            <w:tcW w:w="1552" w:type="dxa"/>
            <w:shd w:val="clear" w:color="000000" w:fill="B4C6E7" w:themeFill="accent5" w:themeFillTint="66"/>
            <w:hideMark/>
          </w:tcPr>
          <w:p w:rsidR="00C56D9A" w:rsidRPr="00BA3995" w:rsidRDefault="00C56D9A" w:rsidP="000E70FE">
            <w:pPr>
              <w:spacing w:beforeLines="40" w:before="96" w:afterLines="40" w:after="96"/>
              <w:jc w:val="left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Královéhradecký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0" w:type="dxa"/>
            <w:noWrap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</w:t>
            </w:r>
          </w:p>
        </w:tc>
      </w:tr>
      <w:tr w:rsidR="00C56D9A" w:rsidRPr="00BA3995" w:rsidTr="00170AC1">
        <w:trPr>
          <w:trHeight w:val="297"/>
          <w:jc w:val="center"/>
        </w:trPr>
        <w:tc>
          <w:tcPr>
            <w:tcW w:w="1552" w:type="dxa"/>
            <w:shd w:val="clear" w:color="000000" w:fill="B4C6E7" w:themeFill="accent5" w:themeFillTint="66"/>
            <w:hideMark/>
          </w:tcPr>
          <w:p w:rsidR="00C56D9A" w:rsidRPr="00BA3995" w:rsidRDefault="00C56D9A" w:rsidP="000E70FE">
            <w:pPr>
              <w:spacing w:beforeLines="40" w:before="96" w:afterLines="40" w:after="96"/>
              <w:jc w:val="left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Pardubický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10" w:type="dxa"/>
            <w:noWrap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</w:t>
            </w:r>
          </w:p>
        </w:tc>
      </w:tr>
      <w:tr w:rsidR="00C56D9A" w:rsidRPr="00BA3995" w:rsidTr="00170AC1">
        <w:trPr>
          <w:trHeight w:val="297"/>
          <w:jc w:val="center"/>
        </w:trPr>
        <w:tc>
          <w:tcPr>
            <w:tcW w:w="1552" w:type="dxa"/>
            <w:shd w:val="clear" w:color="000000" w:fill="B4C6E7" w:themeFill="accent5" w:themeFillTint="66"/>
            <w:hideMark/>
          </w:tcPr>
          <w:p w:rsidR="00C56D9A" w:rsidRPr="00BA3995" w:rsidRDefault="00C56D9A" w:rsidP="000E70FE">
            <w:pPr>
              <w:spacing w:beforeLines="40" w:before="96" w:afterLines="40" w:after="96"/>
              <w:jc w:val="left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Vysočina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10" w:type="dxa"/>
            <w:noWrap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D9A" w:rsidRPr="00BA3995" w:rsidTr="00170AC1">
        <w:trPr>
          <w:trHeight w:val="297"/>
          <w:jc w:val="center"/>
        </w:trPr>
        <w:tc>
          <w:tcPr>
            <w:tcW w:w="1552" w:type="dxa"/>
            <w:shd w:val="clear" w:color="000000" w:fill="B4C6E7" w:themeFill="accent5" w:themeFillTint="66"/>
            <w:hideMark/>
          </w:tcPr>
          <w:p w:rsidR="00C56D9A" w:rsidRPr="00BA3995" w:rsidRDefault="00C56D9A" w:rsidP="000E70FE">
            <w:pPr>
              <w:spacing w:beforeLines="40" w:before="96" w:afterLines="40" w:after="96"/>
              <w:jc w:val="left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Jihomoravský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10" w:type="dxa"/>
            <w:noWrap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D9A" w:rsidRPr="00BA3995" w:rsidTr="00170AC1">
        <w:trPr>
          <w:trHeight w:val="297"/>
          <w:jc w:val="center"/>
        </w:trPr>
        <w:tc>
          <w:tcPr>
            <w:tcW w:w="1552" w:type="dxa"/>
            <w:shd w:val="clear" w:color="000000" w:fill="B4C6E7" w:themeFill="accent5" w:themeFillTint="66"/>
            <w:hideMark/>
          </w:tcPr>
          <w:p w:rsidR="00C56D9A" w:rsidRPr="00BA3995" w:rsidRDefault="00C56D9A" w:rsidP="000E70FE">
            <w:pPr>
              <w:spacing w:beforeLines="40" w:before="96" w:afterLines="40" w:after="96"/>
              <w:jc w:val="left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Olomoucký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0" w:type="dxa"/>
            <w:noWrap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D9A" w:rsidRPr="00BA3995" w:rsidTr="00170AC1">
        <w:trPr>
          <w:trHeight w:val="297"/>
          <w:jc w:val="center"/>
        </w:trPr>
        <w:tc>
          <w:tcPr>
            <w:tcW w:w="1552" w:type="dxa"/>
            <w:shd w:val="clear" w:color="000000" w:fill="B4C6E7" w:themeFill="accent5" w:themeFillTint="66"/>
            <w:hideMark/>
          </w:tcPr>
          <w:p w:rsidR="00C56D9A" w:rsidRPr="00BA3995" w:rsidRDefault="00C56D9A" w:rsidP="000E70FE">
            <w:pPr>
              <w:spacing w:beforeLines="40" w:before="96" w:afterLines="40" w:after="96"/>
              <w:jc w:val="left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Zlínský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10" w:type="dxa"/>
            <w:noWrap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</w:t>
            </w:r>
          </w:p>
        </w:tc>
      </w:tr>
      <w:tr w:rsidR="00C56D9A" w:rsidRPr="00BA3995" w:rsidTr="00170AC1">
        <w:trPr>
          <w:trHeight w:val="297"/>
          <w:jc w:val="center"/>
        </w:trPr>
        <w:tc>
          <w:tcPr>
            <w:tcW w:w="1552" w:type="dxa"/>
            <w:shd w:val="clear" w:color="000000" w:fill="B4C6E7" w:themeFill="accent5" w:themeFillTint="66"/>
            <w:hideMark/>
          </w:tcPr>
          <w:p w:rsidR="00C56D9A" w:rsidRPr="00BA3995" w:rsidRDefault="00C56D9A" w:rsidP="000E70FE">
            <w:pPr>
              <w:spacing w:beforeLines="40" w:before="96" w:afterLines="40" w:after="96"/>
              <w:jc w:val="left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Moravskoslezský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910" w:type="dxa"/>
            <w:noWrap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399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C56D9A" w:rsidRPr="00BA3995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 w:rsidRPr="00BA3995">
              <w:rPr>
                <w:rFonts w:ascii="Times New Roman" w:hAnsi="Times New Roman" w:cs="Times New Roman"/>
              </w:rPr>
              <w:t>2</w:t>
            </w:r>
          </w:p>
        </w:tc>
      </w:tr>
      <w:tr w:rsidR="00C56D9A" w:rsidRPr="00BA3995" w:rsidTr="00170AC1">
        <w:trPr>
          <w:trHeight w:val="297"/>
          <w:jc w:val="center"/>
        </w:trPr>
        <w:tc>
          <w:tcPr>
            <w:tcW w:w="1552" w:type="dxa"/>
            <w:shd w:val="clear" w:color="000000" w:fill="B4C6E7" w:themeFill="accent5" w:themeFillTint="66"/>
            <w:noWrap/>
            <w:hideMark/>
          </w:tcPr>
          <w:p w:rsidR="00C56D9A" w:rsidRPr="00BA3995" w:rsidRDefault="00C56D9A" w:rsidP="000E70FE">
            <w:pPr>
              <w:spacing w:beforeLines="40" w:before="96" w:afterLines="40" w:after="96"/>
              <w:jc w:val="left"/>
              <w:rPr>
                <w:rFonts w:ascii="Times New Roman" w:hAnsi="Times New Roman" w:cs="Times New Roman"/>
                <w:b/>
              </w:rPr>
            </w:pPr>
            <w:r w:rsidRPr="00BA3995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910" w:type="dxa"/>
          </w:tcPr>
          <w:p w:rsidR="00C56D9A" w:rsidRPr="008E66EF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E66EF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10" w:type="dxa"/>
          </w:tcPr>
          <w:p w:rsidR="00C56D9A" w:rsidRPr="008E66EF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E66EF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910" w:type="dxa"/>
          </w:tcPr>
          <w:p w:rsidR="00C56D9A" w:rsidRPr="008E66EF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E66EF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10" w:type="dxa"/>
          </w:tcPr>
          <w:p w:rsidR="00C56D9A" w:rsidRPr="008E66EF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E66EF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910" w:type="dxa"/>
          </w:tcPr>
          <w:p w:rsidR="00C56D9A" w:rsidRPr="008E66EF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E66EF">
              <w:rPr>
                <w:rFonts w:ascii="Times New Roman" w:hAnsi="Times New Roman" w:cs="Times New Roman"/>
                <w:b/>
                <w:color w:val="FF0000"/>
              </w:rPr>
              <w:t>408</w:t>
            </w:r>
          </w:p>
        </w:tc>
        <w:tc>
          <w:tcPr>
            <w:tcW w:w="910" w:type="dxa"/>
          </w:tcPr>
          <w:p w:rsidR="00C56D9A" w:rsidRPr="008E66EF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E66EF">
              <w:rPr>
                <w:rFonts w:ascii="Times New Roman" w:hAnsi="Times New Roman" w:cs="Times New Roman"/>
                <w:b/>
                <w:color w:val="FF0000"/>
              </w:rPr>
              <w:t>94</w:t>
            </w:r>
          </w:p>
        </w:tc>
        <w:tc>
          <w:tcPr>
            <w:tcW w:w="910" w:type="dxa"/>
            <w:noWrap/>
          </w:tcPr>
          <w:p w:rsidR="00C56D9A" w:rsidRPr="008E66EF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E66EF">
              <w:rPr>
                <w:rFonts w:ascii="Times New Roman" w:hAnsi="Times New Roman" w:cs="Times New Roman"/>
                <w:b/>
                <w:color w:val="FF0000"/>
              </w:rPr>
              <w:t>66</w:t>
            </w:r>
          </w:p>
        </w:tc>
        <w:tc>
          <w:tcPr>
            <w:tcW w:w="910" w:type="dxa"/>
          </w:tcPr>
          <w:p w:rsidR="00C56D9A" w:rsidRPr="008E66EF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E66EF">
              <w:rPr>
                <w:rFonts w:ascii="Times New Roman" w:hAnsi="Times New Roman" w:cs="Times New Roman"/>
                <w:b/>
                <w:bCs/>
                <w:color w:val="FF0000"/>
              </w:rPr>
              <w:t>96</w:t>
            </w:r>
          </w:p>
        </w:tc>
        <w:tc>
          <w:tcPr>
            <w:tcW w:w="910" w:type="dxa"/>
          </w:tcPr>
          <w:p w:rsidR="00C56D9A" w:rsidRPr="008E66EF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E66EF">
              <w:rPr>
                <w:rFonts w:ascii="Times New Roman" w:hAnsi="Times New Roman" w:cs="Times New Roman"/>
                <w:b/>
                <w:bCs/>
                <w:color w:val="FF0000"/>
              </w:rPr>
              <w:t>18</w:t>
            </w:r>
          </w:p>
        </w:tc>
        <w:tc>
          <w:tcPr>
            <w:tcW w:w="910" w:type="dxa"/>
          </w:tcPr>
          <w:p w:rsidR="00C56D9A" w:rsidRPr="008E66EF" w:rsidRDefault="00C56D9A" w:rsidP="000E70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E66EF"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</w:p>
        </w:tc>
      </w:tr>
    </w:tbl>
    <w:p w:rsidR="00C56D9A" w:rsidRDefault="00C56D9A" w:rsidP="00D15B65">
      <w:pPr>
        <w:jc w:val="center"/>
        <w:rPr>
          <w:rFonts w:ascii="Times New Roman" w:eastAsia="Arial Unicode MS" w:hAnsi="Times New Roman" w:cs="Times New Roman"/>
          <w:i/>
        </w:rPr>
      </w:pPr>
    </w:p>
    <w:sectPr w:rsidR="00C56D9A" w:rsidSect="00D15B65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C4" w:rsidRDefault="00C57EC4" w:rsidP="00D30FEF">
      <w:pPr>
        <w:spacing w:before="0" w:after="0"/>
      </w:pPr>
      <w:r>
        <w:separator/>
      </w:r>
    </w:p>
  </w:endnote>
  <w:endnote w:type="continuationSeparator" w:id="0">
    <w:p w:rsidR="00C57EC4" w:rsidRDefault="00C57EC4" w:rsidP="00D30F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269213"/>
      <w:docPartObj>
        <w:docPartGallery w:val="Page Numbers (Bottom of Page)"/>
        <w:docPartUnique/>
      </w:docPartObj>
    </w:sdtPr>
    <w:sdtEndPr/>
    <w:sdtContent>
      <w:p w:rsidR="00C56D9A" w:rsidRDefault="00C56D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96E">
          <w:rPr>
            <w:noProof/>
          </w:rPr>
          <w:t>5</w:t>
        </w:r>
        <w:r>
          <w:fldChar w:fldCharType="end"/>
        </w:r>
        <w:r>
          <w:t>/</w:t>
        </w:r>
        <w:r w:rsidR="00DD0367">
          <w:rPr>
            <w:noProof/>
          </w:rPr>
          <w:fldChar w:fldCharType="begin"/>
        </w:r>
        <w:r w:rsidR="00DD0367">
          <w:rPr>
            <w:noProof/>
          </w:rPr>
          <w:instrText xml:space="preserve"> NUMPAGES   \* MERGEFORMAT </w:instrText>
        </w:r>
        <w:r w:rsidR="00DD0367">
          <w:rPr>
            <w:noProof/>
          </w:rPr>
          <w:fldChar w:fldCharType="separate"/>
        </w:r>
        <w:r w:rsidR="000F496E">
          <w:rPr>
            <w:noProof/>
          </w:rPr>
          <w:t>6</w:t>
        </w:r>
        <w:r w:rsidR="00DD0367">
          <w:rPr>
            <w:noProof/>
          </w:rPr>
          <w:fldChar w:fldCharType="end"/>
        </w:r>
      </w:p>
    </w:sdtContent>
  </w:sdt>
  <w:p w:rsidR="00C56D9A" w:rsidRDefault="00C56D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C4" w:rsidRDefault="00C57EC4" w:rsidP="00D30FEF">
      <w:pPr>
        <w:spacing w:before="0" w:after="0"/>
      </w:pPr>
      <w:r>
        <w:separator/>
      </w:r>
    </w:p>
  </w:footnote>
  <w:footnote w:type="continuationSeparator" w:id="0">
    <w:p w:rsidR="00C57EC4" w:rsidRDefault="00C57EC4" w:rsidP="00D30FEF">
      <w:pPr>
        <w:spacing w:before="0" w:after="0"/>
      </w:pPr>
      <w:r>
        <w:continuationSeparator/>
      </w:r>
    </w:p>
  </w:footnote>
  <w:footnote w:id="1">
    <w:p w:rsidR="00C56D9A" w:rsidRPr="00E00BD6" w:rsidRDefault="00C56D9A" w:rsidP="00C56D9A">
      <w:pPr>
        <w:pStyle w:val="Textpoznpodarou"/>
      </w:pPr>
      <w:r w:rsidRPr="00E00BD6">
        <w:rPr>
          <w:rStyle w:val="Znakapoznpodarou"/>
        </w:rPr>
        <w:footnoteRef/>
      </w:r>
      <w:r w:rsidRPr="00E00BD6">
        <w:t xml:space="preserve"> Jedná se o závěry o BAT, které se netýkají žádného zařízení v České republice z důvodu nenaplnění definice příslušné kategorie podle přílohy č. 1 zákona o integrované prevenci / Přílohy I IED.</w:t>
      </w:r>
    </w:p>
  </w:footnote>
  <w:footnote w:id="2">
    <w:p w:rsidR="00C56D9A" w:rsidRPr="00306633" w:rsidRDefault="00C56D9A" w:rsidP="00C56D9A">
      <w:pPr>
        <w:pStyle w:val="CM1"/>
        <w:spacing w:before="40" w:after="40"/>
        <w:jc w:val="both"/>
        <w:rPr>
          <w:rFonts w:ascii="Calibri" w:hAnsi="Calibri"/>
          <w:sz w:val="20"/>
          <w:szCs w:val="20"/>
        </w:rPr>
      </w:pPr>
      <w:r w:rsidRPr="00306633">
        <w:rPr>
          <w:rStyle w:val="Znakapoznpodarou"/>
          <w:rFonts w:ascii="Calibri" w:hAnsi="Calibri"/>
          <w:sz w:val="20"/>
          <w:szCs w:val="20"/>
        </w:rPr>
        <w:footnoteRef/>
      </w:r>
      <w:r w:rsidRPr="00306633">
        <w:rPr>
          <w:rFonts w:ascii="Calibri" w:hAnsi="Calibri"/>
          <w:sz w:val="20"/>
          <w:szCs w:val="20"/>
        </w:rPr>
        <w:t xml:space="preserve"> Vztahují se pouze na </w:t>
      </w:r>
      <w:r w:rsidRPr="00306633">
        <w:rPr>
          <w:rFonts w:ascii="Calibri" w:hAnsi="Calibri" w:cs="EUAlbertina"/>
          <w:color w:val="000000"/>
          <w:sz w:val="20"/>
          <w:szCs w:val="20"/>
        </w:rPr>
        <w:t>výrobu chloru a alkalických hydroxidů (chlor, vodík, hydroxid draselný a hydroxid sodný) elektrolýzou solanky.</w:t>
      </w:r>
    </w:p>
  </w:footnote>
  <w:footnote w:id="3">
    <w:p w:rsidR="00C56D9A" w:rsidRPr="00E00BD6" w:rsidRDefault="00C56D9A" w:rsidP="00C56D9A">
      <w:pPr>
        <w:pStyle w:val="Textpoznpodarou"/>
      </w:pPr>
      <w:r w:rsidRPr="00E00BD6">
        <w:rPr>
          <w:rStyle w:val="Znakapoznpodarou"/>
        </w:rPr>
        <w:footnoteRef/>
      </w:r>
      <w:r w:rsidRPr="00E00BD6">
        <w:t xml:space="preserve"> Týká se odpadních vod, </w:t>
      </w:r>
      <w:r w:rsidRPr="00306633">
        <w:rPr>
          <w:rFonts w:eastAsia="Calibri"/>
        </w:rPr>
        <w:t xml:space="preserve">které jsou vypouštěny zařízením provozujícím činnosti, na které se vztahuje kategorie 4 </w:t>
      </w:r>
      <w:r w:rsidRPr="00E00BD6">
        <w:t xml:space="preserve">přílohy č. 1 zákona o integrované prevenci / Přílohy I IED. Rovněž se aplikují na </w:t>
      </w:r>
      <w:r w:rsidRPr="00306633">
        <w:rPr>
          <w:rFonts w:eastAsia="Calibri"/>
        </w:rPr>
        <w:t xml:space="preserve">kombinované čištění odpadních vod z různých zdrojů, pokud největší zatížení znečišťující látkou vzniká z činností, na které se vztahuje kategorie 4 </w:t>
      </w:r>
      <w:r w:rsidRPr="00E00BD6">
        <w:t>přílohy č. 1 zákona o integrované prevenci / Přílohy I IED.</w:t>
      </w:r>
    </w:p>
  </w:footnote>
  <w:footnote w:id="4">
    <w:p w:rsidR="00C56D9A" w:rsidRPr="00F250A3" w:rsidRDefault="00C56D9A" w:rsidP="00C56D9A">
      <w:r w:rsidRPr="00E00BD6">
        <w:rPr>
          <w:rStyle w:val="Znakapoznpodarou"/>
          <w:sz w:val="20"/>
          <w:szCs w:val="20"/>
        </w:rPr>
        <w:footnoteRef/>
      </w:r>
      <w:r w:rsidRPr="00E00BD6">
        <w:rPr>
          <w:sz w:val="20"/>
          <w:szCs w:val="20"/>
        </w:rPr>
        <w:t xml:space="preserve"> Nepřímo se týkají celé kategorie 4 v tom smyslu, že musí být zohledněny ve všech revizích integrovaných povolení, prováděných na základě závěrů o BAT pro některá konkrétní pododvětví kategorie 4 přílohy č. 1 zákona o integrované prevenci / Přílohy I IED. Může se také týkat analogicky i jiných zařízení, pokud obsahují i podmínky k vypouštění odpadních vod z areálu, kde probíhá chemická výroba. Problematika je řešena v samostatném metodickém dokumentu.</w:t>
      </w:r>
    </w:p>
  </w:footnote>
  <w:footnote w:id="5">
    <w:p w:rsidR="00C56D9A" w:rsidRPr="00E00BD6" w:rsidRDefault="00C56D9A" w:rsidP="00C56D9A">
      <w:pPr>
        <w:rPr>
          <w:sz w:val="20"/>
          <w:szCs w:val="20"/>
        </w:rPr>
      </w:pPr>
      <w:r w:rsidRPr="00E00BD6">
        <w:rPr>
          <w:rStyle w:val="Znakapoznpodarou"/>
          <w:sz w:val="20"/>
          <w:szCs w:val="20"/>
        </w:rPr>
        <w:footnoteRef/>
      </w:r>
      <w:r w:rsidRPr="00E00BD6">
        <w:rPr>
          <w:sz w:val="20"/>
          <w:szCs w:val="20"/>
        </w:rPr>
        <w:t xml:space="preserve"> </w:t>
      </w:r>
      <w:r w:rsidRPr="00E00BD6">
        <w:rPr>
          <w:rFonts w:cs="EUAlbertina"/>
          <w:sz w:val="20"/>
          <w:szCs w:val="20"/>
        </w:rPr>
        <w:t>Tyto závěry o BAT se netýkají sléváren uvedených v BREF pro kovářské a slévárenské odvětví (2005). Uvedený BREF neřeší s</w:t>
      </w:r>
      <w:r w:rsidRPr="00306633">
        <w:rPr>
          <w:rFonts w:eastAsia="Calibri"/>
          <w:sz w:val="20"/>
          <w:szCs w:val="20"/>
        </w:rPr>
        <w:t>lévárny kadmia, titanu, vzácných kov</w:t>
      </w:r>
      <w:r w:rsidRPr="00306633">
        <w:rPr>
          <w:rFonts w:eastAsia="Calibri" w:cs="TimesNewRoman"/>
          <w:sz w:val="20"/>
          <w:szCs w:val="20"/>
        </w:rPr>
        <w:t>ů</w:t>
      </w:r>
      <w:r w:rsidRPr="00306633">
        <w:rPr>
          <w:rFonts w:eastAsia="Calibri"/>
          <w:sz w:val="20"/>
          <w:szCs w:val="20"/>
        </w:rPr>
        <w:t xml:space="preserve"> a kontinuální lití (ty</w:t>
      </w:r>
      <w:r w:rsidRPr="00306633">
        <w:rPr>
          <w:rFonts w:eastAsia="Calibri" w:cs="TimesNewRoman"/>
          <w:sz w:val="20"/>
          <w:szCs w:val="20"/>
        </w:rPr>
        <w:t>č</w:t>
      </w:r>
      <w:r w:rsidRPr="00306633">
        <w:rPr>
          <w:rFonts w:eastAsia="Calibri"/>
          <w:sz w:val="20"/>
          <w:szCs w:val="20"/>
        </w:rPr>
        <w:t xml:space="preserve">í a desek) – všechny tyto typy výrob spadají pod závěry o BAT </w:t>
      </w:r>
      <w:r w:rsidRPr="00E00BD6">
        <w:rPr>
          <w:sz w:val="20"/>
          <w:szCs w:val="20"/>
        </w:rPr>
        <w:t>pro odvětví neželezných kovů</w:t>
      </w:r>
      <w:r w:rsidRPr="00306633">
        <w:rPr>
          <w:rFonts w:eastAsia="Calibri"/>
          <w:sz w:val="20"/>
          <w:szCs w:val="20"/>
        </w:rPr>
        <w:t>. P</w:t>
      </w:r>
      <w:r w:rsidRPr="00306633">
        <w:rPr>
          <w:rFonts w:eastAsia="Calibri" w:cs="TimesNewRoman"/>
          <w:sz w:val="20"/>
          <w:szCs w:val="20"/>
        </w:rPr>
        <w:t>ř</w:t>
      </w:r>
      <w:r w:rsidRPr="00306633">
        <w:rPr>
          <w:rFonts w:eastAsia="Calibri"/>
          <w:sz w:val="20"/>
          <w:szCs w:val="20"/>
        </w:rPr>
        <w:t>i zahrnutí procesů týkajících se neželezných kov</w:t>
      </w:r>
      <w:r w:rsidRPr="00306633">
        <w:rPr>
          <w:rFonts w:eastAsia="Calibri" w:cs="TimesNewRoman"/>
          <w:sz w:val="20"/>
          <w:szCs w:val="20"/>
        </w:rPr>
        <w:t xml:space="preserve">ů </w:t>
      </w:r>
      <w:r w:rsidRPr="00306633">
        <w:rPr>
          <w:rFonts w:eastAsia="Calibri"/>
          <w:sz w:val="20"/>
          <w:szCs w:val="20"/>
        </w:rPr>
        <w:t xml:space="preserve">do BREF </w:t>
      </w:r>
      <w:r w:rsidRPr="00E00BD6">
        <w:rPr>
          <w:rFonts w:cs="EUAlbertina"/>
          <w:sz w:val="20"/>
          <w:szCs w:val="20"/>
        </w:rPr>
        <w:t>pro kovářské a slévárenské odvětví (2005) s</w:t>
      </w:r>
      <w:r w:rsidRPr="00306633">
        <w:rPr>
          <w:rFonts w:eastAsia="Calibri"/>
          <w:sz w:val="20"/>
          <w:szCs w:val="20"/>
        </w:rPr>
        <w:t>e za za</w:t>
      </w:r>
      <w:r w:rsidRPr="00306633">
        <w:rPr>
          <w:rFonts w:eastAsia="Calibri" w:cs="TimesNewRoman"/>
          <w:sz w:val="20"/>
          <w:szCs w:val="20"/>
        </w:rPr>
        <w:t>č</w:t>
      </w:r>
      <w:r w:rsidRPr="00306633">
        <w:rPr>
          <w:rFonts w:eastAsia="Calibri"/>
          <w:sz w:val="20"/>
          <w:szCs w:val="20"/>
        </w:rPr>
        <w:t>átek postupu považuje tavení ingot</w:t>
      </w:r>
      <w:r w:rsidRPr="00306633">
        <w:rPr>
          <w:rFonts w:eastAsia="Calibri" w:cs="TimesNewRoman"/>
          <w:sz w:val="20"/>
          <w:szCs w:val="20"/>
        </w:rPr>
        <w:t xml:space="preserve">ů </w:t>
      </w:r>
      <w:r w:rsidRPr="00306633">
        <w:rPr>
          <w:rFonts w:eastAsia="Calibri"/>
          <w:sz w:val="20"/>
          <w:szCs w:val="20"/>
        </w:rPr>
        <w:t>a šrotu, nebo dodání tekutého kovu z jiného provozu.</w:t>
      </w:r>
    </w:p>
  </w:footnote>
  <w:footnote w:id="6">
    <w:p w:rsidR="00C56D9A" w:rsidRDefault="00C56D9A" w:rsidP="00C56D9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1677F">
        <w:t>Tyto závěry o</w:t>
      </w:r>
      <w:r>
        <w:t xml:space="preserve"> BAT se vztahují na výrobu </w:t>
      </w:r>
      <w:r w:rsidRPr="0071677F">
        <w:t>uvedených chemických látek v kontinuálních procesech, kdy celková výrobní kapacita u těchto chemických látek převyšuje 20 k</w:t>
      </w:r>
      <w:r>
        <w:t xml:space="preserve">t za rok. </w:t>
      </w:r>
      <w:r w:rsidRPr="0071677F">
        <w:t>Tyto závěry o BAT se vztahují na spalování paliv v</w:t>
      </w:r>
      <w:r>
        <w:t> </w:t>
      </w:r>
      <w:r w:rsidRPr="0071677F">
        <w:t>procesních pecích/vařácích, je-li součástí výše uvedených činností.</w:t>
      </w:r>
    </w:p>
  </w:footnote>
  <w:footnote w:id="7">
    <w:p w:rsidR="00C56D9A" w:rsidRDefault="00C56D9A" w:rsidP="00C56D9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D102E">
        <w:t xml:space="preserve">Tyto závěry o BAT se </w:t>
      </w:r>
      <w:r>
        <w:t>r</w:t>
      </w:r>
      <w:r w:rsidRPr="007D102E">
        <w:t>ovněž týkají výroby peroxidu vodíku podle bodu 4.2 písm. e) přílohy I směrnice 2010/75/EU.</w:t>
      </w:r>
    </w:p>
  </w:footnote>
  <w:footnote w:id="8">
    <w:p w:rsidR="00C56D9A" w:rsidRPr="00F250A3" w:rsidRDefault="00C56D9A" w:rsidP="00C56D9A">
      <w:pPr>
        <w:pStyle w:val="Textpoznpodarou"/>
      </w:pPr>
      <w:r w:rsidRPr="00F250A3">
        <w:rPr>
          <w:rStyle w:val="Znakapoznpodarou"/>
        </w:rPr>
        <w:footnoteRef/>
      </w:r>
      <w:r w:rsidRPr="00F250A3">
        <w:t xml:space="preserve"> Uváděny pouze kategorie, pro které existují na území České republiky zařízení.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3F0"/>
    <w:multiLevelType w:val="multilevel"/>
    <w:tmpl w:val="41C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905D1"/>
    <w:multiLevelType w:val="multilevel"/>
    <w:tmpl w:val="B204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85F0C"/>
    <w:multiLevelType w:val="multilevel"/>
    <w:tmpl w:val="3416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C65EC"/>
    <w:multiLevelType w:val="multilevel"/>
    <w:tmpl w:val="C258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21A2D"/>
    <w:multiLevelType w:val="multilevel"/>
    <w:tmpl w:val="A99A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02AE7"/>
    <w:multiLevelType w:val="multilevel"/>
    <w:tmpl w:val="3CA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66447"/>
    <w:multiLevelType w:val="multilevel"/>
    <w:tmpl w:val="7A24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D06CA"/>
    <w:multiLevelType w:val="multilevel"/>
    <w:tmpl w:val="2126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F5B30"/>
    <w:multiLevelType w:val="multilevel"/>
    <w:tmpl w:val="F684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C210A"/>
    <w:multiLevelType w:val="multilevel"/>
    <w:tmpl w:val="4E98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E2A25"/>
    <w:multiLevelType w:val="multilevel"/>
    <w:tmpl w:val="343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5E34B8"/>
    <w:multiLevelType w:val="multilevel"/>
    <w:tmpl w:val="6B4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E91261"/>
    <w:multiLevelType w:val="multilevel"/>
    <w:tmpl w:val="AC5E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C6A33"/>
    <w:multiLevelType w:val="multilevel"/>
    <w:tmpl w:val="F98C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EF"/>
    <w:rsid w:val="000F496E"/>
    <w:rsid w:val="00107063"/>
    <w:rsid w:val="00143E3F"/>
    <w:rsid w:val="00170AC1"/>
    <w:rsid w:val="001D7663"/>
    <w:rsid w:val="00220236"/>
    <w:rsid w:val="00240DB8"/>
    <w:rsid w:val="003F0342"/>
    <w:rsid w:val="00633B59"/>
    <w:rsid w:val="006D7241"/>
    <w:rsid w:val="00774F87"/>
    <w:rsid w:val="008E66EF"/>
    <w:rsid w:val="00BA2D31"/>
    <w:rsid w:val="00BA3995"/>
    <w:rsid w:val="00C56D9A"/>
    <w:rsid w:val="00C57EC4"/>
    <w:rsid w:val="00D15B65"/>
    <w:rsid w:val="00D30FEF"/>
    <w:rsid w:val="00D61F29"/>
    <w:rsid w:val="00DD0367"/>
    <w:rsid w:val="00DD497B"/>
    <w:rsid w:val="00E6546B"/>
    <w:rsid w:val="00FB62F7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69B7-0AF2-4748-96D8-359A548E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0FEF"/>
    <w:pPr>
      <w:autoSpaceDE w:val="0"/>
      <w:autoSpaceDN w:val="0"/>
      <w:adjustRightInd w:val="0"/>
      <w:spacing w:before="120" w:after="12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30FEF"/>
    <w:pPr>
      <w:outlineLvl w:val="1"/>
    </w:pPr>
    <w:rPr>
      <w:rFonts w:cs="Calibri,Bol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6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6D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30FEF"/>
    <w:rPr>
      <w:rFonts w:ascii="Calibri" w:eastAsia="Times New Roman" w:hAnsi="Calibri" w:cs="Calibri,Bold"/>
      <w:b/>
      <w:bCs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D30F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0FEF"/>
    <w:rPr>
      <w:rFonts w:ascii="Calibri" w:eastAsia="Times New Roman" w:hAnsi="Calibri" w:cs="Arial"/>
      <w:color w:val="000000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30FEF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D30FEF"/>
    <w:pPr>
      <w:spacing w:before="0" w:after="0"/>
      <w:jc w:val="left"/>
    </w:pPr>
    <w:rPr>
      <w:rFonts w:ascii="EUAlbertina" w:eastAsia="Calibri" w:hAnsi="EUAlbertina" w:cs="Times New Roman"/>
      <w:color w:val="auto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6D9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6D9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56D9A"/>
    <w:rPr>
      <w:rFonts w:ascii="Calibri" w:eastAsia="Times New Roman" w:hAnsi="Calibri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6D9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56D9A"/>
    <w:rPr>
      <w:rFonts w:ascii="Calibri" w:eastAsia="Times New Roman" w:hAnsi="Calibri" w:cs="Arial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6D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399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61F29"/>
    <w:pPr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newsdate">
    <w:name w:val="news_date"/>
    <w:basedOn w:val="Standardnpsmoodstavce"/>
    <w:rsid w:val="00D6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ippc/zavery-o-bat--224367/" TargetMode="External"/><Relationship Id="rId13" Type="http://schemas.openxmlformats.org/officeDocument/2006/relationships/hyperlink" Target="https://www.mpo.cz/assets/cz/prumysl/prumysl-a-zivotni-prostredi/ippc-integrovana-prevence-a-omezovani-znecisteni/referencni-dokumenty-bref/2017/1/2013_732_EU_2.pdf" TargetMode="External"/><Relationship Id="rId18" Type="http://schemas.openxmlformats.org/officeDocument/2006/relationships/hyperlink" Target="http://www.mzp.cz/www/ippc4.nsf/xsp/.ibmmodres/domino/OpenAttachment/www/ippc4.nsf/E72963AFFAD49CE1C1257C07004C5124/files/oprava%20rozhodnuti%20Komise%202014_738_EU.pdf" TargetMode="External"/><Relationship Id="rId26" Type="http://schemas.openxmlformats.org/officeDocument/2006/relationships/hyperlink" Target="https://eur-lex.europa.eu/legal-content/CS/TXT/?uri=uriserv:OJ.L_.2018.298.01.0083.01.CES&amp;toc=OJ:L:2018:298:T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po.cz/assets/cz/prumysl/prumysl-a-zivotni-prostredi/ippc-integrovana-prevence-a-omezovani-znecisteni/referencni-dokumenty-bref/2017/1/2016_1032_EU_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po.cz/assets/cz/prumysl/prumysl-a-zivotni-prostredi/ippc-integrovana-prevence-a-omezovani-znecisteni/referencni-dokumenty-bref/2017/1/2013_163_EU.pdf" TargetMode="External"/><Relationship Id="rId17" Type="http://schemas.openxmlformats.org/officeDocument/2006/relationships/hyperlink" Target="https://www.mpo.cz/assets/cz/prumysl/prumysl-a-zivotni-prostredi/ippc-integrovana-prevence-a-omezovani-znecisteni/referencni-dokumenty-bref/2017/1/2014_738_EU_1.pdf" TargetMode="External"/><Relationship Id="rId25" Type="http://schemas.openxmlformats.org/officeDocument/2006/relationships/hyperlink" Target="https://eur-lex.europa.eu/legal-content/CS/TXT/?uri=uriserv:OJ.L_.2018.298.01.0083.01.CES&amp;toc=OJ:L:2018:298:T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CS/TXT/PDF/?uri=CELEX:32014D0687R(03)&amp;from=CS" TargetMode="External"/><Relationship Id="rId20" Type="http://schemas.openxmlformats.org/officeDocument/2006/relationships/hyperlink" Target="https://www.mpo.cz/assets/cz/prumysl/prumysl-a-zivotni-prostredi/ippc-integrovana-prevence-a-omezovani-znecisteni/referencni-dokumenty-bref/2017/1/2016_902_EU_1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o.cz/assets/cz/prumysl/prumysl-a-zivotni-prostredi/ippc-integrovana-prevence-a-omezovani-znecisteni/referencni-dokumenty-bref/2017/1/2013_84_EU.pdf" TargetMode="External"/><Relationship Id="rId24" Type="http://schemas.openxmlformats.org/officeDocument/2006/relationships/hyperlink" Target="https://www.mpo.cz/assets/cz/prumysl/ippc-integrovana-prevence-a-omezovani-znecisteni/referencni-dokumenty-bref/2017/12/Zavery-o-BAT-LVOC_2017_21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zp.cz/www/ippc4.nsf/xsp/.ibmmodres/domino/OpenAttachment/www/ippc4.nsf/E72963AFFAD49CE1C1257C07004C5124/files/oprava%20rozhodnuti%20Komise%202014_687_EU.pdf" TargetMode="External"/><Relationship Id="rId23" Type="http://schemas.openxmlformats.org/officeDocument/2006/relationships/hyperlink" Target="https://www.mpo.cz/assets/cz/prumysl/ippc-integrovana-prevence-a-omezovani-znecisteni/referencni-dokumenty-bref/2017/8/2017-1442_LCP-BAT-Cs.pdf" TargetMode="External"/><Relationship Id="rId28" Type="http://schemas.openxmlformats.org/officeDocument/2006/relationships/hyperlink" Target="http://www.mzp.cz/ippc" TargetMode="External"/><Relationship Id="rId10" Type="http://schemas.openxmlformats.org/officeDocument/2006/relationships/hyperlink" Target="https://www.mpo.cz/assets/cz/prumysl/prumysl-a-zivotni-prostredi/ippc-integrovana-prevence-a-omezovani-znecisteni/referencni-dokumenty-bref/2017/1/2012_135_EU_1.pdf" TargetMode="External"/><Relationship Id="rId19" Type="http://schemas.openxmlformats.org/officeDocument/2006/relationships/hyperlink" Target="https://www.mpo.cz/assets/cz/prumysl/prumysl-a-zivotni-prostredi/ippc-integrovana-prevence-a-omezovani-znecisteni/referencni-dokumenty-bref/2017/1/2015_2119_EU_1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po.cz/assets/cz/prumysl/prumysl-a-zivotni-prostredi/ippc-integrovana-prevence-a-omezovani-znecisteni/referencni-dokumenty-bref/2017/1/2012_134_EU_1.pdf" TargetMode="External"/><Relationship Id="rId14" Type="http://schemas.openxmlformats.org/officeDocument/2006/relationships/hyperlink" Target="https://www.mpo.cz/assets/cz/prumysl/prumysl-a-zivotni-prostredi/ippc-integrovana-prevence-a-omezovani-znecisteni/referencni-dokumenty-bref/2017/1/2014_687_EU.pdf" TargetMode="External"/><Relationship Id="rId22" Type="http://schemas.openxmlformats.org/officeDocument/2006/relationships/hyperlink" Target="https://www.mpo.cz/assets/cz/prumysl/ippc-integrovana-prevence-a-omezovani-znecisteni/referencni-dokumenty-bref/2017/3/ZavBAT_IRPP.pdf" TargetMode="External"/><Relationship Id="rId27" Type="http://schemas.openxmlformats.org/officeDocument/2006/relationships/hyperlink" Target="https://www.mpo.cz/assets/cz/prumysl/ippc-integrovana-prevence-a-omezovani-znecisteni/referencni-dokumenty-bref/2018/9/Zavery-o-BAT-pro-zpracovani-odpadu_1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CBAB-03D2-4978-8868-82792FF7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2418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Kroupa Antonín</dc:creator>
  <cp:keywords/>
  <dc:description/>
  <cp:lastModifiedBy>Kroupa Antonín</cp:lastModifiedBy>
  <cp:revision>2</cp:revision>
  <dcterms:created xsi:type="dcterms:W3CDTF">2019-06-11T06:28:00Z</dcterms:created>
  <dcterms:modified xsi:type="dcterms:W3CDTF">2019-06-11T06:28:00Z</dcterms:modified>
</cp:coreProperties>
</file>